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19" w:type="dxa"/>
        <w:jc w:val="center"/>
        <w:tblLayout w:type="fixed"/>
        <w:tblCellMar>
          <w:left w:w="115" w:type="dxa"/>
          <w:right w:w="115" w:type="dxa"/>
        </w:tblCellMar>
        <w:tblLook w:val="04A0" w:firstRow="1" w:lastRow="0" w:firstColumn="1" w:lastColumn="0" w:noHBand="0" w:noVBand="1"/>
      </w:tblPr>
      <w:tblGrid>
        <w:gridCol w:w="1613"/>
        <w:gridCol w:w="9106"/>
      </w:tblGrid>
      <w:tr w:rsidR="007F4C89" w14:paraId="36996818" w14:textId="77777777" w:rsidTr="00416F00">
        <w:trPr>
          <w:trHeight w:hRule="exact" w:val="2340"/>
          <w:jc w:val="center"/>
        </w:trPr>
        <w:tc>
          <w:tcPr>
            <w:tcW w:w="1613" w:type="dxa"/>
            <w:shd w:val="clear" w:color="auto" w:fill="DBE5F1" w:themeFill="accent1" w:themeFillTint="33"/>
          </w:tcPr>
          <w:p w14:paraId="2E8BBBE6" w14:textId="77777777" w:rsidR="007F4C89" w:rsidRDefault="007F4C89" w:rsidP="00B05D87">
            <w:pPr>
              <w:spacing w:before="160" w:beforeAutospacing="0" w:after="160" w:afterAutospacing="0"/>
              <w:jc w:val="center"/>
              <w:rPr>
                <w:rFonts w:ascii="Arial" w:eastAsiaTheme="minorEastAsia" w:hAnsi="Arial"/>
                <w:b/>
                <w:color w:val="DBE5F1" w:themeColor="accent1" w:themeTint="33"/>
                <w:sz w:val="22"/>
                <w:szCs w:val="24"/>
              </w:rPr>
            </w:pPr>
            <w:bookmarkStart w:id="0" w:name="_Toc237866621"/>
            <w:bookmarkStart w:id="1" w:name="_Toc237987295"/>
          </w:p>
        </w:tc>
        <w:tc>
          <w:tcPr>
            <w:tcW w:w="9106" w:type="dxa"/>
          </w:tcPr>
          <w:p w14:paraId="41B4226C" w14:textId="77777777" w:rsidR="007F4C89" w:rsidRPr="00315B52" w:rsidRDefault="007F4C89" w:rsidP="00B05D87">
            <w:pPr>
              <w:spacing w:beforeAutospacing="0" w:afterAutospacing="0" w:line="288" w:lineRule="auto"/>
              <w:ind w:left="140" w:right="-504"/>
              <w:rPr>
                <w:rFonts w:ascii="Arial" w:eastAsiaTheme="minorEastAsia" w:hAnsi="Arial"/>
                <w:b/>
                <w:color w:val="31849B" w:themeColor="accent5" w:themeShade="BF"/>
                <w:sz w:val="68"/>
                <w:szCs w:val="68"/>
              </w:rPr>
            </w:pPr>
            <w:r w:rsidRPr="00315B52">
              <w:rPr>
                <w:rFonts w:ascii="Arial" w:eastAsiaTheme="minorEastAsia" w:hAnsi="Arial"/>
                <w:b/>
                <w:color w:val="31849B" w:themeColor="accent5" w:themeShade="BF"/>
                <w:sz w:val="68"/>
                <w:szCs w:val="68"/>
              </w:rPr>
              <w:t>Nuclear Power Automated</w:t>
            </w:r>
            <w:r w:rsidR="00315B52" w:rsidRPr="00315B52">
              <w:rPr>
                <w:rFonts w:ascii="Arial" w:eastAsiaTheme="minorEastAsia" w:hAnsi="Arial"/>
                <w:b/>
                <w:color w:val="31849B" w:themeColor="accent5" w:themeShade="BF"/>
                <w:sz w:val="68"/>
                <w:szCs w:val="68"/>
              </w:rPr>
              <w:t xml:space="preserve"> </w:t>
            </w:r>
            <w:r w:rsidRPr="00315B52">
              <w:rPr>
                <w:rFonts w:ascii="Arial" w:eastAsiaTheme="minorEastAsia" w:hAnsi="Arial"/>
                <w:b/>
                <w:color w:val="31849B" w:themeColor="accent5" w:themeShade="BF"/>
                <w:sz w:val="68"/>
                <w:szCs w:val="68"/>
              </w:rPr>
              <w:t>Site-Construction Initiative</w:t>
            </w:r>
          </w:p>
        </w:tc>
      </w:tr>
      <w:tr w:rsidR="007F4C89" w14:paraId="381A3B49" w14:textId="77777777" w:rsidTr="00E94E0E">
        <w:trPr>
          <w:trHeight w:hRule="exact" w:val="9054"/>
          <w:jc w:val="center"/>
        </w:trPr>
        <w:tc>
          <w:tcPr>
            <w:tcW w:w="1613" w:type="dxa"/>
            <w:shd w:val="clear" w:color="auto" w:fill="DBE5F1" w:themeFill="accent1" w:themeFillTint="33"/>
          </w:tcPr>
          <w:p w14:paraId="363B38E9" w14:textId="77777777" w:rsidR="007F4C89" w:rsidRDefault="007F4C89" w:rsidP="00B05D87">
            <w:pPr>
              <w:spacing w:beforeAutospacing="0" w:afterAutospacing="0" w:line="216" w:lineRule="auto"/>
              <w:jc w:val="center"/>
              <w:rPr>
                <w:rFonts w:ascii="MS Gothic" w:eastAsia="MS Gothic" w:hAnsi="MS Gothic" w:cs="MS Gothic"/>
                <w:b/>
                <w:color w:val="E67E22"/>
                <w:sz w:val="16"/>
              </w:rPr>
            </w:pPr>
            <w:r>
              <w:rPr>
                <w:rFonts w:ascii="MS Gothic" w:eastAsia="MS Gothic" w:hAnsi="MS Gothic" w:cs="MS Gothic"/>
                <w:b/>
                <w:color w:val="E67E22"/>
                <w:sz w:val="16"/>
              </w:rPr>
              <w:t>━━━━━━━</w:t>
            </w:r>
          </w:p>
          <w:p w14:paraId="19031478" w14:textId="77777777" w:rsidR="007F4C89" w:rsidRDefault="007F4C89" w:rsidP="00B05D87">
            <w:pPr>
              <w:spacing w:before="240" w:beforeAutospacing="0" w:after="80" w:afterAutospacing="0"/>
              <w:jc w:val="center"/>
              <w:rPr>
                <w:rFonts w:ascii="Arial" w:eastAsiaTheme="minorEastAsia" w:hAnsi="Arial"/>
                <w:b/>
                <w:color w:val="31849B" w:themeColor="accent5" w:themeShade="BF"/>
                <w:sz w:val="22"/>
                <w:szCs w:val="24"/>
              </w:rPr>
            </w:pPr>
            <w:r>
              <w:rPr>
                <w:rFonts w:ascii="Arial" w:eastAsiaTheme="minorEastAsia" w:hAnsi="Arial"/>
                <w:b/>
                <w:color w:val="31849B" w:themeColor="accent5" w:themeShade="BF"/>
                <w:sz w:val="22"/>
                <w:szCs w:val="24"/>
              </w:rPr>
              <w:t>CLIMATE</w:t>
            </w:r>
          </w:p>
          <w:p w14:paraId="2635008F" w14:textId="77777777" w:rsidR="007F4C89" w:rsidRDefault="007F4C89" w:rsidP="00B05D87">
            <w:pPr>
              <w:spacing w:before="80" w:beforeAutospacing="0" w:after="80" w:afterAutospacing="0"/>
              <w:jc w:val="center"/>
              <w:rPr>
                <w:rFonts w:ascii="Arial" w:eastAsiaTheme="minorEastAsia" w:hAnsi="Arial"/>
                <w:b/>
                <w:color w:val="31849B" w:themeColor="accent5" w:themeShade="BF"/>
                <w:sz w:val="22"/>
                <w:szCs w:val="24"/>
              </w:rPr>
            </w:pPr>
            <w:r>
              <w:rPr>
                <w:rFonts w:ascii="Arial" w:eastAsiaTheme="minorEastAsia" w:hAnsi="Arial"/>
                <w:b/>
                <w:color w:val="31849B" w:themeColor="accent5" w:themeShade="BF"/>
                <w:sz w:val="22"/>
                <w:szCs w:val="24"/>
              </w:rPr>
              <w:t>MOONSHOT</w:t>
            </w:r>
          </w:p>
          <w:p w14:paraId="5A6333EE" w14:textId="77777777" w:rsidR="007F4C89" w:rsidRPr="00661F83" w:rsidRDefault="007F4C89" w:rsidP="00B05D87">
            <w:pPr>
              <w:spacing w:before="80" w:beforeAutospacing="0" w:after="240" w:afterAutospacing="0"/>
              <w:jc w:val="center"/>
              <w:rPr>
                <w:rFonts w:ascii="Arial" w:eastAsiaTheme="minorEastAsia" w:hAnsi="Arial"/>
                <w:b/>
                <w:color w:val="31849B" w:themeColor="accent5" w:themeShade="BF"/>
                <w:sz w:val="22"/>
                <w:szCs w:val="24"/>
              </w:rPr>
            </w:pPr>
            <w:r>
              <w:rPr>
                <w:rFonts w:ascii="Arial" w:eastAsiaTheme="minorEastAsia" w:hAnsi="Arial"/>
                <w:b/>
                <w:color w:val="31849B" w:themeColor="accent5" w:themeShade="BF"/>
                <w:sz w:val="22"/>
                <w:szCs w:val="24"/>
              </w:rPr>
              <w:t>PORTFOLIO</w:t>
            </w:r>
          </w:p>
          <w:p w14:paraId="2ACC2454" w14:textId="77777777" w:rsidR="007F4C89" w:rsidRDefault="007F4C89" w:rsidP="00B05D87">
            <w:pPr>
              <w:spacing w:before="280" w:beforeAutospacing="0" w:after="40" w:afterAutospacing="0"/>
              <w:jc w:val="center"/>
              <w:rPr>
                <w:rFonts w:ascii="Arial" w:eastAsiaTheme="minorEastAsia" w:hAnsi="Arial"/>
                <w:bCs/>
                <w:i/>
                <w:iCs/>
                <w:color w:val="31849B" w:themeColor="accent5" w:themeShade="BF"/>
                <w:szCs w:val="24"/>
              </w:rPr>
            </w:pPr>
            <w:r>
              <w:rPr>
                <w:rFonts w:ascii="Arial" w:eastAsiaTheme="minorEastAsia" w:hAnsi="Arial"/>
                <w:bCs/>
                <w:i/>
                <w:iCs/>
                <w:color w:val="31849B" w:themeColor="accent5" w:themeShade="BF"/>
                <w:szCs w:val="24"/>
              </w:rPr>
              <w:t>Billions to</w:t>
            </w:r>
          </w:p>
          <w:p w14:paraId="749A6F72" w14:textId="77777777" w:rsidR="007F4C89" w:rsidRDefault="007F4C89" w:rsidP="00B05D87">
            <w:pPr>
              <w:spacing w:beforeAutospacing="0" w:afterAutospacing="0" w:line="216" w:lineRule="auto"/>
              <w:jc w:val="center"/>
              <w:rPr>
                <w:rFonts w:ascii="Arial" w:eastAsiaTheme="minorEastAsia" w:hAnsi="Arial"/>
                <w:b/>
                <w:color w:val="DBE5F1" w:themeColor="accent1" w:themeTint="33"/>
                <w:sz w:val="22"/>
                <w:szCs w:val="24"/>
              </w:rPr>
            </w:pPr>
            <w:r>
              <w:rPr>
                <w:rFonts w:ascii="Arial" w:eastAsiaTheme="minorEastAsia" w:hAnsi="Arial"/>
                <w:bCs/>
                <w:i/>
                <w:iCs/>
                <w:color w:val="31849B" w:themeColor="accent5" w:themeShade="BF"/>
                <w:szCs w:val="24"/>
              </w:rPr>
              <w:t>save trillions</w:t>
            </w:r>
          </w:p>
        </w:tc>
        <w:tc>
          <w:tcPr>
            <w:tcW w:w="9106" w:type="dxa"/>
          </w:tcPr>
          <w:p w14:paraId="63B26CCF" w14:textId="77777777" w:rsidR="007F4C89" w:rsidRDefault="007F4C89" w:rsidP="00B05D87">
            <w:pPr>
              <w:spacing w:beforeAutospacing="0" w:afterAutospacing="0" w:line="216" w:lineRule="auto"/>
              <w:ind w:left="144" w:right="-504"/>
              <w:rPr>
                <w:rFonts w:ascii="MS Gothic" w:eastAsia="MS Gothic" w:hAnsi="MS Gothic" w:cs="MS Gothic"/>
                <w:b/>
                <w:color w:val="E67E22"/>
                <w:sz w:val="16"/>
              </w:rPr>
            </w:pPr>
            <w:r>
              <w:rPr>
                <w:rFonts w:ascii="MS Gothic" w:eastAsia="MS Gothic" w:hAnsi="MS Gothic" w:cs="MS Gothic"/>
                <w:b/>
                <w:color w:val="E67E22"/>
                <w:sz w:val="16"/>
              </w:rPr>
              <w:t>━━━━━━━━━━━━━━━━━━━━━━━━━━━━━━━━━━━━━━━━━━━━━━━━━━━</w:t>
            </w:r>
          </w:p>
          <w:p w14:paraId="4F053FE7" w14:textId="77777777" w:rsidR="007F4C89" w:rsidRDefault="007F4C89" w:rsidP="00B05D87">
            <w:pPr>
              <w:spacing w:before="200" w:beforeAutospacing="0" w:afterAutospacing="0"/>
              <w:ind w:left="144"/>
              <w:rPr>
                <w:rFonts w:ascii="Arial" w:eastAsiaTheme="minorEastAsia" w:hAnsi="Arial"/>
                <w:color w:val="6F7780"/>
                <w:sz w:val="22"/>
              </w:rPr>
            </w:pPr>
            <w:r>
              <w:rPr>
                <w:rFonts w:ascii="Arial" w:eastAsiaTheme="minorEastAsia" w:hAnsi="Arial"/>
                <w:b/>
                <w:color w:val="6F7780"/>
                <w:sz w:val="30"/>
              </w:rPr>
              <w:t>Proposed $1 Billion / Five-Year R&amp;D Program</w:t>
            </w:r>
          </w:p>
          <w:p w14:paraId="177160AE" w14:textId="77777777" w:rsidR="007F4C89" w:rsidRDefault="007F4C89" w:rsidP="00B05D87">
            <w:pPr>
              <w:spacing w:before="120" w:beforeAutospacing="0" w:afterAutospacing="0"/>
              <w:ind w:left="144"/>
              <w:rPr>
                <w:rFonts w:ascii="Arial" w:eastAsiaTheme="minorEastAsia" w:hAnsi="Arial"/>
                <w:b/>
                <w:color w:val="6F7780"/>
                <w:sz w:val="19"/>
              </w:rPr>
            </w:pPr>
            <w:r>
              <w:rPr>
                <w:rFonts w:ascii="Arial" w:eastAsiaTheme="minorEastAsia" w:hAnsi="Arial"/>
                <w:b/>
                <w:color w:val="6F7780"/>
                <w:sz w:val="19"/>
              </w:rPr>
              <w:t>HTR / PWR DEVELOPMENT TRACKS</w:t>
            </w:r>
          </w:p>
          <w:p w14:paraId="764EB68E" w14:textId="4A97DAE4" w:rsidR="007F4C89" w:rsidRPr="004966F1" w:rsidRDefault="007F4C89" w:rsidP="00B05D87">
            <w:pPr>
              <w:spacing w:before="120" w:beforeAutospacing="0" w:afterAutospacing="0"/>
              <w:ind w:left="144"/>
              <w:rPr>
                <w:rFonts w:ascii="Arial" w:eastAsiaTheme="minorEastAsia" w:hAnsi="Arial"/>
                <w:b/>
                <w:color w:val="6F7780"/>
                <w:sz w:val="19"/>
              </w:rPr>
            </w:pPr>
            <w:r>
              <w:rPr>
                <w:rFonts w:ascii="Arial" w:eastAsiaTheme="minorEastAsia" w:hAnsi="Arial"/>
                <w:b/>
                <w:color w:val="6F7780"/>
                <w:sz w:val="19"/>
              </w:rPr>
              <w:t>SPECIAL-PURPOSE MACHINE DEVELOPMENT</w:t>
            </w:r>
          </w:p>
          <w:p w14:paraId="44BE5168" w14:textId="36BA4384" w:rsidR="007F4C89" w:rsidRDefault="000706E5" w:rsidP="00B05D87">
            <w:pPr>
              <w:spacing w:before="480" w:beforeAutospacing="0" w:after="480" w:afterAutospacing="0"/>
              <w:ind w:left="144"/>
              <w:rPr>
                <w:rFonts w:ascii="Arial" w:eastAsiaTheme="minorEastAsia" w:hAnsi="Arial"/>
                <w:sz w:val="22"/>
              </w:rPr>
            </w:pPr>
            <w:r>
              <w:object w:dxaOrig="12800" w:dyaOrig="8130" w14:anchorId="5349E2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pt;height:225.5pt" o:ole="">
                  <v:imagedata r:id="rId8" o:title=""/>
                </v:shape>
                <o:OLEObject Type="Embed" ProgID="PBrush" ShapeID="_x0000_i1025" DrawAspect="Content" ObjectID="_1848825830" r:id="rId9"/>
              </w:object>
            </w:r>
          </w:p>
          <w:p w14:paraId="5445EB4E" w14:textId="77777777" w:rsidR="007F4C89" w:rsidRDefault="007F4C89" w:rsidP="00B05D87">
            <w:pPr>
              <w:spacing w:beforeAutospacing="0" w:after="80" w:afterAutospacing="0"/>
              <w:ind w:left="140"/>
              <w:rPr>
                <w:rFonts w:ascii="Arial" w:eastAsiaTheme="minorEastAsia" w:hAnsi="Arial"/>
                <w:b/>
                <w:color w:val="1F4E79"/>
                <w:sz w:val="27"/>
              </w:rPr>
            </w:pPr>
            <w:r>
              <w:rPr>
                <w:rFonts w:ascii="Arial" w:eastAsiaTheme="minorEastAsia" w:hAnsi="Arial"/>
                <w:b/>
                <w:color w:val="1F4E79"/>
                <w:sz w:val="27"/>
              </w:rPr>
              <w:t>By Glenn Weinreb</w:t>
            </w:r>
          </w:p>
          <w:p w14:paraId="1960F817" w14:textId="77777777" w:rsidR="007F4C89" w:rsidRPr="0003219B" w:rsidRDefault="007F4C89" w:rsidP="00B05D87">
            <w:pPr>
              <w:spacing w:beforeAutospacing="0" w:after="200" w:afterAutospacing="0"/>
              <w:ind w:left="144"/>
              <w:rPr>
                <w:rFonts w:ascii="Arial" w:eastAsiaTheme="minorEastAsia" w:hAnsi="Arial"/>
                <w:sz w:val="22"/>
              </w:rPr>
            </w:pPr>
            <w:r>
              <w:rPr>
                <w:rFonts w:ascii="Arial" w:eastAsiaTheme="minorEastAsia" w:hAnsi="Arial"/>
                <w:i/>
                <w:color w:val="1F4E79"/>
                <w:sz w:val="25"/>
              </w:rPr>
              <w:t>Developed with assistance from ChatGPT</w:t>
            </w:r>
          </w:p>
        </w:tc>
      </w:tr>
      <w:tr w:rsidR="007F4C89" w14:paraId="6BBA2A88" w14:textId="77777777" w:rsidTr="00315B52">
        <w:trPr>
          <w:trHeight w:hRule="exact" w:val="1800"/>
          <w:jc w:val="center"/>
        </w:trPr>
        <w:tc>
          <w:tcPr>
            <w:tcW w:w="1613" w:type="dxa"/>
            <w:shd w:val="clear" w:color="auto" w:fill="DBE5F1" w:themeFill="accent1" w:themeFillTint="33"/>
          </w:tcPr>
          <w:p w14:paraId="61612A72" w14:textId="77777777" w:rsidR="007F4C89" w:rsidRDefault="007F4C89" w:rsidP="00B05D87">
            <w:pPr>
              <w:spacing w:beforeAutospacing="0" w:afterAutospacing="0" w:line="216" w:lineRule="auto"/>
              <w:jc w:val="center"/>
              <w:rPr>
                <w:rFonts w:ascii="MS Gothic" w:eastAsia="MS Gothic" w:hAnsi="MS Gothic" w:cs="MS Gothic"/>
                <w:b/>
                <w:color w:val="E67E22"/>
                <w:sz w:val="16"/>
              </w:rPr>
            </w:pPr>
            <w:r>
              <w:rPr>
                <w:rFonts w:ascii="MS Gothic" w:eastAsia="MS Gothic" w:hAnsi="MS Gothic" w:cs="MS Gothic"/>
                <w:b/>
                <w:color w:val="E67E22"/>
                <w:sz w:val="16"/>
              </w:rPr>
              <w:t>━━━━━━━</w:t>
            </w:r>
          </w:p>
          <w:p w14:paraId="67A649D4" w14:textId="77777777" w:rsidR="007F4C89" w:rsidRDefault="007F4C89" w:rsidP="00B05D87">
            <w:pPr>
              <w:spacing w:before="80" w:beforeAutospacing="0" w:after="160" w:afterAutospacing="0"/>
              <w:jc w:val="center"/>
              <w:rPr>
                <w:rFonts w:ascii="Arial" w:eastAsiaTheme="minorEastAsia" w:hAnsi="Arial"/>
                <w:b/>
                <w:color w:val="31849B" w:themeColor="accent5" w:themeShade="BF"/>
                <w:sz w:val="22"/>
                <w:szCs w:val="24"/>
              </w:rPr>
            </w:pPr>
            <w:r>
              <w:rPr>
                <w:rFonts w:ascii="Arial" w:eastAsiaTheme="minorEastAsia" w:hAnsi="Arial"/>
                <w:b/>
                <w:color w:val="31849B" w:themeColor="accent5" w:themeShade="BF"/>
                <w:sz w:val="22"/>
                <w:szCs w:val="24"/>
              </w:rPr>
              <w:t>OPEN</w:t>
            </w:r>
          </w:p>
          <w:p w14:paraId="716B31DD" w14:textId="77777777" w:rsidR="007F4C89" w:rsidRDefault="007F4C89" w:rsidP="00B05D87">
            <w:pPr>
              <w:spacing w:before="80" w:beforeAutospacing="0" w:after="80" w:afterAutospacing="0"/>
              <w:jc w:val="center"/>
              <w:rPr>
                <w:rFonts w:ascii="Arial" w:eastAsiaTheme="minorEastAsia" w:hAnsi="Arial"/>
                <w:b/>
                <w:color w:val="31849B" w:themeColor="accent5" w:themeShade="BF"/>
                <w:sz w:val="22"/>
                <w:szCs w:val="24"/>
              </w:rPr>
            </w:pPr>
            <w:r>
              <w:rPr>
                <w:rFonts w:ascii="Arial" w:eastAsiaTheme="minorEastAsia" w:hAnsi="Arial"/>
                <w:b/>
                <w:color w:val="31849B" w:themeColor="accent5" w:themeShade="BF"/>
                <w:sz w:val="22"/>
                <w:szCs w:val="24"/>
              </w:rPr>
              <w:t>SOURCE</w:t>
            </w:r>
          </w:p>
          <w:p w14:paraId="3864E20C" w14:textId="77777777" w:rsidR="007F4C89" w:rsidRDefault="007F4C89" w:rsidP="00B05D87">
            <w:pPr>
              <w:spacing w:beforeAutospacing="0" w:afterAutospacing="0" w:line="216" w:lineRule="auto"/>
              <w:jc w:val="center"/>
              <w:rPr>
                <w:rFonts w:ascii="MS Gothic" w:eastAsia="MS Gothic" w:hAnsi="MS Gothic" w:cs="MS Gothic"/>
                <w:b/>
                <w:color w:val="E67E22"/>
                <w:sz w:val="16"/>
              </w:rPr>
            </w:pPr>
          </w:p>
        </w:tc>
        <w:tc>
          <w:tcPr>
            <w:tcW w:w="9106" w:type="dxa"/>
          </w:tcPr>
          <w:p w14:paraId="1140BC75" w14:textId="77777777" w:rsidR="007F4C89" w:rsidRDefault="007F4C89" w:rsidP="00B05D87">
            <w:pPr>
              <w:spacing w:beforeAutospacing="0" w:afterAutospacing="0" w:line="216" w:lineRule="auto"/>
              <w:ind w:left="144" w:right="-504"/>
              <w:rPr>
                <w:rFonts w:ascii="MS Gothic" w:eastAsia="MS Gothic" w:hAnsi="MS Gothic" w:cs="MS Gothic"/>
                <w:b/>
                <w:color w:val="E67E22"/>
                <w:sz w:val="16"/>
              </w:rPr>
            </w:pPr>
            <w:r>
              <w:rPr>
                <w:rFonts w:ascii="MS Gothic" w:eastAsia="MS Gothic" w:hAnsi="MS Gothic" w:cs="MS Gothic"/>
                <w:b/>
                <w:color w:val="E67E22"/>
                <w:sz w:val="16"/>
              </w:rPr>
              <w:t>━━━━━━━━━━━━━━━━━━━━━━━━━━━━━━━━━━━━━━━━━━━━━━━━━━━</w:t>
            </w:r>
          </w:p>
          <w:p w14:paraId="7B8A7CAA" w14:textId="77777777" w:rsidR="007F4C89" w:rsidRPr="003401F9" w:rsidRDefault="007F4C89" w:rsidP="00B05D87">
            <w:pPr>
              <w:spacing w:before="80" w:beforeAutospacing="0" w:after="200" w:afterAutospacing="0"/>
              <w:ind w:left="144"/>
              <w:rPr>
                <w:rFonts w:ascii="Arial" w:eastAsiaTheme="minorEastAsia" w:hAnsi="Arial" w:cs="Arial"/>
                <w:sz w:val="20"/>
                <w:szCs w:val="20"/>
              </w:rPr>
            </w:pPr>
            <w:hyperlink r:id="rId10">
              <w:r w:rsidRPr="003401F9">
                <w:rPr>
                  <w:rFonts w:ascii="Arial" w:eastAsiaTheme="minorEastAsia" w:hAnsi="Arial" w:cs="Arial"/>
                  <w:color w:val="4A5056"/>
                  <w:sz w:val="20"/>
                  <w:szCs w:val="20"/>
                  <w:u w:val="single"/>
                </w:rPr>
                <w:t>Original files</w:t>
              </w:r>
            </w:hyperlink>
            <w:r w:rsidRPr="003401F9">
              <w:rPr>
                <w:rFonts w:ascii="Arial" w:eastAsiaTheme="minorEastAsia" w:hAnsi="Arial" w:cs="Arial"/>
                <w:color w:val="4A5056"/>
                <w:sz w:val="20"/>
                <w:szCs w:val="20"/>
              </w:rPr>
              <w:t xml:space="preserve"> are free to copy and modify under the </w:t>
            </w:r>
            <w:hyperlink r:id="rId11">
              <w:r w:rsidRPr="003401F9">
                <w:rPr>
                  <w:rFonts w:ascii="Arial" w:eastAsiaTheme="minorEastAsia" w:hAnsi="Arial" w:cs="Arial"/>
                  <w:color w:val="4A5056"/>
                  <w:sz w:val="20"/>
                  <w:szCs w:val="20"/>
                  <w:u w:val="single"/>
                </w:rPr>
                <w:t>CC BY 4.0</w:t>
              </w:r>
            </w:hyperlink>
            <w:r w:rsidRPr="003401F9">
              <w:rPr>
                <w:rFonts w:ascii="Arial" w:eastAsiaTheme="minorEastAsia" w:hAnsi="Arial" w:cs="Arial"/>
                <w:color w:val="4A5056"/>
                <w:sz w:val="20"/>
                <w:szCs w:val="20"/>
              </w:rPr>
              <w:t xml:space="preserve"> open-source license.</w:t>
            </w:r>
          </w:p>
          <w:p w14:paraId="0ADD6D63" w14:textId="19BAF381" w:rsidR="007F4C89" w:rsidRDefault="007F4C89" w:rsidP="00B05D87">
            <w:pPr>
              <w:spacing w:beforeAutospacing="0" w:afterAutospacing="0" w:line="216" w:lineRule="auto"/>
              <w:ind w:left="144" w:right="-504"/>
              <w:rPr>
                <w:rFonts w:ascii="MS Gothic" w:eastAsia="MS Gothic" w:hAnsi="MS Gothic" w:cs="MS Gothic"/>
                <w:b/>
                <w:color w:val="E67E22"/>
                <w:sz w:val="16"/>
              </w:rPr>
            </w:pPr>
            <w:r w:rsidRPr="003401F9">
              <w:rPr>
                <w:rFonts w:ascii="Arial" w:eastAsiaTheme="minorEastAsia" w:hAnsi="Arial" w:cs="Arial"/>
                <w:color w:val="4A5056"/>
                <w:sz w:val="20"/>
                <w:szCs w:val="20"/>
              </w:rPr>
              <w:t>August 2</w:t>
            </w:r>
            <w:r w:rsidR="004966F1">
              <w:rPr>
                <w:rFonts w:ascii="Arial" w:eastAsiaTheme="minorEastAsia" w:hAnsi="Arial" w:cs="Arial"/>
                <w:color w:val="4A5056"/>
                <w:sz w:val="20"/>
                <w:szCs w:val="20"/>
              </w:rPr>
              <w:t>1</w:t>
            </w:r>
            <w:r w:rsidRPr="003401F9">
              <w:rPr>
                <w:rFonts w:ascii="Arial" w:eastAsiaTheme="minorEastAsia" w:hAnsi="Arial" w:cs="Arial"/>
                <w:color w:val="4A5056"/>
                <w:sz w:val="20"/>
                <w:szCs w:val="20"/>
              </w:rPr>
              <w:t>, 2026 | v2</w:t>
            </w:r>
            <w:r w:rsidR="004966F1">
              <w:rPr>
                <w:rFonts w:ascii="Arial" w:eastAsiaTheme="minorEastAsia" w:hAnsi="Arial" w:cs="Arial"/>
                <w:color w:val="4A5056"/>
                <w:sz w:val="20"/>
                <w:szCs w:val="20"/>
              </w:rPr>
              <w:t>k</w:t>
            </w:r>
            <w:r w:rsidRPr="003401F9">
              <w:rPr>
                <w:rFonts w:ascii="Arial" w:eastAsiaTheme="minorEastAsia" w:hAnsi="Arial" w:cs="Arial"/>
                <w:color w:val="4A5056"/>
                <w:sz w:val="20"/>
                <w:szCs w:val="20"/>
              </w:rPr>
              <w:t xml:space="preserve"> | Copyright © 2026 by Glenn Weinreb | </w:t>
            </w:r>
            <w:hyperlink r:id="rId12" w:history="1">
              <w:r w:rsidRPr="003401F9">
                <w:rPr>
                  <w:rStyle w:val="bhyperlinkChar"/>
                  <w:rFonts w:ascii="Arial" w:hAnsi="Arial" w:cs="Arial"/>
                  <w:sz w:val="20"/>
                  <w:szCs w:val="20"/>
                </w:rPr>
                <w:t>www.APlanToSaveThePlanet.org</w:t>
              </w:r>
            </w:hyperlink>
          </w:p>
        </w:tc>
      </w:tr>
    </w:tbl>
    <w:p w14:paraId="5FFE8CC1" w14:textId="77777777" w:rsidR="003A5A50" w:rsidRDefault="00CB4873">
      <w:pPr>
        <w:pStyle w:val="Heading1"/>
        <w:spacing w:before="280" w:after="280"/>
      </w:pPr>
      <w:bookmarkStart w:id="2" w:name="_Toc238204697"/>
      <w:r>
        <w:lastRenderedPageBreak/>
        <w:t>Executive Summary</w:t>
      </w:r>
      <w:bookmarkEnd w:id="0"/>
      <w:bookmarkEnd w:id="1"/>
      <w:bookmarkEnd w:id="2"/>
    </w:p>
    <w:p w14:paraId="436AB0F0" w14:textId="77777777" w:rsidR="003A5A50" w:rsidRDefault="00CB4873" w:rsidP="00076F8C">
      <w:r w:rsidRPr="004139C7">
        <w:rPr>
          <w:b/>
          <w:color w:val="4F81BD" w:themeColor="accent1"/>
        </w:rPr>
        <w:t>Purpose.</w:t>
      </w:r>
      <w:r>
        <w:rPr>
          <w:b/>
        </w:rPr>
        <w:t xml:space="preserve"> </w:t>
      </w:r>
      <w:r>
        <w:t xml:space="preserve">This proposed $1 billion, five-year R&amp;D initiative develops and demonstrates machines, tooling, controls, logistics, and digital systems that could automate repetitive site-construction work for two standardized Chinese reference plants: a high-temperature gas-cooled reactor (HTR), using China's </w:t>
      </w:r>
      <w:hyperlink r:id="rId13">
        <w:r w:rsidR="003A5A50">
          <w:rPr>
            <w:rFonts w:eastAsiaTheme="minorHAnsi"/>
            <w:color w:val="7F7F7F" w:themeColor="text1" w:themeTint="80"/>
            <w:u w:val="single"/>
          </w:rPr>
          <w:t>HTR-PM</w:t>
        </w:r>
      </w:hyperlink>
      <w:r>
        <w:t xml:space="preserve">/HTR-PM600 family as the initial reference design, and a </w:t>
      </w:r>
      <w:hyperlink r:id="rId14">
        <w:r w:rsidR="003A5A50">
          <w:rPr>
            <w:rFonts w:eastAsiaTheme="minorHAnsi"/>
            <w:color w:val="7F7F7F" w:themeColor="text1" w:themeTint="80"/>
            <w:u w:val="single"/>
          </w:rPr>
          <w:t>Hualong One</w:t>
        </w:r>
      </w:hyperlink>
      <w:r>
        <w:t>-class Pressurized Water Reactor (PWR). It is a design-and-demonstration program, not a budget to build or license a commercial nuclear plant.</w:t>
      </w:r>
    </w:p>
    <w:p w14:paraId="6F12C572" w14:textId="77777777" w:rsidR="003A5A50" w:rsidRDefault="00CB4873">
      <w:pPr>
        <w:spacing w:before="280" w:after="120"/>
      </w:pPr>
      <w:r w:rsidRPr="004139C7">
        <w:rPr>
          <w:b/>
          <w:color w:val="4F81BD" w:themeColor="accent1"/>
        </w:rPr>
        <w:t>Economic hypothesis.</w:t>
      </w:r>
      <w:r>
        <w:rPr>
          <w:b/>
        </w:rPr>
        <w:t xml:space="preserve"> </w:t>
      </w:r>
      <w:r>
        <w:t>A reusable construction-machine platform, combined with standardized interfaces, modularization, heavy handling, human-supervised automation, metrology, and auditable digital quality records, may reduce site labor, rework, construction time, and financing exposure. Common machinery is preferred where it lowers lifecycle cost; reactor-specific tooling is used where geometry, sequence, or nuclear requirements make commonality impractical.</w:t>
      </w:r>
    </w:p>
    <w:p w14:paraId="3E2D9396" w14:textId="77777777" w:rsidR="003A5A50" w:rsidRDefault="00CB4873" w:rsidP="009A40E2">
      <w:r w:rsidRPr="004139C7">
        <w:rPr>
          <w:b/>
          <w:color w:val="4F81BD" w:themeColor="accent1"/>
        </w:rPr>
        <w:t xml:space="preserve">Five-year work. </w:t>
      </w:r>
      <w:r>
        <w:t>The program develops full-scale or near-full-scale prototypes for excavation and earthworks; material flow; heavy lift and precision positioning; concrete, rebar, formwork, steel-liner, and structural automation; module transport and installation; digital twins, autonomy, metrology, and nuclear QA; and a shared non-nuclear pilot site. The baseline technical program is $800 million with a centrally controlled $200 million risk reserve and explicit decision gates before the largest fabrication and pilot commi</w:t>
      </w:r>
      <w:r>
        <w:t>tments.</w:t>
      </w:r>
    </w:p>
    <w:p w14:paraId="7583ADFE" w14:textId="77777777" w:rsidR="003A5A50" w:rsidRDefault="00CB4873">
      <w:pPr>
        <w:spacing w:before="280" w:after="120"/>
      </w:pPr>
      <w:r w:rsidRPr="004139C7">
        <w:rPr>
          <w:b/>
          <w:color w:val="4F81BD" w:themeColor="accent1"/>
        </w:rPr>
        <w:t xml:space="preserve">Success criterion. </w:t>
      </w:r>
      <w:r>
        <w:t>The objective is independently measured evidence: machine performance, construction quality, safety, labor, cycle time, availability, rework, site-construction cost, schedule, and implications for total plant CAPEX and LCOE. The program does not guarantee a specific reactor cost, construction duration, siting outcome, electricity price, or commercial deployment.</w:t>
      </w:r>
    </w:p>
    <w:p w14:paraId="7B8FACC7" w14:textId="77777777" w:rsidR="00C906F8" w:rsidRDefault="00C906F8">
      <w:pPr>
        <w:spacing w:before="280" w:after="120"/>
      </w:pPr>
      <w:r>
        <w:rPr>
          <w:b/>
          <w:bCs/>
          <w:color w:val="4F81BD" w:themeColor="accent1"/>
        </w:rPr>
        <w:t>Climate Moonshot Portfolio</w:t>
      </w:r>
      <w:r w:rsidRPr="00C3075A">
        <w:rPr>
          <w:b/>
          <w:bCs/>
          <w:color w:val="4F81BD" w:themeColor="accent1"/>
        </w:rPr>
        <w:t>.</w:t>
      </w:r>
      <w:r>
        <w:rPr>
          <w:b/>
          <w:bCs/>
          <w:color w:val="4F81BD" w:themeColor="accent1"/>
        </w:rPr>
        <w:t xml:space="preserve"> </w:t>
      </w:r>
      <w:r>
        <w:t>We define “Climate Moonshot” as conducting R&amp;D to the extent required to solve the climate problem.</w:t>
      </w:r>
      <w:r w:rsidRPr="005A216A">
        <w:t xml:space="preserve"> </w:t>
      </w:r>
      <w:r>
        <w:t>This would require</w:t>
      </w:r>
      <w:r w:rsidRPr="0024063D">
        <w:t xml:space="preserve"> a portfolio of R&amp;D initiatives</w:t>
      </w:r>
      <w:r>
        <w:t xml:space="preserve">, an example of which is at </w:t>
      </w:r>
      <w:hyperlink r:id="rId15" w:history="1">
        <w:r w:rsidRPr="00BD3531">
          <w:rPr>
            <w:rStyle w:val="bhyperlinkChar"/>
          </w:rPr>
          <w:t>www.APlanToSaveThePlanet.org</w:t>
        </w:r>
      </w:hyperlink>
      <w:r>
        <w:t xml:space="preserve">. The document you are reading is one initiative within that portfolio. It uses a </w:t>
      </w:r>
      <w:hyperlink r:id="rId16" w:anchor="framework" w:history="1">
        <w:r>
          <w:rPr>
            <w:rStyle w:val="bhyperlinkChar"/>
          </w:rPr>
          <w:t>C</w:t>
        </w:r>
        <w:r w:rsidRPr="00350320">
          <w:rPr>
            <w:rStyle w:val="bhyperlinkChar"/>
          </w:rPr>
          <w:t xml:space="preserve">ommon </w:t>
        </w:r>
        <w:r>
          <w:rPr>
            <w:rStyle w:val="bhyperlinkChar"/>
          </w:rPr>
          <w:t>F</w:t>
        </w:r>
        <w:r w:rsidRPr="00350320">
          <w:rPr>
            <w:rStyle w:val="bhyperlinkChar"/>
          </w:rPr>
          <w:t>ramework</w:t>
        </w:r>
      </w:hyperlink>
      <w:r>
        <w:t xml:space="preserve"> that </w:t>
      </w:r>
      <w:r w:rsidRPr="00444E9C">
        <w:t xml:space="preserve">establishes shared rules for governance, procurement, </w:t>
      </w:r>
      <w:r>
        <w:t>d</w:t>
      </w:r>
      <w:r w:rsidRPr="00444E9C">
        <w:t>ata rights, independent review, and oversight.</w:t>
      </w:r>
      <w:r>
        <w:t xml:space="preserve"> All documents within this portfolio are </w:t>
      </w:r>
      <w:hyperlink r:id="rId17" w:history="1">
        <w:r w:rsidRPr="002E0559">
          <w:rPr>
            <w:rStyle w:val="bhyperlinkChar"/>
          </w:rPr>
          <w:t>open-source</w:t>
        </w:r>
      </w:hyperlink>
      <w:r>
        <w:t xml:space="preserve"> and may be freely viewed, used, and modified.</w:t>
      </w:r>
    </w:p>
    <w:p w14:paraId="2419882B" w14:textId="51E4425B" w:rsidR="00C764CE" w:rsidRDefault="00C764CE" w:rsidP="00C764CE">
      <w:pPr>
        <w:pStyle w:val="bhyperlink"/>
        <w:spacing w:before="0" w:beforeAutospacing="0" w:after="360" w:afterAutospacing="0"/>
        <w:ind w:left="360"/>
        <w:rPr>
          <w:rFonts w:ascii="Courier New" w:eastAsia="Courier New" w:hAnsi="Courier New" w:cs="Courier New"/>
          <w:sz w:val="22"/>
        </w:rPr>
      </w:pPr>
    </w:p>
    <w:p w14:paraId="0289B26A" w14:textId="77777777" w:rsidR="00DB7BD3" w:rsidRDefault="00CB4873">
      <w:pPr>
        <w:pStyle w:val="Heading1"/>
        <w:spacing w:before="280" w:after="280"/>
      </w:pPr>
      <w:bookmarkStart w:id="3" w:name="_Toc238204698"/>
      <w:r>
        <w:lastRenderedPageBreak/>
        <w:t>Program at a Glance</w:t>
      </w:r>
      <w:bookmarkEnd w:id="3"/>
    </w:p>
    <w:p w14:paraId="3B27A112" w14:textId="2F51B1BF" w:rsidR="00DB7BD3" w:rsidRDefault="00CB4873">
      <w:pPr>
        <w:spacing w:before="280" w:after="280"/>
      </w:pPr>
      <w:r>
        <w:t>The program i</w:t>
      </w:r>
      <w:r w:rsidR="001F2061">
        <w:t>s d</w:t>
      </w:r>
      <w:r>
        <w:t>esigned to determine whether a reusable family of machines, controls, interfaces, and quality systems can materially lower the cost and duration of nuclear site construction in China while preserving nuclear construction quality, safety, and regulator credibility.</w:t>
      </w:r>
    </w:p>
    <w:tbl>
      <w:tblPr>
        <w:tblStyle w:val="gswTableStyle"/>
        <w:tblW w:w="10069" w:type="dxa"/>
        <w:tblLayout w:type="fixed"/>
        <w:tblLook w:val="04A0" w:firstRow="1" w:lastRow="0" w:firstColumn="1" w:lastColumn="0" w:noHBand="0" w:noVBand="1"/>
      </w:tblPr>
      <w:tblGrid>
        <w:gridCol w:w="2545"/>
        <w:gridCol w:w="7524"/>
      </w:tblGrid>
      <w:tr w:rsidR="003A5A50" w14:paraId="4AC51AEE" w14:textId="77777777" w:rsidTr="00467FA7">
        <w:trPr>
          <w:cnfStyle w:val="100000000000" w:firstRow="1" w:lastRow="0" w:firstColumn="0" w:lastColumn="0" w:oddVBand="0" w:evenVBand="0" w:oddHBand="0" w:evenHBand="0" w:firstRowFirstColumn="0" w:firstRowLastColumn="0" w:lastRowFirstColumn="0" w:lastRowLastColumn="0"/>
        </w:trPr>
        <w:tc>
          <w:tcPr>
            <w:tcW w:w="2545" w:type="dxa"/>
          </w:tcPr>
          <w:p w14:paraId="7A5AFD29" w14:textId="77777777" w:rsidR="003A5A50" w:rsidRDefault="00CB4873">
            <w:pPr>
              <w:pStyle w:val="cTableHeader"/>
              <w:spacing w:before="0" w:after="0"/>
            </w:pPr>
            <w:r>
              <w:t>Item</w:t>
            </w:r>
          </w:p>
        </w:tc>
        <w:tc>
          <w:tcPr>
            <w:tcW w:w="7524" w:type="dxa"/>
          </w:tcPr>
          <w:p w14:paraId="0FAF14FE" w14:textId="77777777" w:rsidR="003A5A50" w:rsidRDefault="00CB4873">
            <w:pPr>
              <w:pStyle w:val="cTableHeader"/>
              <w:spacing w:before="0" w:after="0"/>
            </w:pPr>
            <w:r>
              <w:t>Program design</w:t>
            </w:r>
          </w:p>
        </w:tc>
      </w:tr>
      <w:tr w:rsidR="003A5A50" w14:paraId="69A49642" w14:textId="77777777" w:rsidTr="00467FA7">
        <w:tc>
          <w:tcPr>
            <w:tcW w:w="2545" w:type="dxa"/>
          </w:tcPr>
          <w:p w14:paraId="06A70151" w14:textId="77777777" w:rsidR="003A5A50" w:rsidRDefault="00CB4873">
            <w:pPr>
              <w:pStyle w:val="cTableBody"/>
              <w:spacing w:before="0" w:after="0"/>
            </w:pPr>
            <w:r>
              <w:t>Total funding and duration</w:t>
            </w:r>
          </w:p>
        </w:tc>
        <w:tc>
          <w:tcPr>
            <w:tcW w:w="7524" w:type="dxa"/>
          </w:tcPr>
          <w:p w14:paraId="4FEA46A2" w14:textId="77777777" w:rsidR="003A5A50" w:rsidRDefault="00CB4873">
            <w:pPr>
              <w:pStyle w:val="cTableBody"/>
              <w:spacing w:before="0" w:after="0"/>
            </w:pPr>
            <w:r>
              <w:t>$1.0 billion over five years.</w:t>
            </w:r>
          </w:p>
        </w:tc>
      </w:tr>
      <w:tr w:rsidR="003A5A50" w14:paraId="2ADCF18A" w14:textId="77777777" w:rsidTr="00467FA7">
        <w:tc>
          <w:tcPr>
            <w:tcW w:w="2545" w:type="dxa"/>
          </w:tcPr>
          <w:p w14:paraId="6A2540E9" w14:textId="77777777" w:rsidR="003A5A50" w:rsidRDefault="00CB4873">
            <w:pPr>
              <w:pStyle w:val="cTableBody"/>
              <w:spacing w:before="0" w:after="0"/>
            </w:pPr>
            <w:r>
              <w:t>Mission</w:t>
            </w:r>
          </w:p>
        </w:tc>
        <w:tc>
          <w:tcPr>
            <w:tcW w:w="7524" w:type="dxa"/>
          </w:tcPr>
          <w:p w14:paraId="323809CE" w14:textId="77777777" w:rsidR="003A5A50" w:rsidRDefault="00CB4873">
            <w:pPr>
              <w:pStyle w:val="cTableBody"/>
              <w:spacing w:before="0" w:after="0"/>
            </w:pPr>
            <w:r>
              <w:t>Develop and demonstrate reusable systems that reduce site-construction labor, rework, schedule, and financing exposure for standardized nuclear plants in China.</w:t>
            </w:r>
          </w:p>
        </w:tc>
      </w:tr>
      <w:tr w:rsidR="003A5A50" w14:paraId="6DF99734" w14:textId="77777777" w:rsidTr="00467FA7">
        <w:tc>
          <w:tcPr>
            <w:tcW w:w="2545" w:type="dxa"/>
          </w:tcPr>
          <w:p w14:paraId="792AFC78" w14:textId="77777777" w:rsidR="003A5A50" w:rsidRDefault="00CB4873">
            <w:pPr>
              <w:pStyle w:val="cTableBody"/>
              <w:spacing w:before="0" w:after="0"/>
            </w:pPr>
            <w:r>
              <w:t>Reference tracks</w:t>
            </w:r>
          </w:p>
        </w:tc>
        <w:tc>
          <w:tcPr>
            <w:tcW w:w="7524" w:type="dxa"/>
          </w:tcPr>
          <w:p w14:paraId="0124706C" w14:textId="02316CE2" w:rsidR="003A5A50" w:rsidRDefault="0099287E">
            <w:pPr>
              <w:pStyle w:val="cTableBody"/>
              <w:spacing w:before="0" w:after="0"/>
            </w:pPr>
            <w:hyperlink r:id="rId18" w:history="1">
              <w:r w:rsidRPr="0099287E">
                <w:rPr>
                  <w:rStyle w:val="Hyperlink"/>
                  <w:color w:val="7F7F7F" w:themeColor="text1" w:themeTint="80"/>
                </w:rPr>
                <w:t>HTR-PM</w:t>
              </w:r>
            </w:hyperlink>
            <w:r>
              <w:t xml:space="preserve">/HTR-PM600 high-temperature gas-cooled reactor track plus Hualong One/HPR1000-class </w:t>
            </w:r>
            <w:hyperlink r:id="rId19" w:history="1">
              <w:r w:rsidRPr="00735947">
                <w:rPr>
                  <w:rStyle w:val="Hyperlink"/>
                  <w:color w:val="7F7F7F" w:themeColor="text1" w:themeTint="80"/>
                </w:rPr>
                <w:t>PWR</w:t>
              </w:r>
            </w:hyperlink>
            <w:r>
              <w:t xml:space="preserve"> track.</w:t>
            </w:r>
          </w:p>
        </w:tc>
      </w:tr>
      <w:tr w:rsidR="003A5A50" w14:paraId="324AC168" w14:textId="77777777" w:rsidTr="00467FA7">
        <w:tc>
          <w:tcPr>
            <w:tcW w:w="2545" w:type="dxa"/>
          </w:tcPr>
          <w:p w14:paraId="1B2A9A09" w14:textId="77777777" w:rsidR="003A5A50" w:rsidRDefault="00CB4873">
            <w:pPr>
              <w:pStyle w:val="cTableBody"/>
              <w:spacing w:before="0" w:after="0"/>
            </w:pPr>
            <w:r>
              <w:t>Technical strategy</w:t>
            </w:r>
          </w:p>
        </w:tc>
        <w:tc>
          <w:tcPr>
            <w:tcW w:w="7524" w:type="dxa"/>
          </w:tcPr>
          <w:p w14:paraId="4C63F8C0" w14:textId="77777777" w:rsidR="003A5A50" w:rsidRDefault="00CB4873">
            <w:pPr>
              <w:pStyle w:val="cTableBody"/>
              <w:spacing w:before="0" w:after="0"/>
            </w:pPr>
            <w:r>
              <w:t>Use common machinery, controls, metrology, interfaces, and digital QA where lifecycle economics support commonality; use reactor-specific tooling where geometry, sequence, or nuclear requirements require divergence.</w:t>
            </w:r>
          </w:p>
        </w:tc>
      </w:tr>
      <w:tr w:rsidR="003A5A50" w14:paraId="4692D41D" w14:textId="77777777" w:rsidTr="00467FA7">
        <w:tc>
          <w:tcPr>
            <w:tcW w:w="2545" w:type="dxa"/>
          </w:tcPr>
          <w:p w14:paraId="78EA7C95" w14:textId="77777777" w:rsidR="003A5A50" w:rsidRDefault="00CB4873">
            <w:pPr>
              <w:pStyle w:val="cTableBody"/>
              <w:spacing w:before="0" w:after="0"/>
            </w:pPr>
            <w:r>
              <w:t>Baseline technical program</w:t>
            </w:r>
          </w:p>
        </w:tc>
        <w:tc>
          <w:tcPr>
            <w:tcW w:w="7524" w:type="dxa"/>
          </w:tcPr>
          <w:p w14:paraId="56BA5D1C" w14:textId="77777777" w:rsidR="003A5A50" w:rsidRDefault="00CB4873">
            <w:pPr>
              <w:pStyle w:val="cTableBody"/>
              <w:spacing w:before="0" w:after="0"/>
            </w:pPr>
            <w:r>
              <w:t>$800M across ten work packages; $200M centrally controlled risk reserve.</w:t>
            </w:r>
          </w:p>
        </w:tc>
      </w:tr>
      <w:tr w:rsidR="003A5A50" w14:paraId="7B5AFA39" w14:textId="77777777" w:rsidTr="00467FA7">
        <w:tc>
          <w:tcPr>
            <w:tcW w:w="2545" w:type="dxa"/>
          </w:tcPr>
          <w:p w14:paraId="09E02751" w14:textId="77777777" w:rsidR="003A5A50" w:rsidRDefault="00CB4873">
            <w:pPr>
              <w:pStyle w:val="cTableBody"/>
              <w:spacing w:before="0" w:after="0"/>
            </w:pPr>
            <w:r>
              <w:t>Principal development</w:t>
            </w:r>
          </w:p>
        </w:tc>
        <w:tc>
          <w:tcPr>
            <w:tcW w:w="7524" w:type="dxa"/>
          </w:tcPr>
          <w:p w14:paraId="77510C8A" w14:textId="77777777" w:rsidR="003A5A50" w:rsidRDefault="00CB4873">
            <w:pPr>
              <w:pStyle w:val="cTableBody"/>
              <w:spacing w:before="0" w:after="0"/>
            </w:pPr>
            <w:r>
              <w:t>Excavation and earthworks; material flow; heavy lift and positioning; rebar/concrete/liners; module transport and installation; autonomy, metrology, and nuclear QA data systems.</w:t>
            </w:r>
          </w:p>
        </w:tc>
      </w:tr>
      <w:tr w:rsidR="003A5A50" w14:paraId="26D523A2" w14:textId="77777777" w:rsidTr="00467FA7">
        <w:tc>
          <w:tcPr>
            <w:tcW w:w="2545" w:type="dxa"/>
          </w:tcPr>
          <w:p w14:paraId="6C3E52B7" w14:textId="77777777" w:rsidR="003A5A50" w:rsidRDefault="00CB4873">
            <w:pPr>
              <w:pStyle w:val="cTableBody"/>
              <w:spacing w:before="0" w:after="0"/>
            </w:pPr>
            <w:r>
              <w:t>Demonstration</w:t>
            </w:r>
          </w:p>
        </w:tc>
        <w:tc>
          <w:tcPr>
            <w:tcW w:w="7524" w:type="dxa"/>
          </w:tcPr>
          <w:p w14:paraId="2DF839FB" w14:textId="77777777" w:rsidR="003A5A50" w:rsidRDefault="00CB4873">
            <w:pPr>
              <w:pStyle w:val="cTableBody"/>
              <w:spacing w:before="0" w:after="0"/>
            </w:pPr>
            <w:r>
              <w:t>Shared non-nuclear dual-track pilot site with representative HTR and PWR civil test articles and repeated end-to-end machine campaigns.</w:t>
            </w:r>
          </w:p>
        </w:tc>
      </w:tr>
      <w:tr w:rsidR="003A5A50" w14:paraId="424AB102" w14:textId="77777777" w:rsidTr="00467FA7">
        <w:tc>
          <w:tcPr>
            <w:tcW w:w="2545" w:type="dxa"/>
          </w:tcPr>
          <w:p w14:paraId="59C4C256" w14:textId="77777777" w:rsidR="003A5A50" w:rsidRDefault="00CB4873">
            <w:pPr>
              <w:pStyle w:val="cTableBody"/>
              <w:spacing w:before="0" w:after="0"/>
            </w:pPr>
            <w:r>
              <w:t>Evidence standard</w:t>
            </w:r>
          </w:p>
        </w:tc>
        <w:tc>
          <w:tcPr>
            <w:tcW w:w="7524" w:type="dxa"/>
          </w:tcPr>
          <w:p w14:paraId="6C6037D4" w14:textId="77777777" w:rsidR="003A5A50" w:rsidRDefault="00CB4873">
            <w:pPr>
              <w:pStyle w:val="cTableBody"/>
              <w:spacing w:before="0" w:after="0"/>
            </w:pPr>
            <w:r>
              <w:t>Independent measurement of machine cycle time, labor, availability, quality, rework, safety, site $/W, construction schedule, and implications for total CAPEX and LCOE versus conventional Chinese construction.</w:t>
            </w:r>
          </w:p>
        </w:tc>
      </w:tr>
      <w:tr w:rsidR="003A5A50" w14:paraId="44F0EE6F" w14:textId="77777777" w:rsidTr="00467FA7">
        <w:tc>
          <w:tcPr>
            <w:tcW w:w="2545" w:type="dxa"/>
          </w:tcPr>
          <w:p w14:paraId="7426FC82" w14:textId="77777777" w:rsidR="003A5A50" w:rsidRDefault="00CB4873">
            <w:pPr>
              <w:pStyle w:val="cTableBody"/>
              <w:spacing w:before="0" w:after="0"/>
            </w:pPr>
            <w:r>
              <w:t>End product</w:t>
            </w:r>
          </w:p>
        </w:tc>
        <w:tc>
          <w:tcPr>
            <w:tcW w:w="7524" w:type="dxa"/>
          </w:tcPr>
          <w:p w14:paraId="16B1FAD8" w14:textId="77777777" w:rsidR="003A5A50" w:rsidRDefault="00CB4873">
            <w:pPr>
              <w:pStyle w:val="cTableBody"/>
              <w:spacing w:before="0" w:after="0"/>
            </w:pPr>
            <w:r>
              <w:t>An evidence-based recommendation to proceed with HTR, PWR, both, or neither for first licensed deployment work; completion does not authorize a commercial nuclear plant.</w:t>
            </w:r>
          </w:p>
        </w:tc>
      </w:tr>
    </w:tbl>
    <w:p w14:paraId="7E659FCB" w14:textId="0B42DFBB" w:rsidR="00531537" w:rsidRDefault="00531537" w:rsidP="00605D46">
      <w:pPr>
        <w:pStyle w:val="Heading2"/>
        <w:spacing w:beforeAutospacing="0" w:after="100"/>
      </w:pPr>
      <w:r>
        <w:t>Summary Videos</w:t>
      </w:r>
    </w:p>
    <w:p w14:paraId="1BB03518" w14:textId="77777777" w:rsidR="00531537" w:rsidRPr="006205F1" w:rsidRDefault="00531537" w:rsidP="00531537">
      <w:pPr>
        <w:pStyle w:val="video-title"/>
        <w:ind w:left="360"/>
        <w:rPr>
          <w:sz w:val="22"/>
          <w:szCs w:val="22"/>
        </w:rPr>
      </w:pPr>
      <w:r w:rsidRPr="006205F1">
        <w:rPr>
          <w:sz w:val="22"/>
          <w:szCs w:val="22"/>
        </w:rPr>
        <w:t>Low-Cost Nuclear Power [#11]</w:t>
      </w:r>
    </w:p>
    <w:p w14:paraId="51F1A76B" w14:textId="77777777" w:rsidR="00531537" w:rsidRPr="006205F1" w:rsidRDefault="00531537" w:rsidP="00531537">
      <w:pPr>
        <w:pStyle w:val="video-link"/>
        <w:ind w:left="360"/>
        <w:rPr>
          <w:sz w:val="22"/>
          <w:szCs w:val="22"/>
        </w:rPr>
      </w:pPr>
      <w:hyperlink r:id="rId20" w:history="1">
        <w:r w:rsidRPr="00531537">
          <w:rPr>
            <w:rStyle w:val="Hyperlink"/>
            <w:color w:val="548DD4" w:themeColor="text2" w:themeTint="99"/>
            <w:sz w:val="22"/>
            <w:szCs w:val="22"/>
          </w:rPr>
          <w:t>https://www.youtube.com/watch?v=AIlbovU67wI</w:t>
        </w:r>
      </w:hyperlink>
    </w:p>
    <w:p w14:paraId="3EB09B92" w14:textId="77777777" w:rsidR="00531537" w:rsidRPr="006205F1" w:rsidRDefault="00531537" w:rsidP="00531537">
      <w:pPr>
        <w:pStyle w:val="video-title"/>
        <w:ind w:left="360"/>
        <w:rPr>
          <w:sz w:val="22"/>
          <w:szCs w:val="22"/>
        </w:rPr>
      </w:pPr>
      <w:r w:rsidRPr="006205F1">
        <w:rPr>
          <w:sz w:val="22"/>
          <w:szCs w:val="22"/>
        </w:rPr>
        <w:t>Automated Nuclear Power Construction [#12]</w:t>
      </w:r>
    </w:p>
    <w:p w14:paraId="184D18DE" w14:textId="77777777" w:rsidR="00531537" w:rsidRPr="006205F1" w:rsidRDefault="00531537" w:rsidP="00531537">
      <w:pPr>
        <w:pStyle w:val="video-link"/>
        <w:ind w:left="360"/>
        <w:rPr>
          <w:sz w:val="22"/>
          <w:szCs w:val="22"/>
        </w:rPr>
      </w:pPr>
      <w:hyperlink r:id="rId21" w:history="1">
        <w:r w:rsidRPr="00531537">
          <w:rPr>
            <w:rStyle w:val="Hyperlink"/>
            <w:color w:val="548DD4" w:themeColor="text2" w:themeTint="99"/>
            <w:sz w:val="22"/>
            <w:szCs w:val="22"/>
          </w:rPr>
          <w:t>https://www.youtube.com/watch?v=afO0cy1l7Qo</w:t>
        </w:r>
      </w:hyperlink>
    </w:p>
    <w:p w14:paraId="60BFB48B" w14:textId="77777777" w:rsidR="00531537" w:rsidRPr="006205F1" w:rsidRDefault="00531537" w:rsidP="00531537">
      <w:pPr>
        <w:pStyle w:val="video-title"/>
        <w:ind w:left="360"/>
        <w:rPr>
          <w:sz w:val="22"/>
          <w:szCs w:val="22"/>
        </w:rPr>
      </w:pPr>
      <w:r w:rsidRPr="006205F1">
        <w:rPr>
          <w:sz w:val="22"/>
          <w:szCs w:val="22"/>
        </w:rPr>
        <w:t>How to Make $10 Trillion Dollars [#13]</w:t>
      </w:r>
    </w:p>
    <w:p w14:paraId="5C1701FF" w14:textId="175F1DE1" w:rsidR="00531537" w:rsidRPr="006205F1" w:rsidRDefault="00531537" w:rsidP="00531537">
      <w:pPr>
        <w:pStyle w:val="video-link"/>
        <w:ind w:left="360"/>
        <w:rPr>
          <w:sz w:val="22"/>
          <w:szCs w:val="22"/>
        </w:rPr>
      </w:pPr>
      <w:hyperlink r:id="rId22" w:history="1">
        <w:r>
          <w:rPr>
            <w:rStyle w:val="Hyperlink"/>
            <w:color w:val="548DD4" w:themeColor="text2" w:themeTint="99"/>
            <w:sz w:val="22"/>
            <w:szCs w:val="22"/>
          </w:rPr>
          <w:t>https://www.youtube.com/watch?v=4gqmKGV1h5Y</w:t>
        </w:r>
      </w:hyperlink>
    </w:p>
    <w:p w14:paraId="69511893" w14:textId="77777777" w:rsidR="003A5A50" w:rsidRDefault="00CB4873" w:rsidP="00531537">
      <w:r>
        <w:br w:type="page"/>
      </w:r>
    </w:p>
    <w:p w14:paraId="67289BB6" w14:textId="77777777" w:rsidR="003A5A50" w:rsidRDefault="00CB4873">
      <w:pPr>
        <w:pStyle w:val="Heading1"/>
        <w:spacing w:before="0" w:after="280"/>
      </w:pPr>
      <w:bookmarkStart w:id="4" w:name="_Toc237866622"/>
      <w:bookmarkStart w:id="5" w:name="_Toc237987296"/>
      <w:bookmarkStart w:id="6" w:name="_Toc238204699"/>
      <w:r>
        <w:lastRenderedPageBreak/>
        <w:t>Table of Contents</w:t>
      </w:r>
      <w:bookmarkEnd w:id="4"/>
      <w:bookmarkEnd w:id="5"/>
      <w:bookmarkEnd w:id="6"/>
    </w:p>
    <w:sdt>
      <w:sdtPr>
        <w:id w:val="619804075"/>
        <w:docPartObj>
          <w:docPartGallery w:val="Table of Contents"/>
          <w:docPartUnique/>
        </w:docPartObj>
      </w:sdtPr>
      <w:sdtEndPr/>
      <w:sdtContent>
        <w:p w14:paraId="3F25701A" w14:textId="0D21589F" w:rsidR="00B40350" w:rsidRDefault="00CB4873" w:rsidP="00B40350">
          <w:pPr>
            <w:pStyle w:val="cTableofContents"/>
            <w:rPr>
              <w:rFonts w:asciiTheme="minorHAnsi" w:eastAsiaTheme="minorEastAsia" w:hAnsiTheme="minorHAnsi"/>
              <w:noProof/>
              <w:kern w:val="2"/>
              <w:szCs w:val="24"/>
              <w14:ligatures w14:val="standardContextual"/>
            </w:rPr>
          </w:pPr>
          <w:r>
            <w:fldChar w:fldCharType="begin"/>
          </w:r>
          <w:r>
            <w:rPr>
              <w:rStyle w:val="IndexLink"/>
              <w:webHidden/>
            </w:rPr>
            <w:instrText xml:space="preserve"> TOC \z \o "1-1" \u \h</w:instrText>
          </w:r>
          <w:r>
            <w:rPr>
              <w:rStyle w:val="IndexLink"/>
            </w:rPr>
            <w:fldChar w:fldCharType="separate"/>
          </w:r>
          <w:hyperlink w:anchor="_Toc238204697" w:history="1">
            <w:r w:rsidR="00B40350" w:rsidRPr="00654997">
              <w:rPr>
                <w:rStyle w:val="Hyperlink"/>
                <w:noProof/>
              </w:rPr>
              <w:t>Executive Summary</w:t>
            </w:r>
            <w:r w:rsidR="00B40350">
              <w:rPr>
                <w:noProof/>
                <w:webHidden/>
              </w:rPr>
              <w:tab/>
            </w:r>
            <w:r w:rsidR="00B40350">
              <w:rPr>
                <w:noProof/>
                <w:webHidden/>
              </w:rPr>
              <w:fldChar w:fldCharType="begin"/>
            </w:r>
            <w:r w:rsidR="00B40350">
              <w:rPr>
                <w:noProof/>
                <w:webHidden/>
              </w:rPr>
              <w:instrText xml:space="preserve"> PAGEREF _Toc238204697 \h </w:instrText>
            </w:r>
            <w:r w:rsidR="00B40350">
              <w:rPr>
                <w:noProof/>
                <w:webHidden/>
              </w:rPr>
            </w:r>
            <w:r w:rsidR="00B40350">
              <w:rPr>
                <w:noProof/>
                <w:webHidden/>
              </w:rPr>
              <w:fldChar w:fldCharType="separate"/>
            </w:r>
            <w:r w:rsidR="0073325B">
              <w:rPr>
                <w:noProof/>
                <w:webHidden/>
              </w:rPr>
              <w:t>2</w:t>
            </w:r>
            <w:r w:rsidR="00B40350">
              <w:rPr>
                <w:noProof/>
                <w:webHidden/>
              </w:rPr>
              <w:fldChar w:fldCharType="end"/>
            </w:r>
          </w:hyperlink>
        </w:p>
        <w:p w14:paraId="1A4A5F41" w14:textId="7943108D" w:rsidR="00B40350" w:rsidRDefault="00B40350" w:rsidP="00B40350">
          <w:pPr>
            <w:pStyle w:val="cTableofContents"/>
            <w:rPr>
              <w:rFonts w:asciiTheme="minorHAnsi" w:eastAsiaTheme="minorEastAsia" w:hAnsiTheme="minorHAnsi"/>
              <w:noProof/>
              <w:kern w:val="2"/>
              <w:szCs w:val="24"/>
              <w14:ligatures w14:val="standardContextual"/>
            </w:rPr>
          </w:pPr>
          <w:hyperlink w:anchor="_Toc238204698" w:history="1">
            <w:r w:rsidRPr="00654997">
              <w:rPr>
                <w:rStyle w:val="Hyperlink"/>
                <w:noProof/>
              </w:rPr>
              <w:t>Program at a Glance</w:t>
            </w:r>
            <w:r>
              <w:rPr>
                <w:noProof/>
                <w:webHidden/>
              </w:rPr>
              <w:tab/>
            </w:r>
            <w:r>
              <w:rPr>
                <w:noProof/>
                <w:webHidden/>
              </w:rPr>
              <w:fldChar w:fldCharType="begin"/>
            </w:r>
            <w:r>
              <w:rPr>
                <w:noProof/>
                <w:webHidden/>
              </w:rPr>
              <w:instrText xml:space="preserve"> PAGEREF _Toc238204698 \h </w:instrText>
            </w:r>
            <w:r>
              <w:rPr>
                <w:noProof/>
                <w:webHidden/>
              </w:rPr>
            </w:r>
            <w:r>
              <w:rPr>
                <w:noProof/>
                <w:webHidden/>
              </w:rPr>
              <w:fldChar w:fldCharType="separate"/>
            </w:r>
            <w:r w:rsidR="0073325B">
              <w:rPr>
                <w:noProof/>
                <w:webHidden/>
              </w:rPr>
              <w:t>3</w:t>
            </w:r>
            <w:r>
              <w:rPr>
                <w:noProof/>
                <w:webHidden/>
              </w:rPr>
              <w:fldChar w:fldCharType="end"/>
            </w:r>
          </w:hyperlink>
        </w:p>
        <w:p w14:paraId="3234F0DE" w14:textId="30876CD8" w:rsidR="00B40350" w:rsidRDefault="00B40350" w:rsidP="00B40350">
          <w:pPr>
            <w:pStyle w:val="cTableofContents"/>
            <w:rPr>
              <w:rFonts w:asciiTheme="minorHAnsi" w:eastAsiaTheme="minorEastAsia" w:hAnsiTheme="minorHAnsi"/>
              <w:noProof/>
              <w:kern w:val="2"/>
              <w:szCs w:val="24"/>
              <w14:ligatures w14:val="standardContextual"/>
            </w:rPr>
          </w:pPr>
          <w:hyperlink w:anchor="_Toc238204699" w:history="1">
            <w:r w:rsidRPr="00654997">
              <w:rPr>
                <w:rStyle w:val="Hyperlink"/>
                <w:noProof/>
              </w:rPr>
              <w:t>Table of Contents</w:t>
            </w:r>
            <w:r>
              <w:rPr>
                <w:noProof/>
                <w:webHidden/>
              </w:rPr>
              <w:tab/>
            </w:r>
            <w:r>
              <w:rPr>
                <w:noProof/>
                <w:webHidden/>
              </w:rPr>
              <w:fldChar w:fldCharType="begin"/>
            </w:r>
            <w:r>
              <w:rPr>
                <w:noProof/>
                <w:webHidden/>
              </w:rPr>
              <w:instrText xml:space="preserve"> PAGEREF _Toc238204699 \h </w:instrText>
            </w:r>
            <w:r>
              <w:rPr>
                <w:noProof/>
                <w:webHidden/>
              </w:rPr>
            </w:r>
            <w:r>
              <w:rPr>
                <w:noProof/>
                <w:webHidden/>
              </w:rPr>
              <w:fldChar w:fldCharType="separate"/>
            </w:r>
            <w:r w:rsidR="0073325B">
              <w:rPr>
                <w:noProof/>
                <w:webHidden/>
              </w:rPr>
              <w:t>4</w:t>
            </w:r>
            <w:r>
              <w:rPr>
                <w:noProof/>
                <w:webHidden/>
              </w:rPr>
              <w:fldChar w:fldCharType="end"/>
            </w:r>
          </w:hyperlink>
        </w:p>
        <w:p w14:paraId="34094D97" w14:textId="598CB061" w:rsidR="00B40350" w:rsidRDefault="00B40350" w:rsidP="00B40350">
          <w:pPr>
            <w:pStyle w:val="cTableofContents"/>
            <w:rPr>
              <w:rFonts w:asciiTheme="minorHAnsi" w:eastAsiaTheme="minorEastAsia" w:hAnsiTheme="minorHAnsi"/>
              <w:noProof/>
              <w:kern w:val="2"/>
              <w:szCs w:val="24"/>
              <w14:ligatures w14:val="standardContextual"/>
            </w:rPr>
          </w:pPr>
          <w:hyperlink w:anchor="_Toc238204700" w:history="1">
            <w:r w:rsidRPr="00654997">
              <w:rPr>
                <w:rStyle w:val="Hyperlink"/>
                <w:noProof/>
              </w:rPr>
              <w:t>What is Nuclear Power Automated Site-Construction?</w:t>
            </w:r>
            <w:r>
              <w:rPr>
                <w:noProof/>
                <w:webHidden/>
              </w:rPr>
              <w:tab/>
            </w:r>
            <w:r>
              <w:rPr>
                <w:noProof/>
                <w:webHidden/>
              </w:rPr>
              <w:fldChar w:fldCharType="begin"/>
            </w:r>
            <w:r>
              <w:rPr>
                <w:noProof/>
                <w:webHidden/>
              </w:rPr>
              <w:instrText xml:space="preserve"> PAGEREF _Toc238204700 \h </w:instrText>
            </w:r>
            <w:r>
              <w:rPr>
                <w:noProof/>
                <w:webHidden/>
              </w:rPr>
            </w:r>
            <w:r>
              <w:rPr>
                <w:noProof/>
                <w:webHidden/>
              </w:rPr>
              <w:fldChar w:fldCharType="separate"/>
            </w:r>
            <w:r w:rsidR="0073325B">
              <w:rPr>
                <w:noProof/>
                <w:webHidden/>
              </w:rPr>
              <w:t>5</w:t>
            </w:r>
            <w:r>
              <w:rPr>
                <w:noProof/>
                <w:webHidden/>
              </w:rPr>
              <w:fldChar w:fldCharType="end"/>
            </w:r>
          </w:hyperlink>
        </w:p>
        <w:p w14:paraId="63F264A2" w14:textId="03EF82DD" w:rsidR="00B40350" w:rsidRDefault="00B40350" w:rsidP="00B40350">
          <w:pPr>
            <w:pStyle w:val="cTableofContents"/>
            <w:rPr>
              <w:rFonts w:asciiTheme="minorHAnsi" w:eastAsiaTheme="minorEastAsia" w:hAnsiTheme="minorHAnsi"/>
              <w:noProof/>
              <w:kern w:val="2"/>
              <w:szCs w:val="24"/>
              <w14:ligatures w14:val="standardContextual"/>
            </w:rPr>
          </w:pPr>
          <w:hyperlink w:anchor="_Toc238204701" w:history="1">
            <w:r w:rsidRPr="00654997">
              <w:rPr>
                <w:rStyle w:val="Hyperlink"/>
                <w:noProof/>
              </w:rPr>
              <w:t>Program Architecture and $1 Billion Budget</w:t>
            </w:r>
            <w:r>
              <w:rPr>
                <w:noProof/>
                <w:webHidden/>
              </w:rPr>
              <w:tab/>
            </w:r>
            <w:r>
              <w:rPr>
                <w:noProof/>
                <w:webHidden/>
              </w:rPr>
              <w:fldChar w:fldCharType="begin"/>
            </w:r>
            <w:r>
              <w:rPr>
                <w:noProof/>
                <w:webHidden/>
              </w:rPr>
              <w:instrText xml:space="preserve"> PAGEREF _Toc238204701 \h </w:instrText>
            </w:r>
            <w:r>
              <w:rPr>
                <w:noProof/>
                <w:webHidden/>
              </w:rPr>
            </w:r>
            <w:r>
              <w:rPr>
                <w:noProof/>
                <w:webHidden/>
              </w:rPr>
              <w:fldChar w:fldCharType="separate"/>
            </w:r>
            <w:r w:rsidR="0073325B">
              <w:rPr>
                <w:noProof/>
                <w:webHidden/>
              </w:rPr>
              <w:t>8</w:t>
            </w:r>
            <w:r>
              <w:rPr>
                <w:noProof/>
                <w:webHidden/>
              </w:rPr>
              <w:fldChar w:fldCharType="end"/>
            </w:r>
          </w:hyperlink>
        </w:p>
        <w:p w14:paraId="650B7F54" w14:textId="2CDC8C0B" w:rsidR="00B40350" w:rsidRDefault="00B40350" w:rsidP="00B40350">
          <w:pPr>
            <w:pStyle w:val="cTableofContents"/>
            <w:rPr>
              <w:rFonts w:asciiTheme="minorHAnsi" w:eastAsiaTheme="minorEastAsia" w:hAnsiTheme="minorHAnsi"/>
              <w:noProof/>
              <w:kern w:val="2"/>
              <w:szCs w:val="24"/>
              <w14:ligatures w14:val="standardContextual"/>
            </w:rPr>
          </w:pPr>
          <w:hyperlink w:anchor="_Toc238204702" w:history="1">
            <w:r w:rsidRPr="00654997">
              <w:rPr>
                <w:rStyle w:val="Hyperlink"/>
                <w:noProof/>
              </w:rPr>
              <w:t>Program Crosswalk</w:t>
            </w:r>
            <w:r>
              <w:rPr>
                <w:noProof/>
                <w:webHidden/>
              </w:rPr>
              <w:tab/>
            </w:r>
            <w:r>
              <w:rPr>
                <w:noProof/>
                <w:webHidden/>
              </w:rPr>
              <w:fldChar w:fldCharType="begin"/>
            </w:r>
            <w:r>
              <w:rPr>
                <w:noProof/>
                <w:webHidden/>
              </w:rPr>
              <w:instrText xml:space="preserve"> PAGEREF _Toc238204702 \h </w:instrText>
            </w:r>
            <w:r>
              <w:rPr>
                <w:noProof/>
                <w:webHidden/>
              </w:rPr>
            </w:r>
            <w:r>
              <w:rPr>
                <w:noProof/>
                <w:webHidden/>
              </w:rPr>
              <w:fldChar w:fldCharType="separate"/>
            </w:r>
            <w:r w:rsidR="0073325B">
              <w:rPr>
                <w:noProof/>
                <w:webHidden/>
              </w:rPr>
              <w:t>11</w:t>
            </w:r>
            <w:r>
              <w:rPr>
                <w:noProof/>
                <w:webHidden/>
              </w:rPr>
              <w:fldChar w:fldCharType="end"/>
            </w:r>
          </w:hyperlink>
        </w:p>
        <w:p w14:paraId="0520A99D" w14:textId="14EB2846" w:rsidR="00B40350" w:rsidRDefault="00B40350" w:rsidP="00B40350">
          <w:pPr>
            <w:pStyle w:val="cTableofContents"/>
            <w:rPr>
              <w:rFonts w:asciiTheme="minorHAnsi" w:eastAsiaTheme="minorEastAsia" w:hAnsiTheme="minorHAnsi"/>
              <w:noProof/>
              <w:kern w:val="2"/>
              <w:szCs w:val="24"/>
              <w14:ligatures w14:val="standardContextual"/>
            </w:rPr>
          </w:pPr>
          <w:hyperlink w:anchor="_Toc238204703" w:history="1">
            <w:r w:rsidRPr="00654997">
              <w:rPr>
                <w:rStyle w:val="Hyperlink"/>
                <w:noProof/>
              </w:rPr>
              <w:t>What Is New Beyond Current Chinese Nuclear Construction?</w:t>
            </w:r>
            <w:r>
              <w:rPr>
                <w:noProof/>
                <w:webHidden/>
              </w:rPr>
              <w:tab/>
            </w:r>
            <w:r>
              <w:rPr>
                <w:noProof/>
                <w:webHidden/>
              </w:rPr>
              <w:fldChar w:fldCharType="begin"/>
            </w:r>
            <w:r>
              <w:rPr>
                <w:noProof/>
                <w:webHidden/>
              </w:rPr>
              <w:instrText xml:space="preserve"> PAGEREF _Toc238204703 \h </w:instrText>
            </w:r>
            <w:r>
              <w:rPr>
                <w:noProof/>
                <w:webHidden/>
              </w:rPr>
            </w:r>
            <w:r>
              <w:rPr>
                <w:noProof/>
                <w:webHidden/>
              </w:rPr>
              <w:fldChar w:fldCharType="separate"/>
            </w:r>
            <w:r w:rsidR="0073325B">
              <w:rPr>
                <w:noProof/>
                <w:webHidden/>
              </w:rPr>
              <w:t>12</w:t>
            </w:r>
            <w:r>
              <w:rPr>
                <w:noProof/>
                <w:webHidden/>
              </w:rPr>
              <w:fldChar w:fldCharType="end"/>
            </w:r>
          </w:hyperlink>
        </w:p>
        <w:p w14:paraId="51179552" w14:textId="45B84483" w:rsidR="00B40350" w:rsidRDefault="00B40350" w:rsidP="00B40350">
          <w:pPr>
            <w:pStyle w:val="cTableofContents"/>
            <w:rPr>
              <w:rFonts w:asciiTheme="minorHAnsi" w:eastAsiaTheme="minorEastAsia" w:hAnsiTheme="minorHAnsi"/>
              <w:noProof/>
              <w:kern w:val="2"/>
              <w:szCs w:val="24"/>
              <w14:ligatures w14:val="standardContextual"/>
            </w:rPr>
          </w:pPr>
          <w:hyperlink w:anchor="_Toc238204704" w:history="1">
            <w:r w:rsidRPr="00654997">
              <w:rPr>
                <w:rStyle w:val="Hyperlink"/>
                <w:noProof/>
              </w:rPr>
              <w:t>Stage Gates and Go/No-Go Criteria</w:t>
            </w:r>
            <w:r>
              <w:rPr>
                <w:noProof/>
                <w:webHidden/>
              </w:rPr>
              <w:tab/>
            </w:r>
            <w:r>
              <w:rPr>
                <w:noProof/>
                <w:webHidden/>
              </w:rPr>
              <w:fldChar w:fldCharType="begin"/>
            </w:r>
            <w:r>
              <w:rPr>
                <w:noProof/>
                <w:webHidden/>
              </w:rPr>
              <w:instrText xml:space="preserve"> PAGEREF _Toc238204704 \h </w:instrText>
            </w:r>
            <w:r>
              <w:rPr>
                <w:noProof/>
                <w:webHidden/>
              </w:rPr>
            </w:r>
            <w:r>
              <w:rPr>
                <w:noProof/>
                <w:webHidden/>
              </w:rPr>
              <w:fldChar w:fldCharType="separate"/>
            </w:r>
            <w:r w:rsidR="0073325B">
              <w:rPr>
                <w:noProof/>
                <w:webHidden/>
              </w:rPr>
              <w:t>14</w:t>
            </w:r>
            <w:r>
              <w:rPr>
                <w:noProof/>
                <w:webHidden/>
              </w:rPr>
              <w:fldChar w:fldCharType="end"/>
            </w:r>
          </w:hyperlink>
        </w:p>
        <w:p w14:paraId="10C847DA" w14:textId="4CE4F6EF" w:rsidR="00B40350" w:rsidRDefault="00B40350" w:rsidP="00B40350">
          <w:pPr>
            <w:pStyle w:val="cTableofContents"/>
            <w:rPr>
              <w:rFonts w:asciiTheme="minorHAnsi" w:eastAsiaTheme="minorEastAsia" w:hAnsiTheme="minorHAnsi"/>
              <w:noProof/>
              <w:kern w:val="2"/>
              <w:szCs w:val="24"/>
              <w14:ligatures w14:val="standardContextual"/>
            </w:rPr>
          </w:pPr>
          <w:hyperlink w:anchor="_Toc238204705" w:history="1">
            <w:r w:rsidRPr="00654997">
              <w:rPr>
                <w:rStyle w:val="Hyperlink"/>
                <w:noProof/>
              </w:rPr>
              <w:t>Development Phases</w:t>
            </w:r>
            <w:r>
              <w:rPr>
                <w:noProof/>
                <w:webHidden/>
              </w:rPr>
              <w:tab/>
            </w:r>
            <w:r>
              <w:rPr>
                <w:noProof/>
                <w:webHidden/>
              </w:rPr>
              <w:fldChar w:fldCharType="begin"/>
            </w:r>
            <w:r>
              <w:rPr>
                <w:noProof/>
                <w:webHidden/>
              </w:rPr>
              <w:instrText xml:space="preserve"> PAGEREF _Toc238204705 \h </w:instrText>
            </w:r>
            <w:r>
              <w:rPr>
                <w:noProof/>
                <w:webHidden/>
              </w:rPr>
            </w:r>
            <w:r>
              <w:rPr>
                <w:noProof/>
                <w:webHidden/>
              </w:rPr>
              <w:fldChar w:fldCharType="separate"/>
            </w:r>
            <w:r w:rsidR="0073325B">
              <w:rPr>
                <w:noProof/>
                <w:webHidden/>
              </w:rPr>
              <w:t>16</w:t>
            </w:r>
            <w:r>
              <w:rPr>
                <w:noProof/>
                <w:webHidden/>
              </w:rPr>
              <w:fldChar w:fldCharType="end"/>
            </w:r>
          </w:hyperlink>
        </w:p>
        <w:p w14:paraId="6E794099" w14:textId="280E97F5" w:rsidR="00B40350" w:rsidRDefault="00B40350" w:rsidP="00B40350">
          <w:pPr>
            <w:pStyle w:val="cTableofContents"/>
            <w:rPr>
              <w:rFonts w:asciiTheme="minorHAnsi" w:eastAsiaTheme="minorEastAsia" w:hAnsiTheme="minorHAnsi"/>
              <w:noProof/>
              <w:kern w:val="2"/>
              <w:szCs w:val="24"/>
              <w14:ligatures w14:val="standardContextual"/>
            </w:rPr>
          </w:pPr>
          <w:hyperlink w:anchor="_Toc238204706" w:history="1">
            <w:r w:rsidRPr="00654997">
              <w:rPr>
                <w:rStyle w:val="Hyperlink"/>
                <w:noProof/>
              </w:rPr>
              <w:t>Safety, QA, and Qualification</w:t>
            </w:r>
            <w:r>
              <w:rPr>
                <w:noProof/>
                <w:webHidden/>
              </w:rPr>
              <w:tab/>
            </w:r>
            <w:r>
              <w:rPr>
                <w:noProof/>
                <w:webHidden/>
              </w:rPr>
              <w:fldChar w:fldCharType="begin"/>
            </w:r>
            <w:r>
              <w:rPr>
                <w:noProof/>
                <w:webHidden/>
              </w:rPr>
              <w:instrText xml:space="preserve"> PAGEREF _Toc238204706 \h </w:instrText>
            </w:r>
            <w:r>
              <w:rPr>
                <w:noProof/>
                <w:webHidden/>
              </w:rPr>
            </w:r>
            <w:r>
              <w:rPr>
                <w:noProof/>
                <w:webHidden/>
              </w:rPr>
              <w:fldChar w:fldCharType="separate"/>
            </w:r>
            <w:r w:rsidR="0073325B">
              <w:rPr>
                <w:noProof/>
                <w:webHidden/>
              </w:rPr>
              <w:t>31</w:t>
            </w:r>
            <w:r>
              <w:rPr>
                <w:noProof/>
                <w:webHidden/>
              </w:rPr>
              <w:fldChar w:fldCharType="end"/>
            </w:r>
          </w:hyperlink>
        </w:p>
        <w:p w14:paraId="3CB01595" w14:textId="380B3FD3" w:rsidR="00B40350" w:rsidRDefault="00B40350" w:rsidP="00B40350">
          <w:pPr>
            <w:pStyle w:val="cTableofContents"/>
            <w:rPr>
              <w:rFonts w:asciiTheme="minorHAnsi" w:eastAsiaTheme="minorEastAsia" w:hAnsiTheme="minorHAnsi"/>
              <w:noProof/>
              <w:kern w:val="2"/>
              <w:szCs w:val="24"/>
              <w14:ligatures w14:val="standardContextual"/>
            </w:rPr>
          </w:pPr>
          <w:hyperlink w:anchor="_Toc238204707" w:history="1">
            <w:r w:rsidRPr="00654997">
              <w:rPr>
                <w:rStyle w:val="Hyperlink"/>
                <w:noProof/>
              </w:rPr>
              <w:t>Automated Construction Costs</w:t>
            </w:r>
            <w:r>
              <w:rPr>
                <w:noProof/>
                <w:webHidden/>
              </w:rPr>
              <w:tab/>
            </w:r>
            <w:r>
              <w:rPr>
                <w:noProof/>
                <w:webHidden/>
              </w:rPr>
              <w:fldChar w:fldCharType="begin"/>
            </w:r>
            <w:r>
              <w:rPr>
                <w:noProof/>
                <w:webHidden/>
              </w:rPr>
              <w:instrText xml:space="preserve"> PAGEREF _Toc238204707 \h </w:instrText>
            </w:r>
            <w:r>
              <w:rPr>
                <w:noProof/>
                <w:webHidden/>
              </w:rPr>
            </w:r>
            <w:r>
              <w:rPr>
                <w:noProof/>
                <w:webHidden/>
              </w:rPr>
              <w:fldChar w:fldCharType="separate"/>
            </w:r>
            <w:r w:rsidR="0073325B">
              <w:rPr>
                <w:noProof/>
                <w:webHidden/>
              </w:rPr>
              <w:t>33</w:t>
            </w:r>
            <w:r>
              <w:rPr>
                <w:noProof/>
                <w:webHidden/>
              </w:rPr>
              <w:fldChar w:fldCharType="end"/>
            </w:r>
          </w:hyperlink>
        </w:p>
        <w:p w14:paraId="4A38D377" w14:textId="628BACA9" w:rsidR="00B40350" w:rsidRDefault="00B40350" w:rsidP="00B40350">
          <w:pPr>
            <w:pStyle w:val="cTableofContents"/>
            <w:rPr>
              <w:rFonts w:asciiTheme="minorHAnsi" w:eastAsiaTheme="minorEastAsia" w:hAnsiTheme="minorHAnsi"/>
              <w:noProof/>
              <w:kern w:val="2"/>
              <w:szCs w:val="24"/>
              <w14:ligatures w14:val="standardContextual"/>
            </w:rPr>
          </w:pPr>
          <w:hyperlink w:anchor="_Toc238204708" w:history="1">
            <w:r w:rsidRPr="00654997">
              <w:rPr>
                <w:rStyle w:val="Hyperlink"/>
                <w:noProof/>
              </w:rPr>
              <w:t>Cost Comparison: Electricity Generation Only</w:t>
            </w:r>
            <w:r>
              <w:rPr>
                <w:noProof/>
                <w:webHidden/>
              </w:rPr>
              <w:tab/>
            </w:r>
            <w:r>
              <w:rPr>
                <w:noProof/>
                <w:webHidden/>
              </w:rPr>
              <w:fldChar w:fldCharType="begin"/>
            </w:r>
            <w:r>
              <w:rPr>
                <w:noProof/>
                <w:webHidden/>
              </w:rPr>
              <w:instrText xml:space="preserve"> PAGEREF _Toc238204708 \h </w:instrText>
            </w:r>
            <w:r>
              <w:rPr>
                <w:noProof/>
                <w:webHidden/>
              </w:rPr>
            </w:r>
            <w:r>
              <w:rPr>
                <w:noProof/>
                <w:webHidden/>
              </w:rPr>
              <w:fldChar w:fldCharType="separate"/>
            </w:r>
            <w:r w:rsidR="0073325B">
              <w:rPr>
                <w:noProof/>
                <w:webHidden/>
              </w:rPr>
              <w:t>35</w:t>
            </w:r>
            <w:r>
              <w:rPr>
                <w:noProof/>
                <w:webHidden/>
              </w:rPr>
              <w:fldChar w:fldCharType="end"/>
            </w:r>
          </w:hyperlink>
        </w:p>
        <w:p w14:paraId="01154A03" w14:textId="7702B50A" w:rsidR="00B40350" w:rsidRDefault="00B40350" w:rsidP="00B40350">
          <w:pPr>
            <w:pStyle w:val="cTableofContents"/>
            <w:rPr>
              <w:rFonts w:asciiTheme="minorHAnsi" w:eastAsiaTheme="minorEastAsia" w:hAnsiTheme="minorHAnsi"/>
              <w:noProof/>
              <w:kern w:val="2"/>
              <w:szCs w:val="24"/>
              <w14:ligatures w14:val="standardContextual"/>
            </w:rPr>
          </w:pPr>
          <w:hyperlink w:anchor="_Toc238204709" w:history="1">
            <w:r w:rsidRPr="00654997">
              <w:rPr>
                <w:rStyle w:val="Hyperlink"/>
                <w:noProof/>
              </w:rPr>
              <w:t>Cost Comparison: Electricity Generation + Transmission</w:t>
            </w:r>
            <w:r>
              <w:rPr>
                <w:noProof/>
                <w:webHidden/>
              </w:rPr>
              <w:tab/>
            </w:r>
            <w:r>
              <w:rPr>
                <w:noProof/>
                <w:webHidden/>
              </w:rPr>
              <w:fldChar w:fldCharType="begin"/>
            </w:r>
            <w:r>
              <w:rPr>
                <w:noProof/>
                <w:webHidden/>
              </w:rPr>
              <w:instrText xml:space="preserve"> PAGEREF _Toc238204709 \h </w:instrText>
            </w:r>
            <w:r>
              <w:rPr>
                <w:noProof/>
                <w:webHidden/>
              </w:rPr>
            </w:r>
            <w:r>
              <w:rPr>
                <w:noProof/>
                <w:webHidden/>
              </w:rPr>
              <w:fldChar w:fldCharType="separate"/>
            </w:r>
            <w:r w:rsidR="0073325B">
              <w:rPr>
                <w:noProof/>
                <w:webHidden/>
              </w:rPr>
              <w:t>39</w:t>
            </w:r>
            <w:r>
              <w:rPr>
                <w:noProof/>
                <w:webHidden/>
              </w:rPr>
              <w:fldChar w:fldCharType="end"/>
            </w:r>
          </w:hyperlink>
        </w:p>
        <w:p w14:paraId="28C4F709" w14:textId="11628B0C" w:rsidR="00B40350" w:rsidRDefault="00B40350" w:rsidP="00B40350">
          <w:pPr>
            <w:pStyle w:val="cTableofContents"/>
            <w:rPr>
              <w:rFonts w:asciiTheme="minorHAnsi" w:eastAsiaTheme="minorEastAsia" w:hAnsiTheme="minorHAnsi"/>
              <w:noProof/>
              <w:kern w:val="2"/>
              <w:szCs w:val="24"/>
              <w14:ligatures w14:val="standardContextual"/>
            </w:rPr>
          </w:pPr>
          <w:hyperlink w:anchor="_Toc238204710" w:history="1">
            <w:r w:rsidRPr="00654997">
              <w:rPr>
                <w:rStyle w:val="Hyperlink"/>
                <w:noProof/>
              </w:rPr>
              <w:t>Purchase Orders</w:t>
            </w:r>
            <w:r>
              <w:rPr>
                <w:noProof/>
                <w:webHidden/>
              </w:rPr>
              <w:tab/>
            </w:r>
            <w:r>
              <w:rPr>
                <w:noProof/>
                <w:webHidden/>
              </w:rPr>
              <w:fldChar w:fldCharType="begin"/>
            </w:r>
            <w:r>
              <w:rPr>
                <w:noProof/>
                <w:webHidden/>
              </w:rPr>
              <w:instrText xml:space="preserve"> PAGEREF _Toc238204710 \h </w:instrText>
            </w:r>
            <w:r>
              <w:rPr>
                <w:noProof/>
                <w:webHidden/>
              </w:rPr>
            </w:r>
            <w:r>
              <w:rPr>
                <w:noProof/>
                <w:webHidden/>
              </w:rPr>
              <w:fldChar w:fldCharType="separate"/>
            </w:r>
            <w:r w:rsidR="0073325B">
              <w:rPr>
                <w:noProof/>
                <w:webHidden/>
              </w:rPr>
              <w:t>41</w:t>
            </w:r>
            <w:r>
              <w:rPr>
                <w:noProof/>
                <w:webHidden/>
              </w:rPr>
              <w:fldChar w:fldCharType="end"/>
            </w:r>
          </w:hyperlink>
        </w:p>
        <w:p w14:paraId="2745D29D" w14:textId="342933D1" w:rsidR="00B40350" w:rsidRDefault="00B40350" w:rsidP="00B40350">
          <w:pPr>
            <w:pStyle w:val="cTableofContents"/>
            <w:rPr>
              <w:rFonts w:asciiTheme="minorHAnsi" w:eastAsiaTheme="minorEastAsia" w:hAnsiTheme="minorHAnsi"/>
              <w:noProof/>
              <w:kern w:val="2"/>
              <w:szCs w:val="24"/>
              <w14:ligatures w14:val="standardContextual"/>
            </w:rPr>
          </w:pPr>
          <w:hyperlink w:anchor="_Toc238204711" w:history="1">
            <w:r w:rsidRPr="00654997">
              <w:rPr>
                <w:rStyle w:val="Hyperlink"/>
                <w:noProof/>
              </w:rPr>
              <w:t>Purchase Order Recipients</w:t>
            </w:r>
            <w:r>
              <w:rPr>
                <w:noProof/>
                <w:webHidden/>
              </w:rPr>
              <w:tab/>
            </w:r>
            <w:r>
              <w:rPr>
                <w:noProof/>
                <w:webHidden/>
              </w:rPr>
              <w:fldChar w:fldCharType="begin"/>
            </w:r>
            <w:r>
              <w:rPr>
                <w:noProof/>
                <w:webHidden/>
              </w:rPr>
              <w:instrText xml:space="preserve"> PAGEREF _Toc238204711 \h </w:instrText>
            </w:r>
            <w:r>
              <w:rPr>
                <w:noProof/>
                <w:webHidden/>
              </w:rPr>
            </w:r>
            <w:r>
              <w:rPr>
                <w:noProof/>
                <w:webHidden/>
              </w:rPr>
              <w:fldChar w:fldCharType="separate"/>
            </w:r>
            <w:r w:rsidR="0073325B">
              <w:rPr>
                <w:noProof/>
                <w:webHidden/>
              </w:rPr>
              <w:t>48</w:t>
            </w:r>
            <w:r>
              <w:rPr>
                <w:noProof/>
                <w:webHidden/>
              </w:rPr>
              <w:fldChar w:fldCharType="end"/>
            </w:r>
          </w:hyperlink>
        </w:p>
        <w:p w14:paraId="3CAD94CF" w14:textId="74DFB7A4" w:rsidR="00B40350" w:rsidRDefault="00B40350" w:rsidP="00B40350">
          <w:pPr>
            <w:pStyle w:val="cTableofContents"/>
            <w:rPr>
              <w:rFonts w:asciiTheme="minorHAnsi" w:eastAsiaTheme="minorEastAsia" w:hAnsiTheme="minorHAnsi"/>
              <w:noProof/>
              <w:kern w:val="2"/>
              <w:szCs w:val="24"/>
              <w14:ligatures w14:val="standardContextual"/>
            </w:rPr>
          </w:pPr>
          <w:hyperlink w:anchor="_Toc238204712" w:history="1">
            <w:r w:rsidRPr="00654997">
              <w:rPr>
                <w:rStyle w:val="Hyperlink"/>
                <w:noProof/>
              </w:rPr>
              <w:t>Project Management</w:t>
            </w:r>
            <w:r>
              <w:rPr>
                <w:noProof/>
                <w:webHidden/>
              </w:rPr>
              <w:tab/>
            </w:r>
            <w:r>
              <w:rPr>
                <w:noProof/>
                <w:webHidden/>
              </w:rPr>
              <w:fldChar w:fldCharType="begin"/>
            </w:r>
            <w:r>
              <w:rPr>
                <w:noProof/>
                <w:webHidden/>
              </w:rPr>
              <w:instrText xml:space="preserve"> PAGEREF _Toc238204712 \h </w:instrText>
            </w:r>
            <w:r>
              <w:rPr>
                <w:noProof/>
                <w:webHidden/>
              </w:rPr>
            </w:r>
            <w:r>
              <w:rPr>
                <w:noProof/>
                <w:webHidden/>
              </w:rPr>
              <w:fldChar w:fldCharType="separate"/>
            </w:r>
            <w:r w:rsidR="0073325B">
              <w:rPr>
                <w:noProof/>
                <w:webHidden/>
              </w:rPr>
              <w:t>51</w:t>
            </w:r>
            <w:r>
              <w:rPr>
                <w:noProof/>
                <w:webHidden/>
              </w:rPr>
              <w:fldChar w:fldCharType="end"/>
            </w:r>
          </w:hyperlink>
        </w:p>
        <w:p w14:paraId="6A329B22" w14:textId="7E62AEA5" w:rsidR="00B40350" w:rsidRDefault="00B40350" w:rsidP="00B40350">
          <w:pPr>
            <w:pStyle w:val="cTableofContents"/>
            <w:rPr>
              <w:rFonts w:asciiTheme="minorHAnsi" w:eastAsiaTheme="minorEastAsia" w:hAnsiTheme="minorHAnsi"/>
              <w:noProof/>
              <w:kern w:val="2"/>
              <w:szCs w:val="24"/>
              <w14:ligatures w14:val="standardContextual"/>
            </w:rPr>
          </w:pPr>
          <w:hyperlink w:anchor="_Toc238204713" w:history="1">
            <w:r w:rsidRPr="00654997">
              <w:rPr>
                <w:rStyle w:val="Hyperlink"/>
                <w:noProof/>
              </w:rPr>
              <w:t>Funding Source Requirements</w:t>
            </w:r>
            <w:r>
              <w:rPr>
                <w:noProof/>
                <w:webHidden/>
              </w:rPr>
              <w:tab/>
            </w:r>
            <w:r>
              <w:rPr>
                <w:noProof/>
                <w:webHidden/>
              </w:rPr>
              <w:fldChar w:fldCharType="begin"/>
            </w:r>
            <w:r>
              <w:rPr>
                <w:noProof/>
                <w:webHidden/>
              </w:rPr>
              <w:instrText xml:space="preserve"> PAGEREF _Toc238204713 \h </w:instrText>
            </w:r>
            <w:r>
              <w:rPr>
                <w:noProof/>
                <w:webHidden/>
              </w:rPr>
            </w:r>
            <w:r>
              <w:rPr>
                <w:noProof/>
                <w:webHidden/>
              </w:rPr>
              <w:fldChar w:fldCharType="separate"/>
            </w:r>
            <w:r w:rsidR="0073325B">
              <w:rPr>
                <w:noProof/>
                <w:webHidden/>
              </w:rPr>
              <w:t>53</w:t>
            </w:r>
            <w:r>
              <w:rPr>
                <w:noProof/>
                <w:webHidden/>
              </w:rPr>
              <w:fldChar w:fldCharType="end"/>
            </w:r>
          </w:hyperlink>
        </w:p>
        <w:p w14:paraId="327645EA" w14:textId="779BC10C" w:rsidR="00B40350" w:rsidRDefault="00B40350" w:rsidP="00B40350">
          <w:pPr>
            <w:pStyle w:val="cTableofContents"/>
            <w:rPr>
              <w:rFonts w:asciiTheme="minorHAnsi" w:eastAsiaTheme="minorEastAsia" w:hAnsiTheme="minorHAnsi"/>
              <w:noProof/>
              <w:kern w:val="2"/>
              <w:szCs w:val="24"/>
              <w14:ligatures w14:val="standardContextual"/>
            </w:rPr>
          </w:pPr>
          <w:hyperlink w:anchor="_Toc238204714" w:history="1">
            <w:r w:rsidRPr="00654997">
              <w:rPr>
                <w:rStyle w:val="Hyperlink"/>
                <w:noProof/>
              </w:rPr>
              <w:t>Top Nuclear Construction and Automation References</w:t>
            </w:r>
            <w:r>
              <w:rPr>
                <w:noProof/>
                <w:webHidden/>
              </w:rPr>
              <w:tab/>
            </w:r>
            <w:r>
              <w:rPr>
                <w:noProof/>
                <w:webHidden/>
              </w:rPr>
              <w:fldChar w:fldCharType="begin"/>
            </w:r>
            <w:r>
              <w:rPr>
                <w:noProof/>
                <w:webHidden/>
              </w:rPr>
              <w:instrText xml:space="preserve"> PAGEREF _Toc238204714 \h </w:instrText>
            </w:r>
            <w:r>
              <w:rPr>
                <w:noProof/>
                <w:webHidden/>
              </w:rPr>
            </w:r>
            <w:r>
              <w:rPr>
                <w:noProof/>
                <w:webHidden/>
              </w:rPr>
              <w:fldChar w:fldCharType="separate"/>
            </w:r>
            <w:r w:rsidR="0073325B">
              <w:rPr>
                <w:noProof/>
                <w:webHidden/>
              </w:rPr>
              <w:t>55</w:t>
            </w:r>
            <w:r>
              <w:rPr>
                <w:noProof/>
                <w:webHidden/>
              </w:rPr>
              <w:fldChar w:fldCharType="end"/>
            </w:r>
          </w:hyperlink>
        </w:p>
        <w:p w14:paraId="7E64DE52" w14:textId="0658B93C" w:rsidR="00B40350" w:rsidRDefault="00B40350" w:rsidP="00B40350">
          <w:pPr>
            <w:pStyle w:val="cTableofContents"/>
            <w:rPr>
              <w:rFonts w:asciiTheme="minorHAnsi" w:eastAsiaTheme="minorEastAsia" w:hAnsiTheme="minorHAnsi"/>
              <w:noProof/>
              <w:kern w:val="2"/>
              <w:szCs w:val="24"/>
              <w14:ligatures w14:val="standardContextual"/>
            </w:rPr>
          </w:pPr>
          <w:hyperlink w:anchor="_Toc238204715" w:history="1">
            <w:r w:rsidRPr="00654997">
              <w:rPr>
                <w:rStyle w:val="Hyperlink"/>
                <w:noProof/>
              </w:rPr>
              <w:t>Top Researchers and Organizations</w:t>
            </w:r>
            <w:r>
              <w:rPr>
                <w:noProof/>
                <w:webHidden/>
              </w:rPr>
              <w:tab/>
            </w:r>
            <w:r>
              <w:rPr>
                <w:noProof/>
                <w:webHidden/>
              </w:rPr>
              <w:fldChar w:fldCharType="begin"/>
            </w:r>
            <w:r>
              <w:rPr>
                <w:noProof/>
                <w:webHidden/>
              </w:rPr>
              <w:instrText xml:space="preserve"> PAGEREF _Toc238204715 \h </w:instrText>
            </w:r>
            <w:r>
              <w:rPr>
                <w:noProof/>
                <w:webHidden/>
              </w:rPr>
            </w:r>
            <w:r>
              <w:rPr>
                <w:noProof/>
                <w:webHidden/>
              </w:rPr>
              <w:fldChar w:fldCharType="separate"/>
            </w:r>
            <w:r w:rsidR="0073325B">
              <w:rPr>
                <w:noProof/>
                <w:webHidden/>
              </w:rPr>
              <w:t>64</w:t>
            </w:r>
            <w:r>
              <w:rPr>
                <w:noProof/>
                <w:webHidden/>
              </w:rPr>
              <w:fldChar w:fldCharType="end"/>
            </w:r>
          </w:hyperlink>
        </w:p>
        <w:p w14:paraId="7EB1F874" w14:textId="2DD5F918" w:rsidR="00B40350" w:rsidRDefault="00B40350" w:rsidP="00B40350">
          <w:pPr>
            <w:pStyle w:val="cTableofContents"/>
            <w:rPr>
              <w:rFonts w:asciiTheme="minorHAnsi" w:eastAsiaTheme="minorEastAsia" w:hAnsiTheme="minorHAnsi"/>
              <w:noProof/>
              <w:kern w:val="2"/>
              <w:szCs w:val="24"/>
              <w14:ligatures w14:val="standardContextual"/>
            </w:rPr>
          </w:pPr>
          <w:hyperlink w:anchor="_Toc238204716" w:history="1">
            <w:r w:rsidRPr="00654997">
              <w:rPr>
                <w:rStyle w:val="Hyperlink"/>
                <w:noProof/>
              </w:rPr>
              <w:t>Scientific and Engineering Advisory Panel</w:t>
            </w:r>
            <w:r>
              <w:rPr>
                <w:noProof/>
                <w:webHidden/>
              </w:rPr>
              <w:tab/>
            </w:r>
            <w:r>
              <w:rPr>
                <w:noProof/>
                <w:webHidden/>
              </w:rPr>
              <w:fldChar w:fldCharType="begin"/>
            </w:r>
            <w:r>
              <w:rPr>
                <w:noProof/>
                <w:webHidden/>
              </w:rPr>
              <w:instrText xml:space="preserve"> PAGEREF _Toc238204716 \h </w:instrText>
            </w:r>
            <w:r>
              <w:rPr>
                <w:noProof/>
                <w:webHidden/>
              </w:rPr>
            </w:r>
            <w:r>
              <w:rPr>
                <w:noProof/>
                <w:webHidden/>
              </w:rPr>
              <w:fldChar w:fldCharType="separate"/>
            </w:r>
            <w:r w:rsidR="0073325B">
              <w:rPr>
                <w:noProof/>
                <w:webHidden/>
              </w:rPr>
              <w:t>66</w:t>
            </w:r>
            <w:r>
              <w:rPr>
                <w:noProof/>
                <w:webHidden/>
              </w:rPr>
              <w:fldChar w:fldCharType="end"/>
            </w:r>
          </w:hyperlink>
        </w:p>
        <w:p w14:paraId="0C958656" w14:textId="1BE62141" w:rsidR="00B40350" w:rsidRDefault="00B40350" w:rsidP="00B40350">
          <w:pPr>
            <w:pStyle w:val="cTableofContents"/>
            <w:rPr>
              <w:rFonts w:asciiTheme="minorHAnsi" w:eastAsiaTheme="minorEastAsia" w:hAnsiTheme="minorHAnsi"/>
              <w:noProof/>
              <w:kern w:val="2"/>
              <w:szCs w:val="24"/>
              <w14:ligatures w14:val="standardContextual"/>
            </w:rPr>
          </w:pPr>
          <w:hyperlink w:anchor="_Toc238204717" w:history="1">
            <w:r w:rsidRPr="00654997">
              <w:rPr>
                <w:rStyle w:val="Hyperlink"/>
                <w:noProof/>
              </w:rPr>
              <w:t>Management Advisory Panel</w:t>
            </w:r>
            <w:r>
              <w:rPr>
                <w:noProof/>
                <w:webHidden/>
              </w:rPr>
              <w:tab/>
            </w:r>
            <w:r>
              <w:rPr>
                <w:noProof/>
                <w:webHidden/>
              </w:rPr>
              <w:fldChar w:fldCharType="begin"/>
            </w:r>
            <w:r>
              <w:rPr>
                <w:noProof/>
                <w:webHidden/>
              </w:rPr>
              <w:instrText xml:space="preserve"> PAGEREF _Toc238204717 \h </w:instrText>
            </w:r>
            <w:r>
              <w:rPr>
                <w:noProof/>
                <w:webHidden/>
              </w:rPr>
            </w:r>
            <w:r>
              <w:rPr>
                <w:noProof/>
                <w:webHidden/>
              </w:rPr>
              <w:fldChar w:fldCharType="separate"/>
            </w:r>
            <w:r w:rsidR="0073325B">
              <w:rPr>
                <w:noProof/>
                <w:webHidden/>
              </w:rPr>
              <w:t>68</w:t>
            </w:r>
            <w:r>
              <w:rPr>
                <w:noProof/>
                <w:webHidden/>
              </w:rPr>
              <w:fldChar w:fldCharType="end"/>
            </w:r>
          </w:hyperlink>
        </w:p>
        <w:p w14:paraId="5F4F3F06" w14:textId="3890A5E9" w:rsidR="00B40350" w:rsidRDefault="00B40350" w:rsidP="00B40350">
          <w:pPr>
            <w:pStyle w:val="cTableofContents"/>
            <w:rPr>
              <w:rFonts w:asciiTheme="minorHAnsi" w:eastAsiaTheme="minorEastAsia" w:hAnsiTheme="minorHAnsi"/>
              <w:noProof/>
              <w:kern w:val="2"/>
              <w:szCs w:val="24"/>
              <w14:ligatures w14:val="standardContextual"/>
            </w:rPr>
          </w:pPr>
          <w:hyperlink w:anchor="_Toc238204718" w:history="1">
            <w:r w:rsidRPr="00654997">
              <w:rPr>
                <w:rStyle w:val="Hyperlink"/>
                <w:noProof/>
              </w:rPr>
              <w:t>Agreements</w:t>
            </w:r>
            <w:r>
              <w:rPr>
                <w:noProof/>
                <w:webHidden/>
              </w:rPr>
              <w:tab/>
            </w:r>
            <w:r>
              <w:rPr>
                <w:noProof/>
                <w:webHidden/>
              </w:rPr>
              <w:fldChar w:fldCharType="begin"/>
            </w:r>
            <w:r>
              <w:rPr>
                <w:noProof/>
                <w:webHidden/>
              </w:rPr>
              <w:instrText xml:space="preserve"> PAGEREF _Toc238204718 \h </w:instrText>
            </w:r>
            <w:r>
              <w:rPr>
                <w:noProof/>
                <w:webHidden/>
              </w:rPr>
            </w:r>
            <w:r>
              <w:rPr>
                <w:noProof/>
                <w:webHidden/>
              </w:rPr>
              <w:fldChar w:fldCharType="separate"/>
            </w:r>
            <w:r w:rsidR="0073325B">
              <w:rPr>
                <w:noProof/>
                <w:webHidden/>
              </w:rPr>
              <w:t>69</w:t>
            </w:r>
            <w:r>
              <w:rPr>
                <w:noProof/>
                <w:webHidden/>
              </w:rPr>
              <w:fldChar w:fldCharType="end"/>
            </w:r>
          </w:hyperlink>
        </w:p>
        <w:p w14:paraId="27DC8400" w14:textId="7E31A257" w:rsidR="003A5A50" w:rsidRDefault="00CB4873" w:rsidP="00B40350">
          <w:pPr>
            <w:pStyle w:val="cTableofContents"/>
          </w:pPr>
          <w:r>
            <w:rPr>
              <w:rStyle w:val="IndexLink"/>
            </w:rPr>
            <w:fldChar w:fldCharType="end"/>
          </w:r>
        </w:p>
      </w:sdtContent>
    </w:sdt>
    <w:p w14:paraId="51C0B27D" w14:textId="77777777" w:rsidR="003A5A50" w:rsidRDefault="00CB4873" w:rsidP="00AD2132">
      <w:pPr>
        <w:pStyle w:val="Heading1"/>
        <w:spacing w:before="100" w:after="100"/>
      </w:pPr>
      <w:bookmarkStart w:id="7" w:name="_Toc237866623"/>
      <w:bookmarkStart w:id="8" w:name="_Toc237987297"/>
      <w:bookmarkStart w:id="9" w:name="_Toc238204700"/>
      <w:r>
        <w:lastRenderedPageBreak/>
        <w:t>What is Nuclear Power Automated Site-Construction?</w:t>
      </w:r>
      <w:bookmarkEnd w:id="7"/>
      <w:bookmarkEnd w:id="8"/>
      <w:bookmarkEnd w:id="9"/>
    </w:p>
    <w:p w14:paraId="109010BD" w14:textId="2C090CDF" w:rsidR="003A5A50" w:rsidRDefault="00CB4873">
      <w:pPr>
        <w:spacing w:before="280" w:after="280"/>
      </w:pPr>
      <w:r>
        <w:t xml:space="preserve">The proposed program would develop custom machines, standardized interfaces, and digital systems that automate repetitive site-construction work for two Chinese nuclear reference plants. The HTR track would use a modular pebble-bed high-temperature gas-cooled reactor architecture derived from the commercially operating Shidao Bay </w:t>
      </w:r>
      <w:hyperlink r:id="rId23">
        <w:r w:rsidR="003A5A50">
          <w:rPr>
            <w:rFonts w:eastAsiaTheme="minorHAnsi"/>
            <w:color w:val="7F7F7F" w:themeColor="text1" w:themeTint="80"/>
            <w:u w:val="single"/>
          </w:rPr>
          <w:t>HTR-PM</w:t>
        </w:r>
      </w:hyperlink>
      <w:r w:rsidR="00265D05">
        <w:t xml:space="preserve"> </w:t>
      </w:r>
      <w:r>
        <w:t>and the larger multi-module HTR-PM600 concept. The</w:t>
      </w:r>
      <w:r w:rsidR="00265D05">
        <w:t xml:space="preserve"> PWR </w:t>
      </w:r>
      <w:r>
        <w:t xml:space="preserve">rack would use a </w:t>
      </w:r>
      <w:hyperlink r:id="rId24" w:history="1">
        <w:r w:rsidR="00265D05">
          <w:rPr>
            <w:rStyle w:val="bhyperlinkChar"/>
          </w:rPr>
          <w:t>Hualong One</w:t>
        </w:r>
      </w:hyperlink>
      <w:r w:rsidR="00265D05">
        <w:t xml:space="preserve"> </w:t>
      </w:r>
      <w:r>
        <w:t>/</w:t>
      </w:r>
      <w:r w:rsidR="00265D05">
        <w:t xml:space="preserve"> </w:t>
      </w:r>
      <w:r>
        <w:t>HPR1000-class plant representative of the standardized Generation III pressurized-water reactors that China is now building in series. The program would not redesign reactor physics, fuel, or the nuclear steam-supply system. It would redesign how approved plant structures and components are constructed, moved, positioned, inspected, and documented at the site.</w:t>
      </w:r>
    </w:p>
    <w:p w14:paraId="01DEE9FF" w14:textId="77777777" w:rsidR="003A5A50" w:rsidRDefault="00CB4873">
      <w:pPr>
        <w:spacing w:before="280" w:after="280"/>
      </w:pPr>
      <w:r>
        <w:t>The economic hypothesis is that a common construction platform can attack costs shared by both reactor types: excavation and earthworks, rock finishing, reinforced concrete, steel liners and structural modules, material movement, heavy lifting, fit-up, welding assistance, inspection, cable and pipe support installation, metrology, rework, and schedule delay. The same core machines should be designed to accept reactor-specific tools and fixtures. A machine fleet that moves from project to project can improve</w:t>
      </w:r>
      <w:r>
        <w:t xml:space="preserve"> through repetition, reduce craft variability, support 24/7 bounded operation, and generate comparable cost, schedule, safety, and quality data across many plants.</w:t>
      </w:r>
    </w:p>
    <w:p w14:paraId="5FC38C1D" w14:textId="77777777" w:rsidR="003A5A50" w:rsidRDefault="00CB4873">
      <w:pPr>
        <w:spacing w:before="280" w:after="280"/>
      </w:pPr>
      <w:r>
        <w:t>The two reactor tracks require different civil architectures. The HTR concept in the Climate Moonshot Business Plan uses repeated deep, lined cylindrical excavations, rail-mounted gantries, and factory-built support modules. A Hualong One-class PWR instead requires a large nuclear island, basemat, containment structure, steel liner, equipment compartments, major embedded items, and heavy installation of the reactor pressure vessel, steam generators, pressurizer, pumps, piping, and structural modules. The pr</w:t>
      </w:r>
      <w:r>
        <w:t>ogram therefore should maximize common machinery while allowing different end-effectors, work envelopes, lifting systems, formwork, and sequencing for each reference plant. Figures in this document primarily illustrate the HTR track; the PWR track requires its own full-scale mockups and test articles.</w:t>
      </w:r>
    </w:p>
    <w:p w14:paraId="6BE32261" w14:textId="77777777" w:rsidR="003A5A50" w:rsidRDefault="00CB4873">
      <w:pPr>
        <w:keepNext/>
        <w:spacing w:before="280" w:after="280"/>
        <w:jc w:val="center"/>
      </w:pPr>
      <w:r>
        <w:rPr>
          <w:noProof/>
        </w:rPr>
        <w:lastRenderedPageBreak/>
        <w:drawing>
          <wp:inline distT="0" distB="0" distL="0" distR="0" wp14:anchorId="61832345" wp14:editId="7EECF64A">
            <wp:extent cx="5303520" cy="315404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5"/>
                    <a:stretch>
                      <a:fillRect/>
                    </a:stretch>
                  </pic:blipFill>
                  <pic:spPr bwMode="auto">
                    <a:xfrm>
                      <a:off x="0" y="0"/>
                      <a:ext cx="5303520" cy="3154045"/>
                    </a:xfrm>
                    <a:prstGeom prst="rect">
                      <a:avLst/>
                    </a:prstGeom>
                    <a:noFill/>
                  </pic:spPr>
                </pic:pic>
              </a:graphicData>
            </a:graphic>
          </wp:inline>
        </w:drawing>
      </w:r>
    </w:p>
    <w:p w14:paraId="03AADF06" w14:textId="77777777" w:rsidR="003A5A50" w:rsidRDefault="00CB4873">
      <w:pPr>
        <w:pStyle w:val="bfigure-caption"/>
        <w:spacing w:before="280" w:after="280"/>
        <w:rPr>
          <w:sz w:val="36"/>
        </w:rPr>
      </w:pPr>
      <w:r>
        <w:t>Figure 1: The HTR-PM demonstration plant, one of the two China reference tracks.</w:t>
      </w:r>
    </w:p>
    <w:p w14:paraId="4D3A9F5A" w14:textId="77777777" w:rsidR="003A5A50" w:rsidRDefault="00CB4873">
      <w:pPr>
        <w:spacing w:before="280" w:after="280"/>
      </w:pPr>
      <w:r>
        <w:t>The five-year effort would be a construction-equipment and construction-process development program. It would design, prototype, test, and debug machines at a shared non-nuclear pilot site in China or elsewhere. Human-supervised automation is the appropriate initial objective: machines execute bounded tasks automatically while qualified operators authorize starts, pause work, intervene, and recover from faults. The PWR track is particularly valuable because China already has a large Hualong One supply chain</w:t>
      </w:r>
      <w:r>
        <w:t xml:space="preserve"> and is deploying modularization, mechanization, automation, digitalization, intelligent construction systems, automatic welding, and construction robots. The program should build on those practices rather than pretend it is starting from zero.</w:t>
      </w:r>
    </w:p>
    <w:p w14:paraId="5D00260C" w14:textId="77777777" w:rsidR="003A5A50" w:rsidRDefault="00CB4873">
      <w:pPr>
        <w:spacing w:before="280" w:after="280"/>
      </w:pPr>
      <w:r>
        <w:t>A successful program would deliver two frozen reference construction models, a common machine architecture, reactor-specific tooling packages, full-scale or near-full-scale prototypes, representative HTR and PWR civil test articles, heavy transport and component-placement demonstrations, and an auditable digital quality record. It would independently measure the site-construction cost and schedule effects for both designs, including first-of-a-kind and repeated-build cases. It would also quantify a potentia</w:t>
      </w:r>
      <w:r>
        <w:t>l HTR siting/transmission advantage without assuming that Chinese regulators will automatically allow closer siting. The output is evidence for a first licensed deployment decision, not a promise of a particular electricity price.</w:t>
      </w:r>
    </w:p>
    <w:p w14:paraId="69C078D7" w14:textId="77777777" w:rsidR="003A5A50" w:rsidRDefault="00CB4873">
      <w:pPr>
        <w:pStyle w:val="cSubject"/>
        <w:spacing w:before="280" w:after="280"/>
      </w:pPr>
      <w:r>
        <w:t>Key boundary of the program</w:t>
      </w:r>
    </w:p>
    <w:p w14:paraId="17E8D22F" w14:textId="77777777" w:rsidR="003A5A50" w:rsidRPr="004A4C23" w:rsidRDefault="00CB4873" w:rsidP="004A4C23">
      <w:pPr>
        <w:pStyle w:val="blist-bullets"/>
      </w:pPr>
      <w:r w:rsidRPr="004A4C23">
        <w:rPr>
          <w:b/>
          <w:bCs/>
        </w:rPr>
        <w:t xml:space="preserve">Included: </w:t>
      </w:r>
      <w:r w:rsidRPr="004A4C23">
        <w:t xml:space="preserve">China-specific construction-system design; HTR and PWR reference construction models; non-nuclear prototypes; civil and structural test articles; heavy equipment; site logistics; digital </w:t>
      </w:r>
      <w:r w:rsidRPr="004A4C23">
        <w:lastRenderedPageBreak/>
        <w:t>engineering; metrology; quality records; pilot demonstrations; cost/schedule models; and licensing-support studies.</w:t>
      </w:r>
    </w:p>
    <w:p w14:paraId="59D41523" w14:textId="77777777" w:rsidR="003A5A50" w:rsidRPr="004A4C23" w:rsidRDefault="00CB4873" w:rsidP="004A4C23">
      <w:pPr>
        <w:pStyle w:val="blist-bullets"/>
      </w:pPr>
      <w:r w:rsidRPr="004A4C23">
        <w:rPr>
          <w:b/>
          <w:bCs/>
        </w:rPr>
        <w:t xml:space="preserve">Excluded: </w:t>
      </w:r>
      <w:r w:rsidRPr="004A4C23">
        <w:t>nuclear fuel qualification; reactor physics R&amp;D; redesign of safety functions merely to simplify construction; commercial plant construction; electricity generation; and ownership or operation of an HTR or PWR plant.</w:t>
      </w:r>
    </w:p>
    <w:p w14:paraId="383BC52B" w14:textId="77777777" w:rsidR="003A5A50" w:rsidRPr="004A4C23" w:rsidRDefault="00CB4873" w:rsidP="004A4C23">
      <w:pPr>
        <w:pStyle w:val="blist-bullets"/>
      </w:pPr>
      <w:r w:rsidRPr="00FE05D0">
        <w:rPr>
          <w:b/>
          <w:bCs/>
        </w:rPr>
        <w:t xml:space="preserve">Conditional: </w:t>
      </w:r>
      <w:r w:rsidRPr="004A4C23">
        <w:t>controlled access to HTR-PM and Hualong One/HPR1000 design data, Chinese codes and standards, supplier information, and regulator engagement. If proprietary design access is incomplete, use functionally representative non-nuclear mockups while preserving the dual-reference construction mission.</w:t>
      </w:r>
    </w:p>
    <w:p w14:paraId="6807DA36" w14:textId="77777777" w:rsidR="003A5A50" w:rsidRDefault="00CB4873">
      <w:pPr>
        <w:spacing w:before="280" w:after="280"/>
      </w:pPr>
      <w:r>
        <w:br w:type="page"/>
      </w:r>
    </w:p>
    <w:p w14:paraId="104B306C" w14:textId="77777777" w:rsidR="003A5A50" w:rsidRDefault="00CB4873">
      <w:pPr>
        <w:pStyle w:val="Heading1"/>
        <w:spacing w:before="0" w:after="280"/>
      </w:pPr>
      <w:bookmarkStart w:id="10" w:name="_Toc237866624"/>
      <w:bookmarkStart w:id="11" w:name="_Toc237987298"/>
      <w:bookmarkStart w:id="12" w:name="_Toc238204701"/>
      <w:r>
        <w:lastRenderedPageBreak/>
        <w:t>Program Architecture and $1 Billion Budget</w:t>
      </w:r>
      <w:bookmarkEnd w:id="10"/>
      <w:bookmarkEnd w:id="11"/>
      <w:bookmarkEnd w:id="12"/>
    </w:p>
    <w:p w14:paraId="2F8D5ACE" w14:textId="77777777" w:rsidR="003A5A50" w:rsidRDefault="00CB4873">
      <w:pPr>
        <w:pStyle w:val="cUserPromptText"/>
        <w:spacing w:before="280" w:after="280"/>
      </w:pPr>
      <w:r>
        <w:rPr>
          <w:b/>
        </w:rPr>
        <w:t xml:space="preserve">Prompt to AI: </w:t>
      </w:r>
      <w:r>
        <w:t>A five-year program has $1 billion to develop custom machines and systems that automate site construction in China for both an HTR track, initially using HTR-PM/HTR-PM600 as the reference design, and a Hualong One/HPR1000-class PWR. How should the money be allocated, what should the program deliver, and what should it explicitly not promise?</w:t>
      </w:r>
    </w:p>
    <w:p w14:paraId="5CE153D2" w14:textId="77777777" w:rsidR="003A5A50" w:rsidRDefault="00CB4873">
      <w:pPr>
        <w:keepNext/>
        <w:spacing w:before="280" w:after="280"/>
      </w:pPr>
      <w:r>
        <w:rPr>
          <w:b/>
          <w:color w:val="4F81BD"/>
          <w:u w:val="single"/>
        </w:rPr>
        <w:t>Response From AI:</w:t>
      </w:r>
    </w:p>
    <w:p w14:paraId="4B5987F7" w14:textId="77777777" w:rsidR="003A5A50" w:rsidRDefault="00CB4873">
      <w:pPr>
        <w:spacing w:before="280" w:after="280"/>
      </w:pPr>
      <w:r>
        <w:t>The recommended interpretation is a dual-reference design-and-demonstration program, not the construction budget for nuclear plants. All amounts are preliminary planning estimates in constant 2026 dollars. The baseline technical program is $800 million, with a centrally controlled $200 million reserve. The program deliberately avoids splitting the money into two independent $500 million efforts. Instead, it develops a common machine platform first, then funds HTR-specific and PWR-specific tooling and test a</w:t>
      </w:r>
      <w:r>
        <w:t>rticles only where plant geometry or nuclear construction sequence truly differs. This creates a direct competition: for each task, measure whether one common machine, two variants, or conventional Chinese construction is cheapest and most reliable.</w:t>
      </w:r>
    </w:p>
    <w:tbl>
      <w:tblPr>
        <w:tblStyle w:val="gswTableStyle"/>
        <w:tblW w:w="10116" w:type="dxa"/>
        <w:tblLayout w:type="fixed"/>
        <w:tblLook w:val="04A0" w:firstRow="1" w:lastRow="0" w:firstColumn="1" w:lastColumn="0" w:noHBand="0" w:noVBand="1"/>
      </w:tblPr>
      <w:tblGrid>
        <w:gridCol w:w="3023"/>
        <w:gridCol w:w="937"/>
        <w:gridCol w:w="792"/>
        <w:gridCol w:w="5364"/>
      </w:tblGrid>
      <w:tr w:rsidR="003A5A50" w14:paraId="08AB1409" w14:textId="77777777" w:rsidTr="003A5A50">
        <w:trPr>
          <w:cnfStyle w:val="100000000000" w:firstRow="1" w:lastRow="0" w:firstColumn="0" w:lastColumn="0" w:oddVBand="0" w:evenVBand="0" w:oddHBand="0" w:evenHBand="0" w:firstRowFirstColumn="0" w:firstRowLastColumn="0" w:lastRowFirstColumn="0" w:lastRowLastColumn="0"/>
          <w:tblHeader/>
        </w:trPr>
        <w:tc>
          <w:tcPr>
            <w:tcW w:w="3023" w:type="dxa"/>
          </w:tcPr>
          <w:p w14:paraId="44C1DF0E" w14:textId="77777777" w:rsidR="003A5A50" w:rsidRDefault="00CB4873">
            <w:pPr>
              <w:pStyle w:val="cTableHeader"/>
              <w:spacing w:before="0" w:after="0"/>
            </w:pPr>
            <w:r>
              <w:t>Work package</w:t>
            </w:r>
          </w:p>
        </w:tc>
        <w:tc>
          <w:tcPr>
            <w:tcW w:w="937" w:type="dxa"/>
          </w:tcPr>
          <w:p w14:paraId="5C96EB22" w14:textId="77777777" w:rsidR="003A5A50" w:rsidRDefault="00CB4873">
            <w:pPr>
              <w:pStyle w:val="cTableHeader"/>
              <w:spacing w:before="0" w:after="0"/>
            </w:pPr>
            <w:r>
              <w:t>Budget</w:t>
            </w:r>
          </w:p>
        </w:tc>
        <w:tc>
          <w:tcPr>
            <w:tcW w:w="792" w:type="dxa"/>
          </w:tcPr>
          <w:p w14:paraId="24C76965" w14:textId="77777777" w:rsidR="003A5A50" w:rsidRDefault="00CB4873">
            <w:pPr>
              <w:pStyle w:val="cTableHeader"/>
              <w:spacing w:before="0" w:after="0"/>
            </w:pPr>
            <w:r>
              <w:t>Share</w:t>
            </w:r>
          </w:p>
        </w:tc>
        <w:tc>
          <w:tcPr>
            <w:tcW w:w="5363" w:type="dxa"/>
          </w:tcPr>
          <w:p w14:paraId="11230CB4" w14:textId="77777777" w:rsidR="003A5A50" w:rsidRDefault="00CB4873">
            <w:pPr>
              <w:pStyle w:val="cTableHeader"/>
              <w:spacing w:before="0" w:after="0"/>
            </w:pPr>
            <w:r>
              <w:t>Principal five-year deliverable</w:t>
            </w:r>
          </w:p>
        </w:tc>
      </w:tr>
      <w:tr w:rsidR="003A5A50" w14:paraId="069F2397" w14:textId="77777777" w:rsidTr="003A5A50">
        <w:tc>
          <w:tcPr>
            <w:tcW w:w="3023" w:type="dxa"/>
          </w:tcPr>
          <w:p w14:paraId="262C4B0D" w14:textId="00160438" w:rsidR="003A5A50" w:rsidRDefault="00DE3072">
            <w:pPr>
              <w:pStyle w:val="cTableBody"/>
              <w:spacing w:before="0" w:after="0"/>
            </w:pPr>
            <w:r w:rsidRPr="0042363A">
              <w:rPr>
                <w:b/>
                <w:bCs/>
              </w:rPr>
              <w:t>Area 1.</w:t>
            </w:r>
            <w:r>
              <w:t xml:space="preserve"> Dual-reference plant, site, and construction-system design</w:t>
            </w:r>
          </w:p>
        </w:tc>
        <w:tc>
          <w:tcPr>
            <w:tcW w:w="937" w:type="dxa"/>
          </w:tcPr>
          <w:p w14:paraId="0C480AE4" w14:textId="77777777" w:rsidR="003A5A50" w:rsidRDefault="00CB4873">
            <w:pPr>
              <w:pStyle w:val="cTableBody"/>
              <w:spacing w:before="0" w:after="0"/>
            </w:pPr>
            <w:r>
              <w:t>$90M</w:t>
            </w:r>
          </w:p>
        </w:tc>
        <w:tc>
          <w:tcPr>
            <w:tcW w:w="792" w:type="dxa"/>
          </w:tcPr>
          <w:p w14:paraId="42D68626" w14:textId="77777777" w:rsidR="003A5A50" w:rsidRDefault="00CB4873">
            <w:pPr>
              <w:pStyle w:val="cTableBody"/>
              <w:spacing w:before="0" w:after="0"/>
            </w:pPr>
            <w:r>
              <w:t>9.0%</w:t>
            </w:r>
          </w:p>
        </w:tc>
        <w:tc>
          <w:tcPr>
            <w:tcW w:w="5363" w:type="dxa"/>
          </w:tcPr>
          <w:p w14:paraId="3AE537EC" w14:textId="77777777" w:rsidR="003A5A50" w:rsidRDefault="00CB4873">
            <w:pPr>
              <w:pStyle w:val="cTableBody"/>
              <w:spacing w:before="0" w:after="0"/>
            </w:pPr>
            <w:r>
              <w:t>Controlled HTR and Hualong One construction reference models, common interfaces, reactor-specific tooling envelopes, quantities, sequences, and machine procurement packages.</w:t>
            </w:r>
          </w:p>
        </w:tc>
      </w:tr>
      <w:tr w:rsidR="003A5A50" w14:paraId="0AE775CF" w14:textId="77777777" w:rsidTr="003A5A50">
        <w:tc>
          <w:tcPr>
            <w:tcW w:w="3023" w:type="dxa"/>
          </w:tcPr>
          <w:p w14:paraId="22251CF1" w14:textId="7F6FBCB0" w:rsidR="003A5A50" w:rsidRDefault="00DE3072">
            <w:pPr>
              <w:pStyle w:val="cTableBody"/>
              <w:spacing w:before="0" w:after="0"/>
            </w:pPr>
            <w:r w:rsidRPr="0042363A">
              <w:rPr>
                <w:b/>
                <w:bCs/>
              </w:rPr>
              <w:t xml:space="preserve">Area 2. </w:t>
            </w:r>
            <w:r>
              <w:t>Excavation, earthworks, and precision rock-cutting machines</w:t>
            </w:r>
          </w:p>
        </w:tc>
        <w:tc>
          <w:tcPr>
            <w:tcW w:w="937" w:type="dxa"/>
          </w:tcPr>
          <w:p w14:paraId="04D40F2A" w14:textId="77777777" w:rsidR="003A5A50" w:rsidRDefault="00CB4873">
            <w:pPr>
              <w:pStyle w:val="cTableBody"/>
              <w:spacing w:before="0" w:after="0"/>
            </w:pPr>
            <w:r>
              <w:t>$95M</w:t>
            </w:r>
          </w:p>
        </w:tc>
        <w:tc>
          <w:tcPr>
            <w:tcW w:w="792" w:type="dxa"/>
          </w:tcPr>
          <w:p w14:paraId="565667EB" w14:textId="77777777" w:rsidR="003A5A50" w:rsidRDefault="00CB4873">
            <w:pPr>
              <w:pStyle w:val="cTableBody"/>
              <w:spacing w:before="0" w:after="0"/>
            </w:pPr>
            <w:r>
              <w:t>9.5%</w:t>
            </w:r>
          </w:p>
        </w:tc>
        <w:tc>
          <w:tcPr>
            <w:tcW w:w="5363" w:type="dxa"/>
          </w:tcPr>
          <w:p w14:paraId="4BDD7BE9" w14:textId="77777777" w:rsidR="003A5A50" w:rsidRDefault="00CB4873">
            <w:pPr>
              <w:pStyle w:val="cTableBody"/>
              <w:spacing w:before="0" w:after="0"/>
            </w:pPr>
            <w:r>
              <w:t>Full-scale or near-full-scale prototypes for HTR deep excavation and PWR bulk excavation/foundation preparation, using common controls and interchangeable tools where practical.</w:t>
            </w:r>
          </w:p>
        </w:tc>
      </w:tr>
      <w:tr w:rsidR="003A5A50" w14:paraId="2D1B08E7" w14:textId="77777777" w:rsidTr="003A5A50">
        <w:tc>
          <w:tcPr>
            <w:tcW w:w="3023" w:type="dxa"/>
          </w:tcPr>
          <w:p w14:paraId="6C9F49B5" w14:textId="7CA69AE7" w:rsidR="003A5A50" w:rsidRDefault="00DE3072">
            <w:pPr>
              <w:pStyle w:val="cTableBody"/>
              <w:spacing w:before="0" w:after="0"/>
            </w:pPr>
            <w:r w:rsidRPr="0042363A">
              <w:rPr>
                <w:b/>
                <w:bCs/>
              </w:rPr>
              <w:t xml:space="preserve">Area 3. </w:t>
            </w:r>
            <w:r>
              <w:t>Material handling, spoil removal, and machine exchange</w:t>
            </w:r>
          </w:p>
        </w:tc>
        <w:tc>
          <w:tcPr>
            <w:tcW w:w="937" w:type="dxa"/>
          </w:tcPr>
          <w:p w14:paraId="35DB97D8" w14:textId="77777777" w:rsidR="003A5A50" w:rsidRDefault="00CB4873">
            <w:pPr>
              <w:pStyle w:val="cTableBody"/>
              <w:spacing w:before="0" w:after="0"/>
            </w:pPr>
            <w:r>
              <w:t>$55M</w:t>
            </w:r>
          </w:p>
        </w:tc>
        <w:tc>
          <w:tcPr>
            <w:tcW w:w="792" w:type="dxa"/>
          </w:tcPr>
          <w:p w14:paraId="445D134F" w14:textId="77777777" w:rsidR="003A5A50" w:rsidRDefault="00CB4873">
            <w:pPr>
              <w:pStyle w:val="cTableBody"/>
              <w:spacing w:before="0" w:after="0"/>
            </w:pPr>
            <w:r>
              <w:t>5.5%</w:t>
            </w:r>
          </w:p>
        </w:tc>
        <w:tc>
          <w:tcPr>
            <w:tcW w:w="5363" w:type="dxa"/>
          </w:tcPr>
          <w:p w14:paraId="41BA8F5F" w14:textId="77777777" w:rsidR="003A5A50" w:rsidRDefault="00CB4873">
            <w:pPr>
              <w:pStyle w:val="cTableBody"/>
              <w:spacing w:before="0" w:after="0"/>
            </w:pPr>
            <w:r>
              <w:t>Integrated material-flow and machine-exchange systems that keep both HTR and PWR construction fronts supplied without waiting on haulage, staging, or maintenance.</w:t>
            </w:r>
          </w:p>
        </w:tc>
      </w:tr>
      <w:tr w:rsidR="003A5A50" w14:paraId="7EBFF019" w14:textId="77777777" w:rsidTr="003A5A50">
        <w:tc>
          <w:tcPr>
            <w:tcW w:w="3023" w:type="dxa"/>
          </w:tcPr>
          <w:p w14:paraId="01315426" w14:textId="1E919092" w:rsidR="003A5A50" w:rsidRDefault="00DE3072">
            <w:pPr>
              <w:pStyle w:val="cTableBody"/>
              <w:spacing w:before="0" w:after="0"/>
            </w:pPr>
            <w:r w:rsidRPr="0042363A">
              <w:rPr>
                <w:b/>
                <w:bCs/>
              </w:rPr>
              <w:t xml:space="preserve">Area 4. </w:t>
            </w:r>
            <w:r>
              <w:t>Heavy lift, gantry, crane, rail, and positioning systems</w:t>
            </w:r>
          </w:p>
        </w:tc>
        <w:tc>
          <w:tcPr>
            <w:tcW w:w="937" w:type="dxa"/>
          </w:tcPr>
          <w:p w14:paraId="5C75DB31" w14:textId="77777777" w:rsidR="003A5A50" w:rsidRDefault="00CB4873">
            <w:pPr>
              <w:pStyle w:val="cTableBody"/>
              <w:spacing w:before="0" w:after="0"/>
            </w:pPr>
            <w:r>
              <w:t>$95M</w:t>
            </w:r>
          </w:p>
        </w:tc>
        <w:tc>
          <w:tcPr>
            <w:tcW w:w="792" w:type="dxa"/>
          </w:tcPr>
          <w:p w14:paraId="3066D925" w14:textId="77777777" w:rsidR="003A5A50" w:rsidRDefault="00CB4873">
            <w:pPr>
              <w:pStyle w:val="cTableBody"/>
              <w:spacing w:before="0" w:after="0"/>
            </w:pPr>
            <w:r>
              <w:t>9.5%</w:t>
            </w:r>
          </w:p>
        </w:tc>
        <w:tc>
          <w:tcPr>
            <w:tcW w:w="5363" w:type="dxa"/>
          </w:tcPr>
          <w:p w14:paraId="74A5266C" w14:textId="77777777" w:rsidR="003A5A50" w:rsidRDefault="00CB4873">
            <w:pPr>
              <w:pStyle w:val="cTableBody"/>
              <w:spacing w:before="0" w:after="0"/>
            </w:pPr>
            <w:r>
              <w:t>Prototype heavy-handling systems with standardized lifting interfaces and reactor-specific fixtures for repeated HTR cells and large PWR nuclear-island components/modules.</w:t>
            </w:r>
          </w:p>
        </w:tc>
      </w:tr>
      <w:tr w:rsidR="003A5A50" w14:paraId="182A77EC" w14:textId="77777777" w:rsidTr="003A5A50">
        <w:tc>
          <w:tcPr>
            <w:tcW w:w="3023" w:type="dxa"/>
          </w:tcPr>
          <w:p w14:paraId="246ADA75" w14:textId="5164063B" w:rsidR="003A5A50" w:rsidRDefault="00DE3072">
            <w:pPr>
              <w:pStyle w:val="cTableBody"/>
              <w:spacing w:before="0" w:after="0"/>
            </w:pPr>
            <w:r w:rsidRPr="0042363A">
              <w:rPr>
                <w:b/>
                <w:bCs/>
              </w:rPr>
              <w:t xml:space="preserve">Area 5. </w:t>
            </w:r>
            <w:r>
              <w:t>Concrete, rebar, formwork, steel-liner, and structural automation</w:t>
            </w:r>
          </w:p>
        </w:tc>
        <w:tc>
          <w:tcPr>
            <w:tcW w:w="937" w:type="dxa"/>
          </w:tcPr>
          <w:p w14:paraId="324B7938" w14:textId="77777777" w:rsidR="003A5A50" w:rsidRDefault="00CB4873">
            <w:pPr>
              <w:pStyle w:val="cTableBody"/>
              <w:spacing w:before="0" w:after="0"/>
            </w:pPr>
            <w:r>
              <w:t>$150M</w:t>
            </w:r>
          </w:p>
        </w:tc>
        <w:tc>
          <w:tcPr>
            <w:tcW w:w="792" w:type="dxa"/>
          </w:tcPr>
          <w:p w14:paraId="14763476" w14:textId="77777777" w:rsidR="003A5A50" w:rsidRDefault="00CB4873">
            <w:pPr>
              <w:pStyle w:val="cTableBody"/>
              <w:spacing w:before="0" w:after="0"/>
            </w:pPr>
            <w:r>
              <w:t>15.0%</w:t>
            </w:r>
          </w:p>
        </w:tc>
        <w:tc>
          <w:tcPr>
            <w:tcW w:w="5363" w:type="dxa"/>
          </w:tcPr>
          <w:p w14:paraId="15C7418D" w14:textId="77777777" w:rsidR="003A5A50" w:rsidRDefault="00CB4873">
            <w:pPr>
              <w:pStyle w:val="cTableBody"/>
              <w:spacing w:before="0" w:after="0"/>
            </w:pPr>
            <w:r>
              <w:t>Automated structural construction for HTR lined excavations and PWR basemat/containment work, including rebar, embedments, concrete, steel liners, inspection, and digital records.</w:t>
            </w:r>
          </w:p>
        </w:tc>
      </w:tr>
      <w:tr w:rsidR="003A5A50" w14:paraId="1BF85CF5" w14:textId="77777777" w:rsidTr="003A5A50">
        <w:tc>
          <w:tcPr>
            <w:tcW w:w="3023" w:type="dxa"/>
          </w:tcPr>
          <w:p w14:paraId="304746F7" w14:textId="054FF36F" w:rsidR="003A5A50" w:rsidRDefault="00DE3072">
            <w:pPr>
              <w:pStyle w:val="cTableBody"/>
              <w:spacing w:before="0" w:after="0"/>
            </w:pPr>
            <w:r w:rsidRPr="0042363A">
              <w:rPr>
                <w:b/>
                <w:bCs/>
              </w:rPr>
              <w:t xml:space="preserve">Area 6. </w:t>
            </w:r>
            <w:r>
              <w:t>Heavy-module transport and site-logistics system</w:t>
            </w:r>
          </w:p>
        </w:tc>
        <w:tc>
          <w:tcPr>
            <w:tcW w:w="937" w:type="dxa"/>
          </w:tcPr>
          <w:p w14:paraId="397A4E58" w14:textId="77777777" w:rsidR="003A5A50" w:rsidRDefault="00CB4873">
            <w:pPr>
              <w:pStyle w:val="cTableBody"/>
              <w:spacing w:before="0" w:after="0"/>
            </w:pPr>
            <w:r>
              <w:t>$80M</w:t>
            </w:r>
          </w:p>
        </w:tc>
        <w:tc>
          <w:tcPr>
            <w:tcW w:w="792" w:type="dxa"/>
          </w:tcPr>
          <w:p w14:paraId="241C4CEE" w14:textId="77777777" w:rsidR="003A5A50" w:rsidRDefault="00CB4873">
            <w:pPr>
              <w:pStyle w:val="cTableBody"/>
              <w:spacing w:before="0" w:after="0"/>
            </w:pPr>
            <w:r>
              <w:t>8.0%</w:t>
            </w:r>
          </w:p>
        </w:tc>
        <w:tc>
          <w:tcPr>
            <w:tcW w:w="5363" w:type="dxa"/>
          </w:tcPr>
          <w:p w14:paraId="6CBFFA75" w14:textId="77777777" w:rsidR="003A5A50" w:rsidRDefault="00CB4873">
            <w:pPr>
              <w:pStyle w:val="cTableBody"/>
              <w:spacing w:before="0" w:after="0"/>
            </w:pPr>
            <w:r>
              <w:t>Reusable transport and staging systems for factory-to-site movement of HTR modules and PWR structural/mechanical modules, with standardized site handoff interfaces.</w:t>
            </w:r>
          </w:p>
        </w:tc>
      </w:tr>
      <w:tr w:rsidR="003A5A50" w14:paraId="43878949" w14:textId="77777777" w:rsidTr="003A5A50">
        <w:tc>
          <w:tcPr>
            <w:tcW w:w="3023" w:type="dxa"/>
          </w:tcPr>
          <w:p w14:paraId="2212DFA0" w14:textId="673A8F50" w:rsidR="003A5A50" w:rsidRDefault="00DE3072">
            <w:pPr>
              <w:pStyle w:val="cTableBody"/>
              <w:spacing w:before="0" w:after="0"/>
            </w:pPr>
            <w:r w:rsidRPr="0042363A">
              <w:rPr>
                <w:b/>
                <w:bCs/>
              </w:rPr>
              <w:t xml:space="preserve">Area 7. </w:t>
            </w:r>
            <w:r>
              <w:t xml:space="preserve">Reactor-island and support-module installation </w:t>
            </w:r>
            <w:r>
              <w:lastRenderedPageBreak/>
              <w:t>automation</w:t>
            </w:r>
          </w:p>
        </w:tc>
        <w:tc>
          <w:tcPr>
            <w:tcW w:w="937" w:type="dxa"/>
          </w:tcPr>
          <w:p w14:paraId="4919AE94" w14:textId="77777777" w:rsidR="003A5A50" w:rsidRDefault="00CB4873">
            <w:pPr>
              <w:pStyle w:val="cTableBody"/>
              <w:spacing w:before="0" w:after="0"/>
            </w:pPr>
            <w:r>
              <w:lastRenderedPageBreak/>
              <w:t>$85M</w:t>
            </w:r>
          </w:p>
        </w:tc>
        <w:tc>
          <w:tcPr>
            <w:tcW w:w="792" w:type="dxa"/>
          </w:tcPr>
          <w:p w14:paraId="794B391B" w14:textId="77777777" w:rsidR="003A5A50" w:rsidRDefault="00CB4873">
            <w:pPr>
              <w:pStyle w:val="cTableBody"/>
              <w:spacing w:before="0" w:after="0"/>
            </w:pPr>
            <w:r>
              <w:t>8.5%</w:t>
            </w:r>
          </w:p>
        </w:tc>
        <w:tc>
          <w:tcPr>
            <w:tcW w:w="5363" w:type="dxa"/>
          </w:tcPr>
          <w:p w14:paraId="55DABCBD" w14:textId="77777777" w:rsidR="003A5A50" w:rsidRDefault="00CB4873">
            <w:pPr>
              <w:pStyle w:val="cTableBody"/>
              <w:spacing w:before="0" w:after="0"/>
            </w:pPr>
            <w:r>
              <w:t xml:space="preserve">Mockups and tools to transport, position, align, connect, inspect, and repeatedly install major HTR and PWR </w:t>
            </w:r>
            <w:r>
              <w:lastRenderedPageBreak/>
              <w:t>components without nuclear material.</w:t>
            </w:r>
          </w:p>
        </w:tc>
      </w:tr>
      <w:tr w:rsidR="003A5A50" w14:paraId="1EBF0E8D" w14:textId="77777777" w:rsidTr="003A5A50">
        <w:tc>
          <w:tcPr>
            <w:tcW w:w="3023" w:type="dxa"/>
          </w:tcPr>
          <w:p w14:paraId="41AA7B34" w14:textId="4C98CD6C" w:rsidR="003A5A50" w:rsidRDefault="00DE3072">
            <w:pPr>
              <w:pStyle w:val="cTableBody"/>
              <w:spacing w:before="0" w:after="0"/>
            </w:pPr>
            <w:r w:rsidRPr="0042363A">
              <w:rPr>
                <w:b/>
                <w:bCs/>
              </w:rPr>
              <w:lastRenderedPageBreak/>
              <w:t xml:space="preserve">Area 8. </w:t>
            </w:r>
            <w:r>
              <w:t>Digital twin, autonomy, metrology, and nuclear QA data thread</w:t>
            </w:r>
          </w:p>
        </w:tc>
        <w:tc>
          <w:tcPr>
            <w:tcW w:w="937" w:type="dxa"/>
          </w:tcPr>
          <w:p w14:paraId="444550E2" w14:textId="77777777" w:rsidR="003A5A50" w:rsidRDefault="00CB4873">
            <w:pPr>
              <w:pStyle w:val="cTableBody"/>
              <w:spacing w:before="0" w:after="0"/>
            </w:pPr>
            <w:r>
              <w:t>$65M</w:t>
            </w:r>
          </w:p>
        </w:tc>
        <w:tc>
          <w:tcPr>
            <w:tcW w:w="792" w:type="dxa"/>
          </w:tcPr>
          <w:p w14:paraId="323CC385" w14:textId="77777777" w:rsidR="003A5A50" w:rsidRDefault="00CB4873">
            <w:pPr>
              <w:pStyle w:val="cTableBody"/>
              <w:spacing w:before="0" w:after="0"/>
            </w:pPr>
            <w:r>
              <w:t>6.5%</w:t>
            </w:r>
          </w:p>
        </w:tc>
        <w:tc>
          <w:tcPr>
            <w:tcW w:w="5363" w:type="dxa"/>
          </w:tcPr>
          <w:p w14:paraId="6025A1DA" w14:textId="77777777" w:rsidR="003A5A50" w:rsidRDefault="00CB4873">
            <w:pPr>
              <w:pStyle w:val="cTableBody"/>
              <w:spacing w:before="0" w:after="0"/>
            </w:pPr>
            <w:r>
              <w:t>One integrated planning, control, metrology, configuration, quality, and auditable as-built data thread supporting both reactor construction tracks.</w:t>
            </w:r>
          </w:p>
        </w:tc>
      </w:tr>
      <w:tr w:rsidR="003A5A50" w14:paraId="7F8318B5" w14:textId="77777777" w:rsidTr="003A5A50">
        <w:tc>
          <w:tcPr>
            <w:tcW w:w="3023" w:type="dxa"/>
          </w:tcPr>
          <w:p w14:paraId="229DEF59" w14:textId="1D0D8E84" w:rsidR="003A5A50" w:rsidRDefault="00DE3072">
            <w:pPr>
              <w:pStyle w:val="cTableBody"/>
              <w:spacing w:before="0" w:after="0"/>
            </w:pPr>
            <w:r w:rsidRPr="0042363A">
              <w:rPr>
                <w:b/>
                <w:bCs/>
              </w:rPr>
              <w:t>Area 9.</w:t>
            </w:r>
            <w:r>
              <w:t xml:space="preserve"> Integrated dual-track pilot site and end-to-end demonstration</w:t>
            </w:r>
          </w:p>
        </w:tc>
        <w:tc>
          <w:tcPr>
            <w:tcW w:w="937" w:type="dxa"/>
          </w:tcPr>
          <w:p w14:paraId="1FF3DEAF" w14:textId="77777777" w:rsidR="003A5A50" w:rsidRDefault="00CB4873">
            <w:pPr>
              <w:pStyle w:val="cTableBody"/>
              <w:spacing w:before="0" w:after="0"/>
            </w:pPr>
            <w:r>
              <w:t>$55M</w:t>
            </w:r>
          </w:p>
        </w:tc>
        <w:tc>
          <w:tcPr>
            <w:tcW w:w="792" w:type="dxa"/>
          </w:tcPr>
          <w:p w14:paraId="69B29FA3" w14:textId="77777777" w:rsidR="003A5A50" w:rsidRDefault="00CB4873">
            <w:pPr>
              <w:pStyle w:val="cTableBody"/>
              <w:spacing w:before="0" w:after="0"/>
            </w:pPr>
            <w:r>
              <w:t>5.5%</w:t>
            </w:r>
          </w:p>
        </w:tc>
        <w:tc>
          <w:tcPr>
            <w:tcW w:w="5363" w:type="dxa"/>
          </w:tcPr>
          <w:p w14:paraId="04A315AC" w14:textId="77777777" w:rsidR="003A5A50" w:rsidRDefault="00CB4873">
            <w:pPr>
              <w:pStyle w:val="cTableBody"/>
              <w:spacing w:before="0" w:after="0"/>
            </w:pPr>
            <w:r>
              <w:t>Shared non-nuclear pilot with distinct HTR and PWR test zones where the common machine fleet and reactor-specific tooling operate end to end and produce independent evidence.</w:t>
            </w:r>
          </w:p>
        </w:tc>
      </w:tr>
      <w:tr w:rsidR="003A5A50" w14:paraId="7EC0BB8D" w14:textId="77777777" w:rsidTr="003A5A50">
        <w:tc>
          <w:tcPr>
            <w:tcW w:w="3023" w:type="dxa"/>
          </w:tcPr>
          <w:p w14:paraId="6357E4EB" w14:textId="2C210F1C" w:rsidR="003A5A50" w:rsidRDefault="00DE3072">
            <w:pPr>
              <w:pStyle w:val="cTableBody"/>
              <w:spacing w:before="0" w:after="0"/>
            </w:pPr>
            <w:r w:rsidRPr="0042363A">
              <w:rPr>
                <w:b/>
                <w:bCs/>
              </w:rPr>
              <w:t>Area 10.</w:t>
            </w:r>
            <w:r>
              <w:t xml:space="preserve"> Program management, nuclear QA, China licensing support, and independent review</w:t>
            </w:r>
          </w:p>
        </w:tc>
        <w:tc>
          <w:tcPr>
            <w:tcW w:w="937" w:type="dxa"/>
          </w:tcPr>
          <w:p w14:paraId="3DF5ED4E" w14:textId="77777777" w:rsidR="003A5A50" w:rsidRDefault="00CB4873">
            <w:pPr>
              <w:pStyle w:val="cTableBody"/>
              <w:spacing w:before="0" w:after="0"/>
            </w:pPr>
            <w:r>
              <w:t>$30M</w:t>
            </w:r>
          </w:p>
        </w:tc>
        <w:tc>
          <w:tcPr>
            <w:tcW w:w="792" w:type="dxa"/>
          </w:tcPr>
          <w:p w14:paraId="1E9D8C53" w14:textId="77777777" w:rsidR="003A5A50" w:rsidRDefault="00CB4873">
            <w:pPr>
              <w:pStyle w:val="cTableBody"/>
              <w:spacing w:before="0" w:after="0"/>
            </w:pPr>
            <w:r>
              <w:t>3.0%</w:t>
            </w:r>
          </w:p>
        </w:tc>
        <w:tc>
          <w:tcPr>
            <w:tcW w:w="5363" w:type="dxa"/>
          </w:tcPr>
          <w:p w14:paraId="1D1D0E77" w14:textId="77777777" w:rsidR="003A5A50" w:rsidRDefault="00CB4873">
            <w:pPr>
              <w:pStyle w:val="cTableBody"/>
              <w:spacing w:before="0" w:after="0"/>
            </w:pPr>
            <w:r>
              <w:t>Owner-side program office controlling the common platform, two reference designs, contracts, interfaces, cost, schedule, safety, quality, data rights, independent review, and transition.</w:t>
            </w:r>
          </w:p>
        </w:tc>
      </w:tr>
      <w:tr w:rsidR="003A5A50" w14:paraId="6358BDC0" w14:textId="77777777" w:rsidTr="003A5A50">
        <w:tc>
          <w:tcPr>
            <w:tcW w:w="3023" w:type="dxa"/>
          </w:tcPr>
          <w:p w14:paraId="42E805A3" w14:textId="0B4D5EA5" w:rsidR="003A5A50" w:rsidRDefault="00DE3072">
            <w:pPr>
              <w:pStyle w:val="cTableBody"/>
              <w:spacing w:before="0" w:after="0"/>
            </w:pPr>
            <w:r w:rsidRPr="0042363A">
              <w:rPr>
                <w:b/>
                <w:bCs/>
              </w:rPr>
              <w:t xml:space="preserve">Area 11. </w:t>
            </w:r>
            <w:r>
              <w:t>Central contingency and risk reserve</w:t>
            </w:r>
          </w:p>
        </w:tc>
        <w:tc>
          <w:tcPr>
            <w:tcW w:w="937" w:type="dxa"/>
          </w:tcPr>
          <w:p w14:paraId="5A2D09F7" w14:textId="77777777" w:rsidR="003A5A50" w:rsidRDefault="00CB4873">
            <w:pPr>
              <w:pStyle w:val="cTableBody"/>
              <w:spacing w:before="0" w:after="0"/>
            </w:pPr>
            <w:r>
              <w:t>$200M</w:t>
            </w:r>
          </w:p>
        </w:tc>
        <w:tc>
          <w:tcPr>
            <w:tcW w:w="792" w:type="dxa"/>
          </w:tcPr>
          <w:p w14:paraId="0CE43B13" w14:textId="77777777" w:rsidR="003A5A50" w:rsidRDefault="00CB4873">
            <w:pPr>
              <w:pStyle w:val="cTableBody"/>
              <w:spacing w:before="0" w:after="0"/>
            </w:pPr>
            <w:r>
              <w:t>20.0%</w:t>
            </w:r>
          </w:p>
        </w:tc>
        <w:tc>
          <w:tcPr>
            <w:tcW w:w="5363" w:type="dxa"/>
          </w:tcPr>
          <w:p w14:paraId="2ABB026C" w14:textId="77777777" w:rsidR="003A5A50" w:rsidRDefault="00CB4873">
            <w:pPr>
              <w:pStyle w:val="cTableBody"/>
              <w:spacing w:before="0" w:after="0"/>
            </w:pPr>
            <w:r>
              <w:t>Funds released only for documented technical, integration, supplier, site, China-regulatory, or schedule risks across either reactor track.</w:t>
            </w:r>
          </w:p>
        </w:tc>
      </w:tr>
    </w:tbl>
    <w:p w14:paraId="5E746AC1" w14:textId="77777777" w:rsidR="003A5A50" w:rsidRDefault="00CB4873">
      <w:pPr>
        <w:pStyle w:val="cSubject"/>
        <w:spacing w:before="280" w:after="280"/>
      </w:pPr>
      <w:r>
        <w:t>Suggested five-year funding profile</w:t>
      </w:r>
    </w:p>
    <w:tbl>
      <w:tblPr>
        <w:tblStyle w:val="gswTableStyle"/>
        <w:tblW w:w="10116" w:type="dxa"/>
        <w:tblLayout w:type="fixed"/>
        <w:tblLook w:val="04A0" w:firstRow="1" w:lastRow="0" w:firstColumn="1" w:lastColumn="0" w:noHBand="0" w:noVBand="1"/>
      </w:tblPr>
      <w:tblGrid>
        <w:gridCol w:w="1080"/>
        <w:gridCol w:w="1296"/>
        <w:gridCol w:w="1079"/>
        <w:gridCol w:w="1152"/>
        <w:gridCol w:w="5509"/>
      </w:tblGrid>
      <w:tr w:rsidR="003A5A50" w14:paraId="2792156D" w14:textId="77777777" w:rsidTr="003A5A50">
        <w:trPr>
          <w:cnfStyle w:val="100000000000" w:firstRow="1" w:lastRow="0" w:firstColumn="0" w:lastColumn="0" w:oddVBand="0" w:evenVBand="0" w:oddHBand="0" w:evenHBand="0" w:firstRowFirstColumn="0" w:firstRowLastColumn="0" w:lastRowFirstColumn="0" w:lastRowLastColumn="0"/>
          <w:tblHeader/>
        </w:trPr>
        <w:tc>
          <w:tcPr>
            <w:tcW w:w="1080" w:type="dxa"/>
          </w:tcPr>
          <w:p w14:paraId="33305F8E" w14:textId="77777777" w:rsidR="003A5A50" w:rsidRDefault="00CB4873">
            <w:pPr>
              <w:pStyle w:val="cTableHeader"/>
              <w:spacing w:before="0" w:after="0"/>
            </w:pPr>
            <w:r>
              <w:t>Year</w:t>
            </w:r>
          </w:p>
        </w:tc>
        <w:tc>
          <w:tcPr>
            <w:tcW w:w="1296" w:type="dxa"/>
          </w:tcPr>
          <w:p w14:paraId="61CEA493" w14:textId="77777777" w:rsidR="003A5A50" w:rsidRDefault="00CB4873">
            <w:pPr>
              <w:pStyle w:val="cTableHeader"/>
              <w:spacing w:before="0" w:after="0"/>
            </w:pPr>
            <w:r>
              <w:t>Technical work</w:t>
            </w:r>
          </w:p>
        </w:tc>
        <w:tc>
          <w:tcPr>
            <w:tcW w:w="1079" w:type="dxa"/>
          </w:tcPr>
          <w:p w14:paraId="4F8C7B03" w14:textId="77777777" w:rsidR="003A5A50" w:rsidRDefault="00CB4873">
            <w:pPr>
              <w:pStyle w:val="cTableHeader"/>
              <w:spacing w:before="0" w:after="0"/>
            </w:pPr>
            <w:r>
              <w:t>Reserve</w:t>
            </w:r>
          </w:p>
        </w:tc>
        <w:tc>
          <w:tcPr>
            <w:tcW w:w="1152" w:type="dxa"/>
          </w:tcPr>
          <w:p w14:paraId="5B57F33C" w14:textId="77777777" w:rsidR="003A5A50" w:rsidRDefault="00CB4873">
            <w:pPr>
              <w:pStyle w:val="cTableHeader"/>
              <w:spacing w:before="0" w:after="0"/>
            </w:pPr>
            <w:r>
              <w:t>Total</w:t>
            </w:r>
          </w:p>
        </w:tc>
        <w:tc>
          <w:tcPr>
            <w:tcW w:w="5509" w:type="dxa"/>
          </w:tcPr>
          <w:p w14:paraId="581B3A22" w14:textId="77777777" w:rsidR="003A5A50" w:rsidRDefault="00CB4873">
            <w:pPr>
              <w:pStyle w:val="cTableHeader"/>
              <w:spacing w:before="0" w:after="0"/>
            </w:pPr>
            <w:r>
              <w:t>Primary emphasis</w:t>
            </w:r>
          </w:p>
        </w:tc>
      </w:tr>
      <w:tr w:rsidR="003A5A50" w14:paraId="7A96E48D" w14:textId="77777777" w:rsidTr="003A5A50">
        <w:tc>
          <w:tcPr>
            <w:tcW w:w="1080" w:type="dxa"/>
          </w:tcPr>
          <w:p w14:paraId="2A4CBFBB" w14:textId="77777777" w:rsidR="003A5A50" w:rsidRDefault="00CB4873">
            <w:pPr>
              <w:pStyle w:val="cTableBody"/>
              <w:spacing w:before="0" w:after="0"/>
            </w:pPr>
            <w:r>
              <w:t>Year 1</w:t>
            </w:r>
          </w:p>
        </w:tc>
        <w:tc>
          <w:tcPr>
            <w:tcW w:w="1296" w:type="dxa"/>
          </w:tcPr>
          <w:p w14:paraId="5D642733" w14:textId="77777777" w:rsidR="003A5A50" w:rsidRDefault="00CB4873">
            <w:pPr>
              <w:pStyle w:val="cTableBody"/>
              <w:spacing w:before="0" w:after="0"/>
            </w:pPr>
            <w:r>
              <w:t>$110M</w:t>
            </w:r>
          </w:p>
        </w:tc>
        <w:tc>
          <w:tcPr>
            <w:tcW w:w="1079" w:type="dxa"/>
          </w:tcPr>
          <w:p w14:paraId="6640A731" w14:textId="77777777" w:rsidR="003A5A50" w:rsidRDefault="00CB4873">
            <w:pPr>
              <w:pStyle w:val="cTableBody"/>
              <w:spacing w:before="0" w:after="0"/>
            </w:pPr>
            <w:r>
              <w:t>$20M</w:t>
            </w:r>
          </w:p>
        </w:tc>
        <w:tc>
          <w:tcPr>
            <w:tcW w:w="1152" w:type="dxa"/>
          </w:tcPr>
          <w:p w14:paraId="595AF092" w14:textId="77777777" w:rsidR="003A5A50" w:rsidRDefault="00CB4873">
            <w:pPr>
              <w:pStyle w:val="cTableBody"/>
              <w:spacing w:before="0" w:after="0"/>
            </w:pPr>
            <w:r>
              <w:t>$130M</w:t>
            </w:r>
          </w:p>
        </w:tc>
        <w:tc>
          <w:tcPr>
            <w:tcW w:w="5509" w:type="dxa"/>
          </w:tcPr>
          <w:p w14:paraId="10CBEEDA" w14:textId="77777777" w:rsidR="003A5A50" w:rsidRDefault="00CB4873">
            <w:pPr>
              <w:pStyle w:val="cTableBody"/>
              <w:spacing w:before="0" w:after="0"/>
            </w:pPr>
            <w:r>
              <w:t>Freeze the two China reference construction models; map common versus reactor-specific tasks; design-data strategy; economics; safety/licensing basis.</w:t>
            </w:r>
          </w:p>
        </w:tc>
      </w:tr>
      <w:tr w:rsidR="003A5A50" w14:paraId="39265C87" w14:textId="77777777" w:rsidTr="003A5A50">
        <w:tc>
          <w:tcPr>
            <w:tcW w:w="1080" w:type="dxa"/>
          </w:tcPr>
          <w:p w14:paraId="09CB00BE" w14:textId="77777777" w:rsidR="003A5A50" w:rsidRDefault="00CB4873">
            <w:pPr>
              <w:pStyle w:val="cTableBody"/>
              <w:spacing w:before="0" w:after="0"/>
            </w:pPr>
            <w:r>
              <w:t>Year 2</w:t>
            </w:r>
          </w:p>
        </w:tc>
        <w:tc>
          <w:tcPr>
            <w:tcW w:w="1296" w:type="dxa"/>
          </w:tcPr>
          <w:p w14:paraId="4BE834E4" w14:textId="77777777" w:rsidR="003A5A50" w:rsidRDefault="00CB4873">
            <w:pPr>
              <w:pStyle w:val="cTableBody"/>
              <w:spacing w:before="0" w:after="0"/>
            </w:pPr>
            <w:r>
              <w:t>$160M</w:t>
            </w:r>
          </w:p>
        </w:tc>
        <w:tc>
          <w:tcPr>
            <w:tcW w:w="1079" w:type="dxa"/>
          </w:tcPr>
          <w:p w14:paraId="2641EDB0" w14:textId="77777777" w:rsidR="003A5A50" w:rsidRDefault="00CB4873">
            <w:pPr>
              <w:pStyle w:val="cTableBody"/>
              <w:spacing w:before="0" w:after="0"/>
            </w:pPr>
            <w:r>
              <w:t>$30M</w:t>
            </w:r>
          </w:p>
        </w:tc>
        <w:tc>
          <w:tcPr>
            <w:tcW w:w="1152" w:type="dxa"/>
          </w:tcPr>
          <w:p w14:paraId="4A485121" w14:textId="77777777" w:rsidR="003A5A50" w:rsidRDefault="00CB4873">
            <w:pPr>
              <w:pStyle w:val="cTableBody"/>
              <w:spacing w:before="0" w:after="0"/>
            </w:pPr>
            <w:r>
              <w:t>$190M</w:t>
            </w:r>
          </w:p>
        </w:tc>
        <w:tc>
          <w:tcPr>
            <w:tcW w:w="5509" w:type="dxa"/>
          </w:tcPr>
          <w:p w14:paraId="535D30CF" w14:textId="77777777" w:rsidR="003A5A50" w:rsidRDefault="00CB4873">
            <w:pPr>
              <w:pStyle w:val="cTableBody"/>
              <w:spacing w:before="0" w:after="0"/>
            </w:pPr>
            <w:r>
              <w:t>Preliminary machine design, competing concepts, HTR and PWR civil mockup design, component tests, pilot-site design.</w:t>
            </w:r>
          </w:p>
        </w:tc>
      </w:tr>
      <w:tr w:rsidR="003A5A50" w14:paraId="7391FC06" w14:textId="77777777" w:rsidTr="003A5A50">
        <w:tc>
          <w:tcPr>
            <w:tcW w:w="1080" w:type="dxa"/>
          </w:tcPr>
          <w:p w14:paraId="0FB86D07" w14:textId="77777777" w:rsidR="003A5A50" w:rsidRDefault="00CB4873">
            <w:pPr>
              <w:pStyle w:val="cTableBody"/>
              <w:spacing w:before="0" w:after="0"/>
            </w:pPr>
            <w:r>
              <w:t>Year 3</w:t>
            </w:r>
          </w:p>
        </w:tc>
        <w:tc>
          <w:tcPr>
            <w:tcW w:w="1296" w:type="dxa"/>
          </w:tcPr>
          <w:p w14:paraId="313B720C" w14:textId="77777777" w:rsidR="003A5A50" w:rsidRDefault="00CB4873">
            <w:pPr>
              <w:pStyle w:val="cTableBody"/>
              <w:spacing w:before="0" w:after="0"/>
            </w:pPr>
            <w:r>
              <w:t>$210M</w:t>
            </w:r>
          </w:p>
        </w:tc>
        <w:tc>
          <w:tcPr>
            <w:tcW w:w="1079" w:type="dxa"/>
          </w:tcPr>
          <w:p w14:paraId="5092FB4B" w14:textId="77777777" w:rsidR="003A5A50" w:rsidRDefault="00CB4873">
            <w:pPr>
              <w:pStyle w:val="cTableBody"/>
              <w:spacing w:before="0" w:after="0"/>
            </w:pPr>
            <w:r>
              <w:t>$40M</w:t>
            </w:r>
          </w:p>
        </w:tc>
        <w:tc>
          <w:tcPr>
            <w:tcW w:w="1152" w:type="dxa"/>
          </w:tcPr>
          <w:p w14:paraId="31BF4A48" w14:textId="77777777" w:rsidR="003A5A50" w:rsidRDefault="00CB4873">
            <w:pPr>
              <w:pStyle w:val="cTableBody"/>
              <w:spacing w:before="0" w:after="0"/>
            </w:pPr>
            <w:r>
              <w:t>$250M</w:t>
            </w:r>
          </w:p>
        </w:tc>
        <w:tc>
          <w:tcPr>
            <w:tcW w:w="5509" w:type="dxa"/>
          </w:tcPr>
          <w:p w14:paraId="1291846D" w14:textId="77777777" w:rsidR="003A5A50" w:rsidRDefault="00CB4873">
            <w:pPr>
              <w:pStyle w:val="cTableBody"/>
              <w:spacing w:before="0" w:after="0"/>
            </w:pPr>
            <w:r>
              <w:t>Detailed design, prototype fabrication, common controls/digital thread, pilot civil work, reactor-specific tooling.</w:t>
            </w:r>
          </w:p>
        </w:tc>
      </w:tr>
      <w:tr w:rsidR="003A5A50" w14:paraId="76738CCE" w14:textId="77777777" w:rsidTr="003A5A50">
        <w:tc>
          <w:tcPr>
            <w:tcW w:w="1080" w:type="dxa"/>
          </w:tcPr>
          <w:p w14:paraId="427E5563" w14:textId="77777777" w:rsidR="003A5A50" w:rsidRDefault="00CB4873">
            <w:pPr>
              <w:pStyle w:val="cTableBody"/>
              <w:spacing w:before="0" w:after="0"/>
            </w:pPr>
            <w:r>
              <w:t>Year 4</w:t>
            </w:r>
          </w:p>
        </w:tc>
        <w:tc>
          <w:tcPr>
            <w:tcW w:w="1296" w:type="dxa"/>
          </w:tcPr>
          <w:p w14:paraId="039E7D54" w14:textId="77777777" w:rsidR="003A5A50" w:rsidRDefault="00CB4873">
            <w:pPr>
              <w:pStyle w:val="cTableBody"/>
              <w:spacing w:before="0" w:after="0"/>
            </w:pPr>
            <w:r>
              <w:t>$210M</w:t>
            </w:r>
          </w:p>
        </w:tc>
        <w:tc>
          <w:tcPr>
            <w:tcW w:w="1079" w:type="dxa"/>
          </w:tcPr>
          <w:p w14:paraId="723AA221" w14:textId="77777777" w:rsidR="003A5A50" w:rsidRDefault="00CB4873">
            <w:pPr>
              <w:pStyle w:val="cTableBody"/>
              <w:spacing w:before="0" w:after="0"/>
            </w:pPr>
            <w:r>
              <w:t>$60M</w:t>
            </w:r>
          </w:p>
        </w:tc>
        <w:tc>
          <w:tcPr>
            <w:tcW w:w="1152" w:type="dxa"/>
          </w:tcPr>
          <w:p w14:paraId="4E6AC90B" w14:textId="77777777" w:rsidR="003A5A50" w:rsidRDefault="00CB4873">
            <w:pPr>
              <w:pStyle w:val="cTableBody"/>
              <w:spacing w:before="0" w:after="0"/>
            </w:pPr>
            <w:r>
              <w:t>$270M</w:t>
            </w:r>
          </w:p>
        </w:tc>
        <w:tc>
          <w:tcPr>
            <w:tcW w:w="5509" w:type="dxa"/>
          </w:tcPr>
          <w:p w14:paraId="71AF8AFA" w14:textId="77777777" w:rsidR="003A5A50" w:rsidRDefault="00CB4873">
            <w:pPr>
              <w:pStyle w:val="cTableBody"/>
              <w:spacing w:before="0" w:after="0"/>
            </w:pPr>
            <w:r>
              <w:t>Peak fabrication and full-scale demonstrations: HTR excavation/lining; PWR basemat/containment/liner; heavy transport and installation.</w:t>
            </w:r>
          </w:p>
        </w:tc>
      </w:tr>
      <w:tr w:rsidR="003A5A50" w14:paraId="19FA5807" w14:textId="77777777" w:rsidTr="003A5A50">
        <w:tc>
          <w:tcPr>
            <w:tcW w:w="1080" w:type="dxa"/>
          </w:tcPr>
          <w:p w14:paraId="49EDC1EE" w14:textId="77777777" w:rsidR="003A5A50" w:rsidRDefault="00CB4873">
            <w:pPr>
              <w:pStyle w:val="cTableBody"/>
              <w:spacing w:before="0" w:after="0"/>
            </w:pPr>
            <w:r>
              <w:t>Year 5</w:t>
            </w:r>
          </w:p>
        </w:tc>
        <w:tc>
          <w:tcPr>
            <w:tcW w:w="1296" w:type="dxa"/>
          </w:tcPr>
          <w:p w14:paraId="4135B47B" w14:textId="77777777" w:rsidR="003A5A50" w:rsidRDefault="00CB4873">
            <w:pPr>
              <w:pStyle w:val="cTableBody"/>
              <w:spacing w:before="0" w:after="0"/>
            </w:pPr>
            <w:r>
              <w:t>$110M</w:t>
            </w:r>
          </w:p>
        </w:tc>
        <w:tc>
          <w:tcPr>
            <w:tcW w:w="1079" w:type="dxa"/>
          </w:tcPr>
          <w:p w14:paraId="4459B78A" w14:textId="77777777" w:rsidR="003A5A50" w:rsidRDefault="00CB4873">
            <w:pPr>
              <w:pStyle w:val="cTableBody"/>
              <w:spacing w:before="0" w:after="0"/>
            </w:pPr>
            <w:r>
              <w:t>$50M</w:t>
            </w:r>
          </w:p>
        </w:tc>
        <w:tc>
          <w:tcPr>
            <w:tcW w:w="1152" w:type="dxa"/>
          </w:tcPr>
          <w:p w14:paraId="40E2EF57" w14:textId="77777777" w:rsidR="003A5A50" w:rsidRDefault="00CB4873">
            <w:pPr>
              <w:pStyle w:val="cTableBody"/>
              <w:spacing w:before="0" w:after="0"/>
            </w:pPr>
            <w:r>
              <w:t>$160M</w:t>
            </w:r>
          </w:p>
        </w:tc>
        <w:tc>
          <w:tcPr>
            <w:tcW w:w="5509" w:type="dxa"/>
          </w:tcPr>
          <w:p w14:paraId="5D04BE03" w14:textId="77777777" w:rsidR="003A5A50" w:rsidRDefault="00CB4873">
            <w:pPr>
              <w:pStyle w:val="cTableBody"/>
              <w:spacing w:before="0" w:after="0"/>
            </w:pPr>
            <w:r>
              <w:t>Repeated dual-track campaigns, reliability growth, independent cost/schedule audit, China deployment and Phase II packages.</w:t>
            </w:r>
          </w:p>
        </w:tc>
      </w:tr>
      <w:tr w:rsidR="003A5A50" w14:paraId="07CF8C25" w14:textId="77777777" w:rsidTr="003A5A50">
        <w:tc>
          <w:tcPr>
            <w:tcW w:w="1080" w:type="dxa"/>
          </w:tcPr>
          <w:p w14:paraId="340FBD57" w14:textId="77777777" w:rsidR="003A5A50" w:rsidRDefault="00CB4873">
            <w:pPr>
              <w:pStyle w:val="cTableBody"/>
              <w:spacing w:before="0" w:after="0"/>
            </w:pPr>
            <w:r>
              <w:t>Total</w:t>
            </w:r>
          </w:p>
        </w:tc>
        <w:tc>
          <w:tcPr>
            <w:tcW w:w="1296" w:type="dxa"/>
          </w:tcPr>
          <w:p w14:paraId="5ADF804E" w14:textId="77777777" w:rsidR="003A5A50" w:rsidRDefault="00CB4873">
            <w:pPr>
              <w:pStyle w:val="cTableBody"/>
              <w:spacing w:before="0" w:after="0"/>
            </w:pPr>
            <w:r>
              <w:t>$800M</w:t>
            </w:r>
          </w:p>
        </w:tc>
        <w:tc>
          <w:tcPr>
            <w:tcW w:w="1079" w:type="dxa"/>
          </w:tcPr>
          <w:p w14:paraId="4B4A1809" w14:textId="77777777" w:rsidR="003A5A50" w:rsidRDefault="00CB4873">
            <w:pPr>
              <w:pStyle w:val="cTableBody"/>
              <w:spacing w:before="0" w:after="0"/>
            </w:pPr>
            <w:r>
              <w:t>$200M</w:t>
            </w:r>
          </w:p>
        </w:tc>
        <w:tc>
          <w:tcPr>
            <w:tcW w:w="1152" w:type="dxa"/>
          </w:tcPr>
          <w:p w14:paraId="7488FA17" w14:textId="77777777" w:rsidR="003A5A50" w:rsidRDefault="00CB4873">
            <w:pPr>
              <w:pStyle w:val="cTableBody"/>
              <w:spacing w:before="0" w:after="0"/>
            </w:pPr>
            <w:r>
              <w:t>$1.000B</w:t>
            </w:r>
          </w:p>
        </w:tc>
        <w:tc>
          <w:tcPr>
            <w:tcW w:w="5509" w:type="dxa"/>
          </w:tcPr>
          <w:p w14:paraId="45EF48FB" w14:textId="77777777" w:rsidR="003A5A50" w:rsidRDefault="00CB4873">
            <w:pPr>
              <w:pStyle w:val="cTableBody"/>
              <w:spacing w:before="0" w:after="0"/>
            </w:pPr>
            <w:r>
              <w:t>Reserve remains under sponsor control and may remain unspent.</w:t>
            </w:r>
          </w:p>
        </w:tc>
      </w:tr>
    </w:tbl>
    <w:p w14:paraId="40401B71" w14:textId="77777777" w:rsidR="003A5A50" w:rsidRDefault="00CB4873">
      <w:pPr>
        <w:pStyle w:val="cSubject"/>
        <w:spacing w:before="280" w:after="280"/>
      </w:pPr>
      <w:r>
        <w:t>Program-level success criteria</w:t>
      </w:r>
    </w:p>
    <w:p w14:paraId="76699A22" w14:textId="77777777" w:rsidR="003A5A50" w:rsidRPr="0072590D" w:rsidRDefault="00CB4873" w:rsidP="0072590D">
      <w:pPr>
        <w:pStyle w:val="blist-bullets"/>
      </w:pPr>
      <w:r w:rsidRPr="0072590D">
        <w:t>Two controlled China reference construction models - one HTR track initially based on HTR-PM/HTR-PM600 and one Hualong One/HPR1000-class PWR - with interfaces, quantities, tolerances, sequences, and licensing assumptions.</w:t>
      </w:r>
    </w:p>
    <w:p w14:paraId="4C4B139F" w14:textId="77777777" w:rsidR="003A5A50" w:rsidRPr="0072590D" w:rsidRDefault="00CB4873" w:rsidP="0072590D">
      <w:pPr>
        <w:pStyle w:val="blist-bullets"/>
      </w:pPr>
      <w:r w:rsidRPr="0072590D">
        <w:t>Full-scale or near-full-scale non-nuclear civil test articles representing the hardest HTR underground work and the hardest PWR basemat/containment/steel-liner work.</w:t>
      </w:r>
    </w:p>
    <w:p w14:paraId="773C8B9B" w14:textId="77777777" w:rsidR="003A5A50" w:rsidRPr="0072590D" w:rsidRDefault="00CB4873" w:rsidP="0072590D">
      <w:pPr>
        <w:pStyle w:val="blist-bullets"/>
      </w:pPr>
      <w:r w:rsidRPr="0072590D">
        <w:lastRenderedPageBreak/>
        <w:t>A common prototype fleet for excavation, material flow, heavy handling, rebar, concrete, structural installation, transport, metrology, autonomy, and digital QA, with reactor-specific tooling where required.</w:t>
      </w:r>
    </w:p>
    <w:p w14:paraId="68C4B922" w14:textId="77777777" w:rsidR="003A5A50" w:rsidRPr="0072590D" w:rsidRDefault="00CB4873" w:rsidP="0072590D">
      <w:pPr>
        <w:pStyle w:val="blist-bullets"/>
      </w:pPr>
      <w:r w:rsidRPr="0072590D">
        <w:t>Repeated HTR and PWR end-to-end demonstrations with measured labor, machine cycle time, availability, quality, rework, safety, cost, and schedule.</w:t>
      </w:r>
    </w:p>
    <w:p w14:paraId="5DFF490F" w14:textId="77777777" w:rsidR="003A5A50" w:rsidRPr="0072590D" w:rsidRDefault="00CB4873" w:rsidP="0072590D">
      <w:pPr>
        <w:pStyle w:val="blist-bullets"/>
      </w:pPr>
      <w:r w:rsidRPr="0072590D">
        <w:t>Auditable as-built data threads for both reference plants linking design to materials, machine logs, surveys, inspections, NDE, nonconformances, and acceptance.</w:t>
      </w:r>
    </w:p>
    <w:p w14:paraId="25A29A05" w14:textId="77777777" w:rsidR="003A5A50" w:rsidRPr="0072590D" w:rsidRDefault="00CB4873" w:rsidP="0072590D">
      <w:pPr>
        <w:pStyle w:val="blist-bullets"/>
      </w:pPr>
      <w:r w:rsidRPr="0072590D">
        <w:t>Independent bottom-up estimates of site-construction $/W, total plant CAPEX impact, build time, plant-gate LCOE impact, and delivered-electricity impact under multiple transmission-distance scenarios.</w:t>
      </w:r>
    </w:p>
    <w:p w14:paraId="69FB75ED" w14:textId="77777777" w:rsidR="003A5A50" w:rsidRDefault="00CB4873">
      <w:pPr>
        <w:pStyle w:val="cSubject"/>
        <w:spacing w:before="280" w:after="280"/>
      </w:pPr>
      <w:r>
        <w:t>What the program would not accomplish</w:t>
      </w:r>
    </w:p>
    <w:p w14:paraId="6EE7E334" w14:textId="77777777" w:rsidR="003A5A50" w:rsidRPr="0072590D" w:rsidRDefault="00CB4873" w:rsidP="0072590D">
      <w:pPr>
        <w:pStyle w:val="blist-bullets"/>
      </w:pPr>
      <w:r w:rsidRPr="0072590D">
        <w:t>It would not build or license an operating nuclear power plant.</w:t>
      </w:r>
    </w:p>
    <w:p w14:paraId="5104477D" w14:textId="77777777" w:rsidR="003A5A50" w:rsidRPr="0072590D" w:rsidRDefault="00CB4873" w:rsidP="0072590D">
      <w:pPr>
        <w:pStyle w:val="blist-bullets"/>
      </w:pPr>
      <w:r w:rsidRPr="0072590D">
        <w:t>It would not demonstrate nuclear fuel, reactor operation, helium-system operation, PWR primary-system operation, or electricity generation.</w:t>
      </w:r>
    </w:p>
    <w:p w14:paraId="2C375B28" w14:textId="77777777" w:rsidR="003A5A50" w:rsidRPr="0072590D" w:rsidRDefault="00CB4873" w:rsidP="0072590D">
      <w:pPr>
        <w:pStyle w:val="blist-bullets"/>
      </w:pPr>
      <w:r w:rsidRPr="0072590D">
        <w:t>It would not assume the HTR underground concept or the current Hualong One construction sequence is optimal; competing civil and modularization concepts must be tested.</w:t>
      </w:r>
    </w:p>
    <w:p w14:paraId="62B0D1B7" w14:textId="77777777" w:rsidR="003A5A50" w:rsidRPr="0072590D" w:rsidRDefault="00CB4873" w:rsidP="0072590D">
      <w:pPr>
        <w:pStyle w:val="blist-bullets"/>
      </w:pPr>
      <w:r w:rsidRPr="0072590D">
        <w:t>It would not guarantee a specific overnight capital cost, construction duration, siting distance, transmission cost, or electricity price.</w:t>
      </w:r>
    </w:p>
    <w:p w14:paraId="346A3E8F" w14:textId="77777777" w:rsidR="003A5A50" w:rsidRPr="0072590D" w:rsidRDefault="00CB4873" w:rsidP="0072590D">
      <w:pPr>
        <w:pStyle w:val="blist-bullets"/>
      </w:pPr>
      <w:r w:rsidRPr="0072590D">
        <w:t>It would not relax nuclear safety classification, QA, inspection, or regulatory requirements to make automation easier; the target is high automation under qualified human supervision.</w:t>
      </w:r>
    </w:p>
    <w:p w14:paraId="6AEECF0F" w14:textId="77777777" w:rsidR="003A5A50" w:rsidRDefault="00CB4873">
      <w:pPr>
        <w:spacing w:before="280" w:after="280"/>
      </w:pPr>
      <w:r>
        <w:br w:type="page"/>
      </w:r>
    </w:p>
    <w:p w14:paraId="668A6DDB" w14:textId="77777777" w:rsidR="00DB7BD3" w:rsidRDefault="00CB4873">
      <w:pPr>
        <w:pStyle w:val="Heading1"/>
        <w:spacing w:before="280" w:after="280"/>
      </w:pPr>
      <w:bookmarkStart w:id="13" w:name="_Toc238204702"/>
      <w:r>
        <w:lastRenderedPageBreak/>
        <w:t>Program Crosswalk</w:t>
      </w:r>
      <w:bookmarkEnd w:id="13"/>
    </w:p>
    <w:p w14:paraId="6F4B4DC6" w14:textId="677391F6" w:rsidR="00DB7BD3" w:rsidRDefault="00CB4873">
      <w:pPr>
        <w:spacing w:before="280" w:after="280"/>
      </w:pPr>
      <w:r>
        <w:t>This</w:t>
      </w:r>
      <w:r w:rsidR="00B93538">
        <w:t xml:space="preserve"> program</w:t>
      </w:r>
      <w:r>
        <w:t xml:space="preserve"> crosswalk links the $1 billion budget to the development, procurement, and decision architecture. References to subphases, purchase orders, and gates are mappings rather than additional budget lines; the same work must not be counted twice. </w:t>
      </w:r>
    </w:p>
    <w:tbl>
      <w:tblPr>
        <w:tblStyle w:val="gswTableStyle"/>
        <w:tblW w:w="10116" w:type="dxa"/>
        <w:tblLayout w:type="fixed"/>
        <w:tblLook w:val="04A0" w:firstRow="1" w:lastRow="0" w:firstColumn="1" w:lastColumn="0" w:noHBand="0" w:noVBand="1"/>
      </w:tblPr>
      <w:tblGrid>
        <w:gridCol w:w="2553"/>
        <w:gridCol w:w="1152"/>
        <w:gridCol w:w="3506"/>
        <w:gridCol w:w="1002"/>
        <w:gridCol w:w="1903"/>
      </w:tblGrid>
      <w:tr w:rsidR="003A5A50" w14:paraId="2EA23F97" w14:textId="77777777" w:rsidTr="003A5A50">
        <w:trPr>
          <w:cnfStyle w:val="100000000000" w:firstRow="1" w:lastRow="0" w:firstColumn="0" w:lastColumn="0" w:oddVBand="0" w:evenVBand="0" w:oddHBand="0" w:evenHBand="0" w:firstRowFirstColumn="0" w:firstRowLastColumn="0" w:lastRowFirstColumn="0" w:lastRowLastColumn="0"/>
          <w:tblHeader/>
        </w:trPr>
        <w:tc>
          <w:tcPr>
            <w:tcW w:w="2550" w:type="dxa"/>
          </w:tcPr>
          <w:p w14:paraId="36F392A0" w14:textId="77777777" w:rsidR="003A5A50" w:rsidRDefault="00CB4873">
            <w:pPr>
              <w:pStyle w:val="cTableHeader"/>
              <w:spacing w:before="0" w:after="0"/>
            </w:pPr>
            <w:r>
              <w:t>Work package</w:t>
            </w:r>
          </w:p>
        </w:tc>
        <w:tc>
          <w:tcPr>
            <w:tcW w:w="1150" w:type="dxa"/>
          </w:tcPr>
          <w:p w14:paraId="394CDAF8" w14:textId="77777777" w:rsidR="003A5A50" w:rsidRDefault="00CB4873">
            <w:pPr>
              <w:pStyle w:val="cTableHeader"/>
              <w:spacing w:before="0" w:after="0"/>
            </w:pPr>
            <w:r>
              <w:t>Track</w:t>
            </w:r>
          </w:p>
        </w:tc>
        <w:tc>
          <w:tcPr>
            <w:tcW w:w="3500" w:type="dxa"/>
          </w:tcPr>
          <w:p w14:paraId="54792393" w14:textId="77777777" w:rsidR="003A5A50" w:rsidRDefault="00CB4873">
            <w:pPr>
              <w:pStyle w:val="cTableHeader"/>
              <w:spacing w:before="0" w:after="0"/>
            </w:pPr>
            <w:r>
              <w:t>Principal five-year deliverable</w:t>
            </w:r>
          </w:p>
        </w:tc>
        <w:tc>
          <w:tcPr>
            <w:tcW w:w="1000" w:type="dxa"/>
          </w:tcPr>
          <w:p w14:paraId="4656A32E" w14:textId="77777777" w:rsidR="003A5A50" w:rsidRDefault="00CB4873">
            <w:pPr>
              <w:pStyle w:val="cTableHeader"/>
              <w:spacing w:before="0" w:after="0"/>
            </w:pPr>
            <w:r>
              <w:t>Budget</w:t>
            </w:r>
          </w:p>
        </w:tc>
        <w:tc>
          <w:tcPr>
            <w:tcW w:w="1900" w:type="dxa"/>
          </w:tcPr>
          <w:p w14:paraId="04BF0151" w14:textId="77777777" w:rsidR="003A5A50" w:rsidRDefault="00CB4873">
            <w:pPr>
              <w:pStyle w:val="cTableHeader"/>
              <w:spacing w:before="0" w:after="0"/>
            </w:pPr>
            <w:r>
              <w:t>Relevant development / procurement</w:t>
            </w:r>
          </w:p>
        </w:tc>
      </w:tr>
      <w:tr w:rsidR="003A5A50" w14:paraId="0F7DE1E7" w14:textId="77777777" w:rsidTr="003A5A50">
        <w:tc>
          <w:tcPr>
            <w:tcW w:w="2550" w:type="dxa"/>
          </w:tcPr>
          <w:p w14:paraId="216E626B" w14:textId="43810BBA" w:rsidR="003A5A50" w:rsidRDefault="00735947">
            <w:pPr>
              <w:pStyle w:val="cTableBody"/>
              <w:spacing w:before="0" w:after="0"/>
            </w:pPr>
            <w:r w:rsidRPr="00B93538">
              <w:rPr>
                <w:b/>
                <w:bCs/>
              </w:rPr>
              <w:t>Area 1.</w:t>
            </w:r>
            <w:r>
              <w:t xml:space="preserve"> Dual-reference construction-system design</w:t>
            </w:r>
          </w:p>
        </w:tc>
        <w:tc>
          <w:tcPr>
            <w:tcW w:w="1150" w:type="dxa"/>
          </w:tcPr>
          <w:p w14:paraId="22C25F31" w14:textId="77777777" w:rsidR="003A5A50" w:rsidRDefault="00CB4873">
            <w:pPr>
              <w:pStyle w:val="cTableBody"/>
              <w:spacing w:before="0" w:after="0"/>
            </w:pPr>
            <w:r>
              <w:t>Common + HTR + PWR</w:t>
            </w:r>
          </w:p>
        </w:tc>
        <w:tc>
          <w:tcPr>
            <w:tcW w:w="3500" w:type="dxa"/>
          </w:tcPr>
          <w:p w14:paraId="15CA96BF" w14:textId="77777777" w:rsidR="003A5A50" w:rsidRDefault="00CB4873">
            <w:pPr>
              <w:pStyle w:val="cTableBody"/>
              <w:spacing w:before="0" w:after="0"/>
            </w:pPr>
            <w:r>
              <w:t>Frozen HTR/PWR construction models, common interfaces, quantities, sequences, and procurement packages.</w:t>
            </w:r>
          </w:p>
        </w:tc>
        <w:tc>
          <w:tcPr>
            <w:tcW w:w="1000" w:type="dxa"/>
          </w:tcPr>
          <w:p w14:paraId="1805DCDB" w14:textId="77777777" w:rsidR="003A5A50" w:rsidRDefault="00CB4873">
            <w:pPr>
              <w:pStyle w:val="cTableBody"/>
              <w:spacing w:before="0" w:after="0"/>
            </w:pPr>
            <w:r>
              <w:t>$90M</w:t>
            </w:r>
          </w:p>
        </w:tc>
        <w:tc>
          <w:tcPr>
            <w:tcW w:w="1900" w:type="dxa"/>
          </w:tcPr>
          <w:p w14:paraId="33F66B44" w14:textId="77777777" w:rsidR="003A5A50" w:rsidRDefault="00CB4873">
            <w:pPr>
              <w:pStyle w:val="cTableBody"/>
              <w:spacing w:before="0" w:after="0"/>
            </w:pPr>
            <w:r>
              <w:t>1A-1F; Gates G1-G3</w:t>
            </w:r>
          </w:p>
        </w:tc>
      </w:tr>
      <w:tr w:rsidR="003A5A50" w14:paraId="7D64F128" w14:textId="77777777" w:rsidTr="003A5A50">
        <w:tc>
          <w:tcPr>
            <w:tcW w:w="2550" w:type="dxa"/>
          </w:tcPr>
          <w:p w14:paraId="6B50185B" w14:textId="7E0AEE9B" w:rsidR="003A5A50" w:rsidRDefault="00735947">
            <w:pPr>
              <w:pStyle w:val="cTableBody"/>
              <w:spacing w:before="0" w:after="0"/>
            </w:pPr>
            <w:r w:rsidRPr="00B93538">
              <w:rPr>
                <w:b/>
                <w:bCs/>
              </w:rPr>
              <w:t xml:space="preserve">Area 2. </w:t>
            </w:r>
            <w:r>
              <w:t>Excavation and precision rock cutting</w:t>
            </w:r>
          </w:p>
        </w:tc>
        <w:tc>
          <w:tcPr>
            <w:tcW w:w="1150" w:type="dxa"/>
          </w:tcPr>
          <w:p w14:paraId="7AC35929" w14:textId="77777777" w:rsidR="003A5A50" w:rsidRDefault="00CB4873">
            <w:pPr>
              <w:pStyle w:val="cTableBody"/>
              <w:spacing w:before="0" w:after="0"/>
            </w:pPr>
            <w:r>
              <w:t>Common + variants</w:t>
            </w:r>
          </w:p>
        </w:tc>
        <w:tc>
          <w:tcPr>
            <w:tcW w:w="3500" w:type="dxa"/>
          </w:tcPr>
          <w:p w14:paraId="33406EB5" w14:textId="77777777" w:rsidR="003A5A50" w:rsidRDefault="00CB4873">
            <w:pPr>
              <w:pStyle w:val="cTableBody"/>
              <w:spacing w:before="0" w:after="0"/>
            </w:pPr>
            <w:r>
              <w:t>HTR deep-excavation and PWR bulk/foundation-preparation prototypes.</w:t>
            </w:r>
          </w:p>
        </w:tc>
        <w:tc>
          <w:tcPr>
            <w:tcW w:w="1000" w:type="dxa"/>
          </w:tcPr>
          <w:p w14:paraId="49E3F67C" w14:textId="77777777" w:rsidR="003A5A50" w:rsidRDefault="00CB4873">
            <w:pPr>
              <w:pStyle w:val="cTableBody"/>
              <w:spacing w:before="0" w:after="0"/>
            </w:pPr>
            <w:r>
              <w:t>$95M</w:t>
            </w:r>
          </w:p>
        </w:tc>
        <w:tc>
          <w:tcPr>
            <w:tcW w:w="1900" w:type="dxa"/>
          </w:tcPr>
          <w:p w14:paraId="4973DFFE" w14:textId="77777777" w:rsidR="003A5A50" w:rsidRDefault="00CB4873">
            <w:pPr>
              <w:pStyle w:val="cTableBody"/>
              <w:spacing w:before="0" w:after="0"/>
            </w:pPr>
            <w:r>
              <w:t>2A-2F; Gates G2-G5</w:t>
            </w:r>
          </w:p>
        </w:tc>
      </w:tr>
      <w:tr w:rsidR="003A5A50" w14:paraId="2DC7486B" w14:textId="77777777" w:rsidTr="003A5A50">
        <w:tc>
          <w:tcPr>
            <w:tcW w:w="2550" w:type="dxa"/>
          </w:tcPr>
          <w:p w14:paraId="24847C3A" w14:textId="0470BBC1" w:rsidR="003A5A50" w:rsidRDefault="00735947">
            <w:pPr>
              <w:pStyle w:val="cTableBody"/>
              <w:spacing w:before="0" w:after="0"/>
            </w:pPr>
            <w:r w:rsidRPr="00B93538">
              <w:rPr>
                <w:b/>
                <w:bCs/>
              </w:rPr>
              <w:t>Area 3.</w:t>
            </w:r>
            <w:r>
              <w:t xml:space="preserve"> Material handling and machine exchange</w:t>
            </w:r>
          </w:p>
        </w:tc>
        <w:tc>
          <w:tcPr>
            <w:tcW w:w="1150" w:type="dxa"/>
          </w:tcPr>
          <w:p w14:paraId="099E77BE" w14:textId="77777777" w:rsidR="003A5A50" w:rsidRDefault="00CB4873">
            <w:pPr>
              <w:pStyle w:val="cTableBody"/>
              <w:spacing w:before="0" w:after="0"/>
            </w:pPr>
            <w:r>
              <w:t>Common + variants</w:t>
            </w:r>
          </w:p>
        </w:tc>
        <w:tc>
          <w:tcPr>
            <w:tcW w:w="3500" w:type="dxa"/>
          </w:tcPr>
          <w:p w14:paraId="1F64701E" w14:textId="77777777" w:rsidR="003A5A50" w:rsidRDefault="00CB4873">
            <w:pPr>
              <w:pStyle w:val="cTableBody"/>
              <w:spacing w:before="0" w:after="0"/>
            </w:pPr>
            <w:r>
              <w:t>Integrated spoil, material-flow, docking, utility, and recovery systems.</w:t>
            </w:r>
          </w:p>
        </w:tc>
        <w:tc>
          <w:tcPr>
            <w:tcW w:w="1000" w:type="dxa"/>
          </w:tcPr>
          <w:p w14:paraId="6B2DFC4C" w14:textId="77777777" w:rsidR="003A5A50" w:rsidRDefault="00CB4873">
            <w:pPr>
              <w:pStyle w:val="cTableBody"/>
              <w:spacing w:before="0" w:after="0"/>
            </w:pPr>
            <w:r>
              <w:t>$55M</w:t>
            </w:r>
          </w:p>
        </w:tc>
        <w:tc>
          <w:tcPr>
            <w:tcW w:w="1900" w:type="dxa"/>
          </w:tcPr>
          <w:p w14:paraId="5E34E1CC" w14:textId="77777777" w:rsidR="003A5A50" w:rsidRDefault="00CB4873">
            <w:pPr>
              <w:pStyle w:val="cTableBody"/>
              <w:spacing w:before="0" w:after="0"/>
            </w:pPr>
            <w:r>
              <w:t>3A-3F; Gates G2-G5</w:t>
            </w:r>
          </w:p>
        </w:tc>
      </w:tr>
      <w:tr w:rsidR="003A5A50" w14:paraId="4DD5B8D9" w14:textId="77777777" w:rsidTr="003A5A50">
        <w:tc>
          <w:tcPr>
            <w:tcW w:w="2550" w:type="dxa"/>
          </w:tcPr>
          <w:p w14:paraId="51320DA2" w14:textId="73DF8FEF" w:rsidR="003A5A50" w:rsidRDefault="00735947">
            <w:pPr>
              <w:pStyle w:val="cTableBody"/>
              <w:spacing w:before="0" w:after="0"/>
            </w:pPr>
            <w:r w:rsidRPr="00B93538">
              <w:rPr>
                <w:b/>
                <w:bCs/>
              </w:rPr>
              <w:t xml:space="preserve">Area 4. </w:t>
            </w:r>
            <w:r>
              <w:t>Heavy lift, gantry, crane, rail, positioning</w:t>
            </w:r>
          </w:p>
        </w:tc>
        <w:tc>
          <w:tcPr>
            <w:tcW w:w="1150" w:type="dxa"/>
          </w:tcPr>
          <w:p w14:paraId="0841D4C0" w14:textId="77777777" w:rsidR="003A5A50" w:rsidRDefault="00CB4873">
            <w:pPr>
              <w:pStyle w:val="cTableBody"/>
              <w:spacing w:before="0" w:after="0"/>
            </w:pPr>
            <w:r>
              <w:t>Common + variants</w:t>
            </w:r>
          </w:p>
        </w:tc>
        <w:tc>
          <w:tcPr>
            <w:tcW w:w="3500" w:type="dxa"/>
          </w:tcPr>
          <w:p w14:paraId="608B7582" w14:textId="77777777" w:rsidR="003A5A50" w:rsidRDefault="00CB4873">
            <w:pPr>
              <w:pStyle w:val="cTableBody"/>
              <w:spacing w:before="0" w:after="0"/>
            </w:pPr>
            <w:r>
              <w:t>Standardized heavy-handling platform with HTR/PWR fixtures and proof-tested precision placement.</w:t>
            </w:r>
          </w:p>
        </w:tc>
        <w:tc>
          <w:tcPr>
            <w:tcW w:w="1000" w:type="dxa"/>
          </w:tcPr>
          <w:p w14:paraId="6127D910" w14:textId="77777777" w:rsidR="003A5A50" w:rsidRDefault="00CB4873">
            <w:pPr>
              <w:pStyle w:val="cTableBody"/>
              <w:spacing w:before="0" w:after="0"/>
            </w:pPr>
            <w:r>
              <w:t>$95M</w:t>
            </w:r>
          </w:p>
        </w:tc>
        <w:tc>
          <w:tcPr>
            <w:tcW w:w="1900" w:type="dxa"/>
          </w:tcPr>
          <w:p w14:paraId="50BF16AD" w14:textId="77777777" w:rsidR="003A5A50" w:rsidRDefault="00CB4873">
            <w:pPr>
              <w:pStyle w:val="cTableBody"/>
              <w:spacing w:before="0" w:after="0"/>
            </w:pPr>
            <w:r>
              <w:t>4A-4F; Gates G2-G5</w:t>
            </w:r>
          </w:p>
        </w:tc>
      </w:tr>
      <w:tr w:rsidR="003A5A50" w14:paraId="6E23A507" w14:textId="77777777" w:rsidTr="003A5A50">
        <w:tc>
          <w:tcPr>
            <w:tcW w:w="2550" w:type="dxa"/>
          </w:tcPr>
          <w:p w14:paraId="1B213A0C" w14:textId="62A1C633" w:rsidR="003A5A50" w:rsidRDefault="00735947">
            <w:pPr>
              <w:pStyle w:val="cTableBody"/>
              <w:spacing w:before="0" w:after="0"/>
            </w:pPr>
            <w:r w:rsidRPr="00B93538">
              <w:rPr>
                <w:b/>
                <w:bCs/>
              </w:rPr>
              <w:t xml:space="preserve">Area 5. </w:t>
            </w:r>
            <w:r>
              <w:t>Concrete, rebar, formwork, liners, structures</w:t>
            </w:r>
          </w:p>
        </w:tc>
        <w:tc>
          <w:tcPr>
            <w:tcW w:w="1150" w:type="dxa"/>
          </w:tcPr>
          <w:p w14:paraId="64BC9056" w14:textId="77777777" w:rsidR="003A5A50" w:rsidRDefault="00CB4873">
            <w:pPr>
              <w:pStyle w:val="cTableBody"/>
              <w:spacing w:before="0" w:after="0"/>
            </w:pPr>
            <w:r>
              <w:t>HTR + PWR + common tools</w:t>
            </w:r>
          </w:p>
        </w:tc>
        <w:tc>
          <w:tcPr>
            <w:tcW w:w="3500" w:type="dxa"/>
          </w:tcPr>
          <w:p w14:paraId="30FA1300" w14:textId="77777777" w:rsidR="003A5A50" w:rsidRDefault="00CB4873">
            <w:pPr>
              <w:pStyle w:val="cTableBody"/>
              <w:spacing w:before="0" w:after="0"/>
            </w:pPr>
            <w:r>
              <w:t>Automated HTR lining and PWR basemat/containment/steel-liner construction with digital inspection.</w:t>
            </w:r>
          </w:p>
        </w:tc>
        <w:tc>
          <w:tcPr>
            <w:tcW w:w="1000" w:type="dxa"/>
          </w:tcPr>
          <w:p w14:paraId="04B7C617" w14:textId="77777777" w:rsidR="003A5A50" w:rsidRDefault="00CB4873">
            <w:pPr>
              <w:pStyle w:val="cTableBody"/>
              <w:spacing w:before="0" w:after="0"/>
            </w:pPr>
            <w:r>
              <w:t>$150M</w:t>
            </w:r>
          </w:p>
        </w:tc>
        <w:tc>
          <w:tcPr>
            <w:tcW w:w="1900" w:type="dxa"/>
          </w:tcPr>
          <w:p w14:paraId="193700BA" w14:textId="77777777" w:rsidR="003A5A50" w:rsidRDefault="00CB4873">
            <w:pPr>
              <w:pStyle w:val="cTableBody"/>
              <w:spacing w:before="0" w:after="0"/>
            </w:pPr>
            <w:r>
              <w:t>5A-5F; Gates G2-G5</w:t>
            </w:r>
          </w:p>
        </w:tc>
      </w:tr>
      <w:tr w:rsidR="003A5A50" w14:paraId="3AB7F83A" w14:textId="77777777" w:rsidTr="003A5A50">
        <w:tc>
          <w:tcPr>
            <w:tcW w:w="2550" w:type="dxa"/>
          </w:tcPr>
          <w:p w14:paraId="687EE5FE" w14:textId="733D6E76" w:rsidR="003A5A50" w:rsidRDefault="00735947">
            <w:pPr>
              <w:pStyle w:val="cTableBody"/>
              <w:spacing w:before="0" w:after="0"/>
            </w:pPr>
            <w:r w:rsidRPr="00B93538">
              <w:rPr>
                <w:b/>
                <w:bCs/>
              </w:rPr>
              <w:t>Area 6.</w:t>
            </w:r>
            <w:r>
              <w:t xml:space="preserve"> Heavy-module transport and site logistics</w:t>
            </w:r>
          </w:p>
        </w:tc>
        <w:tc>
          <w:tcPr>
            <w:tcW w:w="1150" w:type="dxa"/>
          </w:tcPr>
          <w:p w14:paraId="674A2334" w14:textId="77777777" w:rsidR="003A5A50" w:rsidRDefault="00CB4873">
            <w:pPr>
              <w:pStyle w:val="cTableBody"/>
              <w:spacing w:before="0" w:after="0"/>
            </w:pPr>
            <w:r>
              <w:t>Common + variants</w:t>
            </w:r>
          </w:p>
        </w:tc>
        <w:tc>
          <w:tcPr>
            <w:tcW w:w="3500" w:type="dxa"/>
          </w:tcPr>
          <w:p w14:paraId="22356B3E" w14:textId="77777777" w:rsidR="003A5A50" w:rsidRDefault="00CB4873">
            <w:pPr>
              <w:pStyle w:val="cTableBody"/>
              <w:spacing w:before="0" w:after="0"/>
            </w:pPr>
            <w:r>
              <w:t>Reusable rail/SPMT/transfer/staging systems and open handoff interfaces.</w:t>
            </w:r>
          </w:p>
        </w:tc>
        <w:tc>
          <w:tcPr>
            <w:tcW w:w="1000" w:type="dxa"/>
          </w:tcPr>
          <w:p w14:paraId="765FEBD5" w14:textId="77777777" w:rsidR="003A5A50" w:rsidRDefault="00CB4873">
            <w:pPr>
              <w:pStyle w:val="cTableBody"/>
              <w:spacing w:before="0" w:after="0"/>
            </w:pPr>
            <w:r>
              <w:t>$80M</w:t>
            </w:r>
          </w:p>
        </w:tc>
        <w:tc>
          <w:tcPr>
            <w:tcW w:w="1900" w:type="dxa"/>
          </w:tcPr>
          <w:p w14:paraId="58E74110" w14:textId="77777777" w:rsidR="003A5A50" w:rsidRDefault="00CB4873">
            <w:pPr>
              <w:pStyle w:val="cTableBody"/>
              <w:spacing w:before="0" w:after="0"/>
            </w:pPr>
            <w:r>
              <w:t>6A-6F; Gates G2-G5</w:t>
            </w:r>
          </w:p>
        </w:tc>
      </w:tr>
      <w:tr w:rsidR="003A5A50" w14:paraId="6FA67D64" w14:textId="77777777" w:rsidTr="003A5A50">
        <w:tc>
          <w:tcPr>
            <w:tcW w:w="2550" w:type="dxa"/>
          </w:tcPr>
          <w:p w14:paraId="3EBA94C0" w14:textId="16C3A034" w:rsidR="003A5A50" w:rsidRDefault="00735947">
            <w:pPr>
              <w:pStyle w:val="cTableBody"/>
              <w:spacing w:before="0" w:after="0"/>
            </w:pPr>
            <w:r w:rsidRPr="00B93538">
              <w:rPr>
                <w:b/>
                <w:bCs/>
              </w:rPr>
              <w:t xml:space="preserve">Area 7. </w:t>
            </w:r>
            <w:r>
              <w:t>Reactor-island and support-module installation</w:t>
            </w:r>
          </w:p>
        </w:tc>
        <w:tc>
          <w:tcPr>
            <w:tcW w:w="1150" w:type="dxa"/>
          </w:tcPr>
          <w:p w14:paraId="16E94EC3" w14:textId="77777777" w:rsidR="003A5A50" w:rsidRDefault="00CB4873">
            <w:pPr>
              <w:pStyle w:val="cTableBody"/>
              <w:spacing w:before="0" w:after="0"/>
            </w:pPr>
            <w:r>
              <w:t>HTR + PWR + common tools</w:t>
            </w:r>
          </w:p>
        </w:tc>
        <w:tc>
          <w:tcPr>
            <w:tcW w:w="3500" w:type="dxa"/>
          </w:tcPr>
          <w:p w14:paraId="0F7F4D7C" w14:textId="77777777" w:rsidR="003A5A50" w:rsidRDefault="00CB4873">
            <w:pPr>
              <w:pStyle w:val="cTableBody"/>
              <w:spacing w:before="0" w:after="0"/>
            </w:pPr>
            <w:r>
              <w:t>Mockups and tools for transport, positioning, fit-up, connection, NDE, and repeatable installation.</w:t>
            </w:r>
          </w:p>
        </w:tc>
        <w:tc>
          <w:tcPr>
            <w:tcW w:w="1000" w:type="dxa"/>
          </w:tcPr>
          <w:p w14:paraId="21CC3BD5" w14:textId="77777777" w:rsidR="003A5A50" w:rsidRDefault="00CB4873">
            <w:pPr>
              <w:pStyle w:val="cTableBody"/>
              <w:spacing w:before="0" w:after="0"/>
            </w:pPr>
            <w:r>
              <w:t>$85M</w:t>
            </w:r>
          </w:p>
        </w:tc>
        <w:tc>
          <w:tcPr>
            <w:tcW w:w="1900" w:type="dxa"/>
          </w:tcPr>
          <w:p w14:paraId="33200D2E" w14:textId="77777777" w:rsidR="003A5A50" w:rsidRDefault="00CB4873">
            <w:pPr>
              <w:pStyle w:val="cTableBody"/>
              <w:spacing w:before="0" w:after="0"/>
            </w:pPr>
            <w:r>
              <w:t>7A-7F; Gates G2-G5</w:t>
            </w:r>
          </w:p>
        </w:tc>
      </w:tr>
      <w:tr w:rsidR="003A5A50" w14:paraId="2957A4D9" w14:textId="77777777" w:rsidTr="003A5A50">
        <w:tc>
          <w:tcPr>
            <w:tcW w:w="2550" w:type="dxa"/>
          </w:tcPr>
          <w:p w14:paraId="612563CE" w14:textId="69E59DC4" w:rsidR="003A5A50" w:rsidRDefault="00735947">
            <w:pPr>
              <w:pStyle w:val="cTableBody"/>
              <w:spacing w:before="0" w:after="0"/>
            </w:pPr>
            <w:r w:rsidRPr="00B93538">
              <w:rPr>
                <w:b/>
                <w:bCs/>
              </w:rPr>
              <w:t>Area 8.</w:t>
            </w:r>
            <w:r>
              <w:t xml:space="preserve"> Digital twin, autonomy, metrology, QA data thread</w:t>
            </w:r>
          </w:p>
        </w:tc>
        <w:tc>
          <w:tcPr>
            <w:tcW w:w="1150" w:type="dxa"/>
          </w:tcPr>
          <w:p w14:paraId="7272C70D" w14:textId="77777777" w:rsidR="003A5A50" w:rsidRDefault="00CB4873">
            <w:pPr>
              <w:pStyle w:val="cTableBody"/>
              <w:spacing w:before="0" w:after="0"/>
            </w:pPr>
            <w:r>
              <w:t>Common</w:t>
            </w:r>
          </w:p>
        </w:tc>
        <w:tc>
          <w:tcPr>
            <w:tcW w:w="3500" w:type="dxa"/>
          </w:tcPr>
          <w:p w14:paraId="384B292C" w14:textId="77777777" w:rsidR="003A5A50" w:rsidRDefault="00CB4873">
            <w:pPr>
              <w:pStyle w:val="cTableBody"/>
              <w:spacing w:before="0" w:after="0"/>
            </w:pPr>
            <w:r>
              <w:t>Integrated planning, control, configuration, metrology, traceability, and auditable as-built record.</w:t>
            </w:r>
          </w:p>
        </w:tc>
        <w:tc>
          <w:tcPr>
            <w:tcW w:w="1000" w:type="dxa"/>
          </w:tcPr>
          <w:p w14:paraId="367742BE" w14:textId="77777777" w:rsidR="003A5A50" w:rsidRDefault="00CB4873">
            <w:pPr>
              <w:pStyle w:val="cTableBody"/>
              <w:spacing w:before="0" w:after="0"/>
            </w:pPr>
            <w:r>
              <w:t>$65M</w:t>
            </w:r>
          </w:p>
        </w:tc>
        <w:tc>
          <w:tcPr>
            <w:tcW w:w="1900" w:type="dxa"/>
          </w:tcPr>
          <w:p w14:paraId="184850FC" w14:textId="77777777" w:rsidR="003A5A50" w:rsidRDefault="00CB4873">
            <w:pPr>
              <w:pStyle w:val="cTableBody"/>
              <w:spacing w:before="0" w:after="0"/>
            </w:pPr>
            <w:r>
              <w:t>8A-8F; Gates G1-G5</w:t>
            </w:r>
          </w:p>
        </w:tc>
      </w:tr>
      <w:tr w:rsidR="003A5A50" w14:paraId="1B74D54F" w14:textId="77777777" w:rsidTr="003A5A50">
        <w:tc>
          <w:tcPr>
            <w:tcW w:w="2550" w:type="dxa"/>
          </w:tcPr>
          <w:p w14:paraId="225BCF62" w14:textId="28E24EDB" w:rsidR="003A5A50" w:rsidRDefault="00735947">
            <w:pPr>
              <w:pStyle w:val="cTableBody"/>
              <w:spacing w:before="0" w:after="0"/>
            </w:pPr>
            <w:r w:rsidRPr="00B93538">
              <w:rPr>
                <w:b/>
                <w:bCs/>
              </w:rPr>
              <w:t xml:space="preserve">Area 9. </w:t>
            </w:r>
            <w:r>
              <w:t>Integrated dual-track pilot</w:t>
            </w:r>
          </w:p>
        </w:tc>
        <w:tc>
          <w:tcPr>
            <w:tcW w:w="1150" w:type="dxa"/>
          </w:tcPr>
          <w:p w14:paraId="372F9F12" w14:textId="77777777" w:rsidR="003A5A50" w:rsidRDefault="00CB4873">
            <w:pPr>
              <w:pStyle w:val="cTableBody"/>
              <w:spacing w:before="0" w:after="0"/>
            </w:pPr>
            <w:r>
              <w:t>Common site + two test zones</w:t>
            </w:r>
          </w:p>
        </w:tc>
        <w:tc>
          <w:tcPr>
            <w:tcW w:w="3500" w:type="dxa"/>
          </w:tcPr>
          <w:p w14:paraId="38F63F6B" w14:textId="77777777" w:rsidR="003A5A50" w:rsidRDefault="00CB4873">
            <w:pPr>
              <w:pStyle w:val="cTableBody"/>
              <w:spacing w:before="0" w:after="0"/>
            </w:pPr>
            <w:r>
              <w:t>Repeated end-to-end HTR and PWR construction campaigns with independent evidence.</w:t>
            </w:r>
          </w:p>
        </w:tc>
        <w:tc>
          <w:tcPr>
            <w:tcW w:w="1000" w:type="dxa"/>
          </w:tcPr>
          <w:p w14:paraId="59EBC975" w14:textId="77777777" w:rsidR="003A5A50" w:rsidRDefault="00CB4873">
            <w:pPr>
              <w:pStyle w:val="cTableBody"/>
              <w:spacing w:before="0" w:after="0"/>
            </w:pPr>
            <w:r>
              <w:t>$55M</w:t>
            </w:r>
          </w:p>
        </w:tc>
        <w:tc>
          <w:tcPr>
            <w:tcW w:w="1900" w:type="dxa"/>
          </w:tcPr>
          <w:p w14:paraId="459C6253" w14:textId="77777777" w:rsidR="003A5A50" w:rsidRDefault="00CB4873">
            <w:pPr>
              <w:pStyle w:val="cTableBody"/>
              <w:spacing w:before="0" w:after="0"/>
            </w:pPr>
            <w:r>
              <w:t>9A-9F; Gates G3-G6</w:t>
            </w:r>
          </w:p>
        </w:tc>
      </w:tr>
      <w:tr w:rsidR="003A5A50" w14:paraId="75DADDFA" w14:textId="77777777" w:rsidTr="003A5A50">
        <w:tc>
          <w:tcPr>
            <w:tcW w:w="2550" w:type="dxa"/>
          </w:tcPr>
          <w:p w14:paraId="6C27F24A" w14:textId="7D0C9D6B" w:rsidR="003A5A50" w:rsidRDefault="00735947">
            <w:pPr>
              <w:pStyle w:val="cTableBody"/>
              <w:spacing w:before="0" w:after="0"/>
            </w:pPr>
            <w:r w:rsidRPr="00B93538">
              <w:rPr>
                <w:b/>
                <w:bCs/>
              </w:rPr>
              <w:t xml:space="preserve">Area 10. </w:t>
            </w:r>
            <w:r>
              <w:t>Program management, QA, licensing support, review</w:t>
            </w:r>
          </w:p>
        </w:tc>
        <w:tc>
          <w:tcPr>
            <w:tcW w:w="1150" w:type="dxa"/>
          </w:tcPr>
          <w:p w14:paraId="538702BC" w14:textId="77777777" w:rsidR="003A5A50" w:rsidRDefault="00CB4873">
            <w:pPr>
              <w:pStyle w:val="cTableBody"/>
              <w:spacing w:before="0" w:after="0"/>
            </w:pPr>
            <w:r>
              <w:t>Program-wide</w:t>
            </w:r>
          </w:p>
        </w:tc>
        <w:tc>
          <w:tcPr>
            <w:tcW w:w="3500" w:type="dxa"/>
          </w:tcPr>
          <w:p w14:paraId="7D80B7E4" w14:textId="77777777" w:rsidR="003A5A50" w:rsidRDefault="00CB4873">
            <w:pPr>
              <w:pStyle w:val="cTableBody"/>
              <w:spacing w:before="0" w:after="0"/>
            </w:pPr>
            <w:r>
              <w:t>Owner-side integration, nuclear QA oversight, China licensing support, independent review, and final economics.</w:t>
            </w:r>
          </w:p>
        </w:tc>
        <w:tc>
          <w:tcPr>
            <w:tcW w:w="1000" w:type="dxa"/>
          </w:tcPr>
          <w:p w14:paraId="4E1B9E9D" w14:textId="77777777" w:rsidR="003A5A50" w:rsidRDefault="00CB4873">
            <w:pPr>
              <w:pStyle w:val="cTableBody"/>
              <w:spacing w:before="0" w:after="0"/>
            </w:pPr>
            <w:r>
              <w:t>$30M</w:t>
            </w:r>
          </w:p>
        </w:tc>
        <w:tc>
          <w:tcPr>
            <w:tcW w:w="1900" w:type="dxa"/>
          </w:tcPr>
          <w:p w14:paraId="14A0BF62" w14:textId="77777777" w:rsidR="003A5A50" w:rsidRDefault="00CB4873">
            <w:pPr>
              <w:pStyle w:val="cTableBody"/>
              <w:spacing w:before="0" w:after="0"/>
            </w:pPr>
            <w:r>
              <w:t>10A-10E; Gates G1-G6</w:t>
            </w:r>
          </w:p>
        </w:tc>
      </w:tr>
      <w:tr w:rsidR="003A5A50" w14:paraId="2D00E8D7" w14:textId="77777777" w:rsidTr="003A5A50">
        <w:tc>
          <w:tcPr>
            <w:tcW w:w="2550" w:type="dxa"/>
          </w:tcPr>
          <w:p w14:paraId="6882B5AE" w14:textId="68001764" w:rsidR="003A5A50" w:rsidRDefault="00735947">
            <w:pPr>
              <w:pStyle w:val="cTableBody"/>
              <w:spacing w:before="0" w:after="0"/>
            </w:pPr>
            <w:r w:rsidRPr="00B93538">
              <w:rPr>
                <w:b/>
                <w:bCs/>
              </w:rPr>
              <w:t>Area 11.</w:t>
            </w:r>
            <w:r>
              <w:t xml:space="preserve"> Central contingency and risk reserve</w:t>
            </w:r>
          </w:p>
        </w:tc>
        <w:tc>
          <w:tcPr>
            <w:tcW w:w="1150" w:type="dxa"/>
          </w:tcPr>
          <w:p w14:paraId="7980C9C5" w14:textId="77777777" w:rsidR="003A5A50" w:rsidRDefault="00CB4873">
            <w:pPr>
              <w:pStyle w:val="cTableBody"/>
              <w:spacing w:before="0" w:after="0"/>
            </w:pPr>
            <w:r>
              <w:t>Program-wide reserve</w:t>
            </w:r>
          </w:p>
        </w:tc>
        <w:tc>
          <w:tcPr>
            <w:tcW w:w="3500" w:type="dxa"/>
          </w:tcPr>
          <w:p w14:paraId="5CC98A8B" w14:textId="77777777" w:rsidR="003A5A50" w:rsidRDefault="00CB4873">
            <w:pPr>
              <w:pStyle w:val="cTableBody"/>
              <w:spacing w:before="0" w:after="0"/>
            </w:pPr>
            <w:r>
              <w:t>FS-controlled reserve released only for documented risk, redesign, recovery, or added verification.</w:t>
            </w:r>
          </w:p>
        </w:tc>
        <w:tc>
          <w:tcPr>
            <w:tcW w:w="1000" w:type="dxa"/>
          </w:tcPr>
          <w:p w14:paraId="3AD4D9A0" w14:textId="77777777" w:rsidR="003A5A50" w:rsidRDefault="00CB4873">
            <w:pPr>
              <w:pStyle w:val="cTableBody"/>
              <w:spacing w:before="0" w:after="0"/>
            </w:pPr>
            <w:r>
              <w:t>$200M</w:t>
            </w:r>
          </w:p>
        </w:tc>
        <w:tc>
          <w:tcPr>
            <w:tcW w:w="1900" w:type="dxa"/>
          </w:tcPr>
          <w:p w14:paraId="12ADB4E1" w14:textId="77777777" w:rsidR="003A5A50" w:rsidRDefault="00CB4873">
            <w:pPr>
              <w:pStyle w:val="cTableBody"/>
              <w:spacing w:before="0" w:after="0"/>
            </w:pPr>
            <w:r>
              <w:t>Reserve task orders; written change control</w:t>
            </w:r>
          </w:p>
        </w:tc>
      </w:tr>
    </w:tbl>
    <w:p w14:paraId="1F5C6506" w14:textId="7F01B2A9" w:rsidR="00DB7BD3" w:rsidRDefault="00CB4873" w:rsidP="00B93538">
      <w:pPr>
        <w:pStyle w:val="Heading1"/>
      </w:pPr>
      <w:bookmarkStart w:id="14" w:name="_Toc238204703"/>
      <w:r>
        <w:lastRenderedPageBreak/>
        <w:t>What Is New Beyond Current Chinese Nuclear Construction?</w:t>
      </w:r>
      <w:bookmarkEnd w:id="14"/>
    </w:p>
    <w:p w14:paraId="369C53CC" w14:textId="1D145D82" w:rsidR="00DB7BD3" w:rsidRDefault="00CB4873">
      <w:r>
        <w:t>This initiative should treat current Chinese nuclear-construction capability as the baseline, not as the research target. The proposal’s existing CNNC and CGN references describe smart construction systems, modularization, automatic welding, integrated hoisting, digital handover, and field robots. The Moonshot therefore funds the next layer: full-scale development and measurement of construction systems that remain labor-, schedule-, rework-, or quality-intensive, and proof of whether a reusable machine fle</w:t>
      </w:r>
      <w:r>
        <w:t>et can materially reduce site-executed $/W and construction time.</w:t>
      </w:r>
    </w:p>
    <w:tbl>
      <w:tblPr>
        <w:tblStyle w:val="gswTableStyle"/>
        <w:tblW w:w="0" w:type="auto"/>
        <w:tblInd w:w="172" w:type="dxa"/>
        <w:tblLook w:val="04A0" w:firstRow="1" w:lastRow="0" w:firstColumn="1" w:lastColumn="0" w:noHBand="0" w:noVBand="1"/>
      </w:tblPr>
      <w:tblGrid>
        <w:gridCol w:w="1794"/>
        <w:gridCol w:w="3769"/>
        <w:gridCol w:w="4489"/>
      </w:tblGrid>
      <w:tr w:rsidR="00DB7BD3" w14:paraId="299D7CE0" w14:textId="77777777" w:rsidTr="00DB7BD3">
        <w:trPr>
          <w:cnfStyle w:val="100000000000" w:firstRow="1" w:lastRow="0" w:firstColumn="0" w:lastColumn="0" w:oddVBand="0" w:evenVBand="0" w:oddHBand="0" w:evenHBand="0" w:firstRowFirstColumn="0" w:firstRowLastColumn="0" w:lastRowFirstColumn="0" w:lastRowLastColumn="0"/>
          <w:cantSplit/>
          <w:tblHeader/>
        </w:trPr>
        <w:tc>
          <w:tcPr>
            <w:tcW w:w="1800" w:type="dxa"/>
          </w:tcPr>
          <w:p w14:paraId="264790ED" w14:textId="77777777" w:rsidR="00DB7BD3" w:rsidRDefault="00CB4873">
            <w:pPr>
              <w:pStyle w:val="cTableHeader"/>
            </w:pPr>
            <w:r>
              <w:t>Capability</w:t>
            </w:r>
          </w:p>
        </w:tc>
        <w:tc>
          <w:tcPr>
            <w:tcW w:w="3816" w:type="dxa"/>
          </w:tcPr>
          <w:p w14:paraId="228FA971" w14:textId="77777777" w:rsidR="00DB7BD3" w:rsidRDefault="00CB4873">
            <w:pPr>
              <w:pStyle w:val="cTableHeader"/>
            </w:pPr>
            <w:r>
              <w:t>China baseline represented in this proposal</w:t>
            </w:r>
          </w:p>
        </w:tc>
        <w:tc>
          <w:tcPr>
            <w:tcW w:w="4536" w:type="dxa"/>
          </w:tcPr>
          <w:p w14:paraId="7C64299E" w14:textId="77777777" w:rsidR="00DB7BD3" w:rsidRDefault="00CB4873">
            <w:pPr>
              <w:pStyle w:val="cTableHeader"/>
            </w:pPr>
            <w:r>
              <w:t>Moonshot extension to test</w:t>
            </w:r>
          </w:p>
        </w:tc>
      </w:tr>
      <w:tr w:rsidR="00DB7BD3" w14:paraId="114D4B9F" w14:textId="77777777" w:rsidTr="00DB7BD3">
        <w:trPr>
          <w:cantSplit/>
        </w:trPr>
        <w:tc>
          <w:tcPr>
            <w:tcW w:w="1800" w:type="dxa"/>
          </w:tcPr>
          <w:p w14:paraId="19CC5533" w14:textId="77777777" w:rsidR="00DB7BD3" w:rsidRDefault="00CB4873">
            <w:pPr>
              <w:pStyle w:val="cTableBody"/>
            </w:pPr>
            <w:r>
              <w:t>Digital construction</w:t>
            </w:r>
          </w:p>
        </w:tc>
        <w:tc>
          <w:tcPr>
            <w:tcW w:w="3816" w:type="dxa"/>
          </w:tcPr>
          <w:p w14:paraId="4EED455E" w14:textId="77777777" w:rsidR="00DB7BD3" w:rsidRDefault="00CB4873">
            <w:pPr>
              <w:pStyle w:val="cTableBody"/>
            </w:pPr>
            <w:r>
              <w:t>BIM/smart-site systems and digital handover are already used.</w:t>
            </w:r>
          </w:p>
        </w:tc>
        <w:tc>
          <w:tcPr>
            <w:tcW w:w="4536" w:type="dxa"/>
          </w:tcPr>
          <w:p w14:paraId="7F8AF7B1" w14:textId="77777777" w:rsidR="00DB7BD3" w:rsidRDefault="00CB4873">
            <w:pPr>
              <w:pStyle w:val="cTableBody"/>
            </w:pPr>
            <w:r>
              <w:t>Link design, work packages, machine logs, metrology, inspection, nonconformance, and as-built records into one auditable HTR/PWR data thread.</w:t>
            </w:r>
          </w:p>
        </w:tc>
      </w:tr>
      <w:tr w:rsidR="00DB7BD3" w14:paraId="63CBE33C" w14:textId="77777777" w:rsidTr="00DB7BD3">
        <w:trPr>
          <w:cantSplit/>
        </w:trPr>
        <w:tc>
          <w:tcPr>
            <w:tcW w:w="1800" w:type="dxa"/>
          </w:tcPr>
          <w:p w14:paraId="5D5AD239" w14:textId="77777777" w:rsidR="00DB7BD3" w:rsidRDefault="00CB4873">
            <w:pPr>
              <w:pStyle w:val="cTableBody"/>
            </w:pPr>
            <w:r>
              <w:t>Automatic welding</w:t>
            </w:r>
          </w:p>
        </w:tc>
        <w:tc>
          <w:tcPr>
            <w:tcW w:w="3816" w:type="dxa"/>
          </w:tcPr>
          <w:p w14:paraId="003FCF25" w14:textId="77777777" w:rsidR="00DB7BD3" w:rsidRDefault="00CB4873">
            <w:pPr>
              <w:pStyle w:val="cTableBody"/>
            </w:pPr>
            <w:r>
              <w:t>Automatic welding is already used on selected nuclear-construction tasks.</w:t>
            </w:r>
          </w:p>
        </w:tc>
        <w:tc>
          <w:tcPr>
            <w:tcW w:w="4536" w:type="dxa"/>
          </w:tcPr>
          <w:p w14:paraId="2AFA6A47" w14:textId="77777777" w:rsidR="00DB7BD3" w:rsidRDefault="00CB4873">
            <w:pPr>
              <w:pStyle w:val="cTableBody"/>
            </w:pPr>
            <w:r>
              <w:t>Extend automation to fit-up, weld-assist, inspection/NDE, repair, and repeatable connection work where qualification and lifecycle economics justify it.</w:t>
            </w:r>
          </w:p>
        </w:tc>
      </w:tr>
      <w:tr w:rsidR="00DB7BD3" w14:paraId="4C177E1D" w14:textId="77777777" w:rsidTr="00DB7BD3">
        <w:trPr>
          <w:cantSplit/>
        </w:trPr>
        <w:tc>
          <w:tcPr>
            <w:tcW w:w="1800" w:type="dxa"/>
          </w:tcPr>
          <w:p w14:paraId="1FD95AED" w14:textId="77777777" w:rsidR="00DB7BD3" w:rsidRDefault="00CB4873">
            <w:pPr>
              <w:pStyle w:val="cTableBody"/>
            </w:pPr>
            <w:r>
              <w:t>Heavy lift and modularization</w:t>
            </w:r>
          </w:p>
        </w:tc>
        <w:tc>
          <w:tcPr>
            <w:tcW w:w="3816" w:type="dxa"/>
          </w:tcPr>
          <w:p w14:paraId="7081FFAD" w14:textId="77777777" w:rsidR="00DB7BD3" w:rsidRDefault="00CB4873">
            <w:pPr>
              <w:pStyle w:val="cTableBody"/>
            </w:pPr>
            <w:r>
              <w:t>Chinese projects already use large modules, integrated lifts, and sophisticated crane planning.</w:t>
            </w:r>
          </w:p>
        </w:tc>
        <w:tc>
          <w:tcPr>
            <w:tcW w:w="4536" w:type="dxa"/>
          </w:tcPr>
          <w:p w14:paraId="463A77EC" w14:textId="77777777" w:rsidR="00DB7BD3" w:rsidRDefault="00CB4873">
            <w:pPr>
              <w:pStyle w:val="cTableBody"/>
            </w:pPr>
            <w:r>
              <w:t>Standardize reusable lifting/positioning interfaces, machine controls, precision metrology, and reactor-specific fixtures; measure cycle time, availability, and rework.</w:t>
            </w:r>
          </w:p>
        </w:tc>
      </w:tr>
      <w:tr w:rsidR="00DB7BD3" w14:paraId="0F338C8A" w14:textId="77777777" w:rsidTr="00DB7BD3">
        <w:trPr>
          <w:cantSplit/>
        </w:trPr>
        <w:tc>
          <w:tcPr>
            <w:tcW w:w="1800" w:type="dxa"/>
          </w:tcPr>
          <w:p w14:paraId="3C4DEF29" w14:textId="77777777" w:rsidR="00DB7BD3" w:rsidRDefault="00CB4873">
            <w:pPr>
              <w:pStyle w:val="cTableBody"/>
            </w:pPr>
            <w:r>
              <w:t>Construction robots</w:t>
            </w:r>
          </w:p>
        </w:tc>
        <w:tc>
          <w:tcPr>
            <w:tcW w:w="3816" w:type="dxa"/>
          </w:tcPr>
          <w:p w14:paraId="14DCBC75" w14:textId="77777777" w:rsidR="00DB7BD3" w:rsidRDefault="00CB4873">
            <w:pPr>
              <w:pStyle w:val="cTableBody"/>
            </w:pPr>
            <w:r>
              <w:t>Field robots already perform selected finishing and support tasks.</w:t>
            </w:r>
          </w:p>
        </w:tc>
        <w:tc>
          <w:tcPr>
            <w:tcW w:w="4536" w:type="dxa"/>
          </w:tcPr>
          <w:p w14:paraId="73368FB2" w14:textId="77777777" w:rsidR="00DB7BD3" w:rsidRDefault="00CB4873">
            <w:pPr>
              <w:pStyle w:val="cTableBody"/>
            </w:pPr>
            <w:r>
              <w:t>Move into higher-value repetitive work such as rebar, embedments, concrete support, inspection, logistics, and bounded assembly under human supervision.</w:t>
            </w:r>
          </w:p>
        </w:tc>
      </w:tr>
      <w:tr w:rsidR="00DB7BD3" w14:paraId="5EBF67F1" w14:textId="77777777" w:rsidTr="00DB7BD3">
        <w:trPr>
          <w:cantSplit/>
        </w:trPr>
        <w:tc>
          <w:tcPr>
            <w:tcW w:w="1800" w:type="dxa"/>
          </w:tcPr>
          <w:p w14:paraId="47A33AC3" w14:textId="77777777" w:rsidR="00DB7BD3" w:rsidRDefault="00CB4873">
            <w:pPr>
              <w:pStyle w:val="cTableBody"/>
            </w:pPr>
            <w:r>
              <w:t>Excavation and foundation preparation</w:t>
            </w:r>
          </w:p>
        </w:tc>
        <w:tc>
          <w:tcPr>
            <w:tcW w:w="3816" w:type="dxa"/>
          </w:tcPr>
          <w:p w14:paraId="5C122042" w14:textId="77777777" w:rsidR="00DB7BD3" w:rsidRDefault="00CB4873">
            <w:pPr>
              <w:pStyle w:val="cTableBody"/>
            </w:pPr>
            <w:r>
              <w:t>Highly mechanized conventional excavation is available.</w:t>
            </w:r>
          </w:p>
        </w:tc>
        <w:tc>
          <w:tcPr>
            <w:tcW w:w="4536" w:type="dxa"/>
          </w:tcPr>
          <w:p w14:paraId="3E6C6083" w14:textId="77777777" w:rsidR="00DB7BD3" w:rsidRDefault="00CB4873">
            <w:pPr>
              <w:pStyle w:val="cTableBody"/>
            </w:pPr>
            <w:r>
              <w:t>Develop HTR deep-excavation/lining systems and PWR bulk-excavation/basemat precision-finishing systems with common controls and interchangeable tooling where practical.</w:t>
            </w:r>
          </w:p>
        </w:tc>
      </w:tr>
      <w:tr w:rsidR="00DB7BD3" w14:paraId="4003B420" w14:textId="77777777" w:rsidTr="00DB7BD3">
        <w:trPr>
          <w:cantSplit/>
        </w:trPr>
        <w:tc>
          <w:tcPr>
            <w:tcW w:w="1800" w:type="dxa"/>
          </w:tcPr>
          <w:p w14:paraId="70036708" w14:textId="77777777" w:rsidR="00DB7BD3" w:rsidRDefault="00CB4873">
            <w:pPr>
              <w:pStyle w:val="cTableBody"/>
            </w:pPr>
            <w:r>
              <w:t>Rebar, concrete, liners, and embeds</w:t>
            </w:r>
          </w:p>
        </w:tc>
        <w:tc>
          <w:tcPr>
            <w:tcW w:w="3816" w:type="dxa"/>
          </w:tcPr>
          <w:p w14:paraId="4D949FFB" w14:textId="77777777" w:rsidR="00DB7BD3" w:rsidRDefault="00CB4873">
            <w:pPr>
              <w:pStyle w:val="cTableBody"/>
            </w:pPr>
            <w:r>
              <w:t>Advanced but still labor- and sequence-intensive nuclear civil work.</w:t>
            </w:r>
          </w:p>
        </w:tc>
        <w:tc>
          <w:tcPr>
            <w:tcW w:w="4536" w:type="dxa"/>
          </w:tcPr>
          <w:p w14:paraId="59CA469C" w14:textId="77777777" w:rsidR="00DB7BD3" w:rsidRDefault="00CB4873">
            <w:pPr>
              <w:pStyle w:val="cTableBody"/>
            </w:pPr>
            <w:r>
              <w:t>Test prefabrication, robotic placement/verification, modular formwork, sensing, curing, steel-liner automation, and machine-readable QA records.</w:t>
            </w:r>
          </w:p>
        </w:tc>
      </w:tr>
      <w:tr w:rsidR="00DB7BD3" w14:paraId="795FFCD7" w14:textId="77777777" w:rsidTr="00DB7BD3">
        <w:trPr>
          <w:cantSplit/>
        </w:trPr>
        <w:tc>
          <w:tcPr>
            <w:tcW w:w="1800" w:type="dxa"/>
          </w:tcPr>
          <w:p w14:paraId="69220737" w14:textId="77777777" w:rsidR="00DB7BD3" w:rsidRDefault="00CB4873">
            <w:pPr>
              <w:pStyle w:val="cTableBody"/>
            </w:pPr>
            <w:r>
              <w:t>Machine commonality</w:t>
            </w:r>
          </w:p>
        </w:tc>
        <w:tc>
          <w:tcPr>
            <w:tcW w:w="3816" w:type="dxa"/>
          </w:tcPr>
          <w:p w14:paraId="597BAFC8" w14:textId="77777777" w:rsidR="00DB7BD3" w:rsidRDefault="00CB4873">
            <w:pPr>
              <w:pStyle w:val="cTableBody"/>
            </w:pPr>
            <w:r>
              <w:t>Equipment is generally selected around each project and task.</w:t>
            </w:r>
          </w:p>
        </w:tc>
        <w:tc>
          <w:tcPr>
            <w:tcW w:w="4536" w:type="dxa"/>
          </w:tcPr>
          <w:p w14:paraId="79136D96" w14:textId="77777777" w:rsidR="00DB7BD3" w:rsidRDefault="00CB4873">
            <w:pPr>
              <w:pStyle w:val="cTableBody"/>
            </w:pPr>
            <w:r>
              <w:t>Create a reusable common machine architecture, then deliberately split into HTR- or PWR-specific tooling only when geometry, sequence, safety, or lifecycle cost requires it.</w:t>
            </w:r>
          </w:p>
        </w:tc>
      </w:tr>
      <w:tr w:rsidR="00DB7BD3" w14:paraId="6E3253A4" w14:textId="77777777" w:rsidTr="00DB7BD3">
        <w:trPr>
          <w:cantSplit/>
        </w:trPr>
        <w:tc>
          <w:tcPr>
            <w:tcW w:w="1800" w:type="dxa"/>
          </w:tcPr>
          <w:p w14:paraId="7273ACED" w14:textId="77777777" w:rsidR="00DB7BD3" w:rsidRDefault="00CB4873">
            <w:pPr>
              <w:pStyle w:val="cTableBody"/>
            </w:pPr>
            <w:r>
              <w:lastRenderedPageBreak/>
              <w:t>Economics validation</w:t>
            </w:r>
          </w:p>
        </w:tc>
        <w:tc>
          <w:tcPr>
            <w:tcW w:w="3816" w:type="dxa"/>
          </w:tcPr>
          <w:p w14:paraId="5ABE04CB" w14:textId="77777777" w:rsidR="00DB7BD3" w:rsidRDefault="00CB4873">
            <w:pPr>
              <w:pStyle w:val="cTableBody"/>
            </w:pPr>
            <w:r>
              <w:t>Project reporting exists, but it does not provide the controlled counterfactual this program needs.</w:t>
            </w:r>
          </w:p>
        </w:tc>
        <w:tc>
          <w:tcPr>
            <w:tcW w:w="4536" w:type="dxa"/>
          </w:tcPr>
          <w:p w14:paraId="46CAD3F6" w14:textId="77777777" w:rsidR="00DB7BD3" w:rsidRDefault="00CB4873">
            <w:pPr>
              <w:pStyle w:val="cTableBody"/>
            </w:pPr>
            <w:r>
              <w:t>Instrument conventional and automated work using identical accounting boundaries so independent reviewers can reconstruct labor, machine time, rework, schedule, site $/W, and total-plant effects.</w:t>
            </w:r>
          </w:p>
        </w:tc>
      </w:tr>
    </w:tbl>
    <w:p w14:paraId="1BBF9B2A" w14:textId="77777777" w:rsidR="00DB7BD3" w:rsidRDefault="00CB4873">
      <w:pPr>
        <w:pStyle w:val="Heading2"/>
      </w:pPr>
      <w:r>
        <w:t>Dual-track automation map</w:t>
      </w:r>
    </w:p>
    <w:p w14:paraId="20B052FB" w14:textId="77777777" w:rsidR="00DB7BD3" w:rsidRDefault="00CB4873">
      <w:r>
        <w:t>The table below is a compact visual map of where common machinery is most valuable and where the two reactor references require different tooling. It also makes the PWR track explicit rather than treating Hualong One as an add-on to the original HTR concept.</w:t>
      </w:r>
    </w:p>
    <w:tbl>
      <w:tblPr>
        <w:tblStyle w:val="gswTableStyle"/>
        <w:tblW w:w="0" w:type="auto"/>
        <w:tblInd w:w="172" w:type="dxa"/>
        <w:tblLook w:val="04A0" w:firstRow="1" w:lastRow="0" w:firstColumn="1" w:lastColumn="0" w:noHBand="0" w:noVBand="1"/>
      </w:tblPr>
      <w:tblGrid>
        <w:gridCol w:w="3205"/>
        <w:gridCol w:w="3630"/>
        <w:gridCol w:w="3217"/>
      </w:tblGrid>
      <w:tr w:rsidR="00DB7BD3" w14:paraId="45054D29" w14:textId="77777777" w:rsidTr="00DB7BD3">
        <w:trPr>
          <w:cnfStyle w:val="100000000000" w:firstRow="1" w:lastRow="0" w:firstColumn="0" w:lastColumn="0" w:oddVBand="0" w:evenVBand="0" w:oddHBand="0" w:evenHBand="0" w:firstRowFirstColumn="0" w:firstRowLastColumn="0" w:lastRowFirstColumn="0" w:lastRowLastColumn="0"/>
          <w:cantSplit/>
          <w:tblHeader/>
        </w:trPr>
        <w:tc>
          <w:tcPr>
            <w:tcW w:w="3240" w:type="dxa"/>
          </w:tcPr>
          <w:p w14:paraId="276C2DEB" w14:textId="77777777" w:rsidR="00DB7BD3" w:rsidRDefault="00CB4873">
            <w:pPr>
              <w:pStyle w:val="cTableHeader"/>
            </w:pPr>
            <w:r>
              <w:t>HTR-specific construction</w:t>
            </w:r>
          </w:p>
        </w:tc>
        <w:tc>
          <w:tcPr>
            <w:tcW w:w="3671" w:type="dxa"/>
          </w:tcPr>
          <w:p w14:paraId="7C2A55D4" w14:textId="77777777" w:rsidR="00DB7BD3" w:rsidRDefault="00CB4873">
            <w:pPr>
              <w:pStyle w:val="cTableHeader"/>
            </w:pPr>
            <w:r>
              <w:t>Common machine / digital platform</w:t>
            </w:r>
          </w:p>
        </w:tc>
        <w:tc>
          <w:tcPr>
            <w:tcW w:w="3240" w:type="dxa"/>
          </w:tcPr>
          <w:p w14:paraId="7F2B8E76" w14:textId="77777777" w:rsidR="00DB7BD3" w:rsidRDefault="00CB4873">
            <w:pPr>
              <w:pStyle w:val="cTableHeader"/>
            </w:pPr>
            <w:r>
              <w:t>PWR-specific construction</w:t>
            </w:r>
          </w:p>
        </w:tc>
      </w:tr>
      <w:tr w:rsidR="00DB7BD3" w14:paraId="42D8DC30" w14:textId="77777777" w:rsidTr="00DB7BD3">
        <w:trPr>
          <w:cantSplit/>
        </w:trPr>
        <w:tc>
          <w:tcPr>
            <w:tcW w:w="3240" w:type="dxa"/>
          </w:tcPr>
          <w:p w14:paraId="776E0751" w14:textId="77777777" w:rsidR="00DB7BD3" w:rsidRDefault="00CB4873">
            <w:pPr>
              <w:pStyle w:val="cTableBody"/>
            </w:pPr>
            <w:r>
              <w:t>Repeated deep lined cylindrical excavations; vertical spoil and shaft logistics; repeated-cell gantry fixtures; HTR vessel/steam-generator simulators. Optimize repetition across many smaller reactor modules.</w:t>
            </w:r>
          </w:p>
        </w:tc>
        <w:tc>
          <w:tcPr>
            <w:tcW w:w="3671" w:type="dxa"/>
          </w:tcPr>
          <w:p w14:paraId="531B9E11" w14:textId="77777777" w:rsidR="00DB7BD3" w:rsidRDefault="00CB4873">
            <w:pPr>
              <w:pStyle w:val="cTableBody"/>
            </w:pPr>
            <w:r>
              <w:t>Machine controls and supervisory autonomy; metrology; QA/data thread; rebar/concrete systems; heavy handling controls; transport interfaces; maintenance and diagnostics. Use the same acceptance logic: measured productivity, quality, safety, rework, availability, maintainability, and independently reconstructed economics.</w:t>
            </w:r>
          </w:p>
        </w:tc>
        <w:tc>
          <w:tcPr>
            <w:tcW w:w="3240" w:type="dxa"/>
          </w:tcPr>
          <w:p w14:paraId="658BE4E4" w14:textId="77777777" w:rsidR="00DB7BD3" w:rsidRDefault="00CB4873">
            <w:pPr>
              <w:pStyle w:val="cTableBody"/>
            </w:pPr>
            <w:r>
              <w:t>Large basemat and nuclear island; containment and steel liner; dense embedments; very large reactor-vessel/steam-generator/pressurizer lifts; PWR structural and mechanical modules. Optimize serial construction of a mature ~1.1 GWe-class unit while extending existing Chinese modularization and smart-construction practice.</w:t>
            </w:r>
          </w:p>
        </w:tc>
      </w:tr>
    </w:tbl>
    <w:p w14:paraId="148403B8" w14:textId="77777777" w:rsidR="00DB7BD3" w:rsidRDefault="00CB4873">
      <w:pPr>
        <w:pStyle w:val="Heading1"/>
        <w:spacing w:before="280" w:after="280"/>
      </w:pPr>
      <w:bookmarkStart w:id="15" w:name="_Toc238204704"/>
      <w:r>
        <w:lastRenderedPageBreak/>
        <w:t>Stage Gates and Go/No-Go Criteria</w:t>
      </w:r>
      <w:bookmarkEnd w:id="15"/>
    </w:p>
    <w:p w14:paraId="1CF189A6" w14:textId="77777777" w:rsidR="00DB7BD3" w:rsidRDefault="00CB4873">
      <w:pPr>
        <w:spacing w:before="280" w:after="280"/>
      </w:pPr>
      <w:r>
        <w:t>Passing a gate authorizes only the next R&amp;D stage. It does not authorize an operating reactor or commercial deployment. Gate criteria should be fixed before the associated major commitment, independently reviewed, and tied to the measured construction baseline. Failure should trigger redesign, repetition, scale reduction, competitive substitution, or termination rather than automatic progression.</w:t>
      </w:r>
    </w:p>
    <w:tbl>
      <w:tblPr>
        <w:tblStyle w:val="gswTableStyle"/>
        <w:tblW w:w="10577" w:type="dxa"/>
        <w:tblLayout w:type="fixed"/>
        <w:tblLook w:val="04A0" w:firstRow="1" w:lastRow="0" w:firstColumn="1" w:lastColumn="0" w:noHBand="0" w:noVBand="1"/>
      </w:tblPr>
      <w:tblGrid>
        <w:gridCol w:w="1503"/>
        <w:gridCol w:w="4102"/>
        <w:gridCol w:w="2250"/>
        <w:gridCol w:w="2722"/>
      </w:tblGrid>
      <w:tr w:rsidR="003A5A50" w14:paraId="0A993285" w14:textId="77777777" w:rsidTr="00512FB2">
        <w:trPr>
          <w:cnfStyle w:val="100000000000" w:firstRow="1" w:lastRow="0" w:firstColumn="0" w:lastColumn="0" w:oddVBand="0" w:evenVBand="0" w:oddHBand="0" w:evenHBand="0" w:firstRowFirstColumn="0" w:firstRowLastColumn="0" w:lastRowFirstColumn="0" w:lastRowLastColumn="0"/>
          <w:cantSplit/>
          <w:tblHeader/>
        </w:trPr>
        <w:tc>
          <w:tcPr>
            <w:tcW w:w="1503" w:type="dxa"/>
          </w:tcPr>
          <w:p w14:paraId="793A67EA" w14:textId="77777777" w:rsidR="003A5A50" w:rsidRDefault="00CB4873">
            <w:pPr>
              <w:pStyle w:val="cTableHeader"/>
              <w:spacing w:before="0" w:after="0"/>
            </w:pPr>
            <w:r>
              <w:t>Gate</w:t>
            </w:r>
          </w:p>
        </w:tc>
        <w:tc>
          <w:tcPr>
            <w:tcW w:w="4102" w:type="dxa"/>
          </w:tcPr>
          <w:p w14:paraId="50B16834" w14:textId="77777777" w:rsidR="003A5A50" w:rsidRDefault="00CB4873">
            <w:pPr>
              <w:pStyle w:val="cTableHeader"/>
              <w:spacing w:before="0" w:after="0"/>
            </w:pPr>
            <w:r>
              <w:t>Required evidence</w:t>
            </w:r>
          </w:p>
        </w:tc>
        <w:tc>
          <w:tcPr>
            <w:tcW w:w="2250" w:type="dxa"/>
          </w:tcPr>
          <w:p w14:paraId="40F777D2" w14:textId="77777777" w:rsidR="003A5A50" w:rsidRDefault="00CB4873">
            <w:pPr>
              <w:pStyle w:val="cTableHeader"/>
              <w:spacing w:before="0" w:after="0"/>
            </w:pPr>
            <w:r>
              <w:t>Decision enabled</w:t>
            </w:r>
          </w:p>
        </w:tc>
        <w:tc>
          <w:tcPr>
            <w:tcW w:w="2722" w:type="dxa"/>
          </w:tcPr>
          <w:p w14:paraId="70BC8076" w14:textId="77777777" w:rsidR="003A5A50" w:rsidRDefault="00CB4873">
            <w:pPr>
              <w:pStyle w:val="cTableHeader"/>
              <w:spacing w:before="0" w:after="0"/>
            </w:pPr>
            <w:r>
              <w:t>If not met</w:t>
            </w:r>
          </w:p>
        </w:tc>
      </w:tr>
      <w:tr w:rsidR="003A5A50" w14:paraId="44FA9DBC" w14:textId="77777777" w:rsidTr="00512FB2">
        <w:trPr>
          <w:cantSplit/>
        </w:trPr>
        <w:tc>
          <w:tcPr>
            <w:tcW w:w="1503" w:type="dxa"/>
          </w:tcPr>
          <w:p w14:paraId="3233D157" w14:textId="77777777" w:rsidR="003A5A50" w:rsidRDefault="00CB4873">
            <w:pPr>
              <w:pStyle w:val="cTableBody"/>
              <w:spacing w:before="0" w:after="0"/>
            </w:pPr>
            <w:r>
              <w:t>G1. Reference baseline ready (Month 9)</w:t>
            </w:r>
          </w:p>
        </w:tc>
        <w:tc>
          <w:tcPr>
            <w:tcW w:w="4102" w:type="dxa"/>
          </w:tcPr>
          <w:p w14:paraId="08F2B2DA" w14:textId="77777777" w:rsidR="003A5A50" w:rsidRDefault="00CB4873">
            <w:pPr>
              <w:pStyle w:val="cTableBody"/>
              <w:spacing w:before="0" w:after="0"/>
            </w:pPr>
            <w:r>
              <w:t>Controlled HTR and PWR reference construction models; site envelopes; quantities; interfaces; design-data strategy; Chinese code/licensing assumptions; conventional cost/schedule baselines; measurement plan.</w:t>
            </w:r>
          </w:p>
        </w:tc>
        <w:tc>
          <w:tcPr>
            <w:tcW w:w="2250" w:type="dxa"/>
          </w:tcPr>
          <w:p w14:paraId="61C40A2B" w14:textId="77777777" w:rsidR="003A5A50" w:rsidRDefault="00CB4873">
            <w:pPr>
              <w:pStyle w:val="cTableBody"/>
              <w:spacing w:before="0" w:after="0"/>
            </w:pPr>
            <w:r>
              <w:t>Authorize competing machine/process concepts and risk-reduction work.</w:t>
            </w:r>
          </w:p>
        </w:tc>
        <w:tc>
          <w:tcPr>
            <w:tcW w:w="2722" w:type="dxa"/>
          </w:tcPr>
          <w:p w14:paraId="38C6FD92" w14:textId="77777777" w:rsidR="003A5A50" w:rsidRDefault="00CB4873">
            <w:pPr>
              <w:pStyle w:val="cTableBody"/>
              <w:spacing w:before="0" w:after="0"/>
            </w:pPr>
            <w:r>
              <w:t>Close data gaps, revise assumptions, or use functionally representative non-nuclear mockups; do not claim savings against an uncontrolled baseline.</w:t>
            </w:r>
          </w:p>
        </w:tc>
      </w:tr>
      <w:tr w:rsidR="003A5A50" w14:paraId="1CEB79FB" w14:textId="77777777" w:rsidTr="00512FB2">
        <w:trPr>
          <w:cantSplit/>
        </w:trPr>
        <w:tc>
          <w:tcPr>
            <w:tcW w:w="1503" w:type="dxa"/>
          </w:tcPr>
          <w:p w14:paraId="5D820B03" w14:textId="77777777" w:rsidR="003A5A50" w:rsidRDefault="00CB4873">
            <w:pPr>
              <w:pStyle w:val="cTableBody"/>
              <w:spacing w:before="0" w:after="0"/>
            </w:pPr>
            <w:r>
              <w:t>G2. Concept down-selection (Month 18)</w:t>
            </w:r>
          </w:p>
        </w:tc>
        <w:tc>
          <w:tcPr>
            <w:tcW w:w="4102" w:type="dxa"/>
          </w:tcPr>
          <w:p w14:paraId="60ED6A7F" w14:textId="77777777" w:rsidR="003A5A50" w:rsidRDefault="00CB4873">
            <w:pPr>
              <w:pStyle w:val="cTableBody"/>
              <w:spacing w:before="0" w:after="0"/>
            </w:pPr>
            <w:r>
              <w:t>Competing concepts and early tests show which tasks should use common machines, HTR-specific tooling, PWR-specific tooling, or conventional Chinese construction; lifecycle economics and major hazards are updated.</w:t>
            </w:r>
          </w:p>
        </w:tc>
        <w:tc>
          <w:tcPr>
            <w:tcW w:w="2250" w:type="dxa"/>
          </w:tcPr>
          <w:p w14:paraId="0F1B865F" w14:textId="77777777" w:rsidR="003A5A50" w:rsidRDefault="00CB4873">
            <w:pPr>
              <w:pStyle w:val="cTableBody"/>
              <w:spacing w:before="0" w:after="0"/>
            </w:pPr>
            <w:r>
              <w:t>Authorize preliminary design of selected concepts while retaining alternatives where uncertainty remains material.</w:t>
            </w:r>
          </w:p>
        </w:tc>
        <w:tc>
          <w:tcPr>
            <w:tcW w:w="2722" w:type="dxa"/>
          </w:tcPr>
          <w:p w14:paraId="2DFEA422" w14:textId="77777777" w:rsidR="003A5A50" w:rsidRDefault="00CB4873">
            <w:pPr>
              <w:pStyle w:val="cTableBody"/>
              <w:spacing w:before="0" w:after="0"/>
            </w:pPr>
            <w:r>
              <w:t>Continue limited competition, redesign, or stop concepts that do not show credible cost, quality, safety, or schedule value.</w:t>
            </w:r>
          </w:p>
        </w:tc>
      </w:tr>
      <w:tr w:rsidR="003A5A50" w14:paraId="2724929F" w14:textId="77777777" w:rsidTr="00512FB2">
        <w:trPr>
          <w:cantSplit/>
        </w:trPr>
        <w:tc>
          <w:tcPr>
            <w:tcW w:w="1503" w:type="dxa"/>
          </w:tcPr>
          <w:p w14:paraId="10B34C8E" w14:textId="77777777" w:rsidR="003A5A50" w:rsidRDefault="00CB4873">
            <w:pPr>
              <w:pStyle w:val="cTableBody"/>
              <w:spacing w:before="0" w:after="0"/>
            </w:pPr>
            <w:r>
              <w:t>G3. Preliminary design ready (Month 24)</w:t>
            </w:r>
          </w:p>
        </w:tc>
        <w:tc>
          <w:tcPr>
            <w:tcW w:w="4102" w:type="dxa"/>
          </w:tcPr>
          <w:p w14:paraId="498CAA2B" w14:textId="77777777" w:rsidR="003A5A50" w:rsidRDefault="00CB4873">
            <w:pPr>
              <w:pStyle w:val="cTableBody"/>
              <w:spacing w:before="0" w:after="0"/>
            </w:pPr>
            <w:r>
              <w:t>Preliminary designs, interfaces, safety/QA approach, pilot configuration, suppliers, cost/schedule estimate, test plan, and independent review are credible.</w:t>
            </w:r>
          </w:p>
        </w:tc>
        <w:tc>
          <w:tcPr>
            <w:tcW w:w="2250" w:type="dxa"/>
          </w:tcPr>
          <w:p w14:paraId="34691182" w14:textId="77777777" w:rsidR="003A5A50" w:rsidRDefault="00CB4873">
            <w:pPr>
              <w:pStyle w:val="cTableBody"/>
              <w:spacing w:before="0" w:after="0"/>
            </w:pPr>
            <w:r>
              <w:t>Authorize detailed design, long-lead procurement, and major prototype fabrication.</w:t>
            </w:r>
          </w:p>
        </w:tc>
        <w:tc>
          <w:tcPr>
            <w:tcW w:w="2722" w:type="dxa"/>
          </w:tcPr>
          <w:p w14:paraId="3DD1728E" w14:textId="77777777" w:rsidR="003A5A50" w:rsidRDefault="00CB4873">
            <w:pPr>
              <w:pStyle w:val="cTableBody"/>
              <w:spacing w:before="0" w:after="0"/>
            </w:pPr>
            <w:r>
              <w:t>Do not commit major fabrication; resolve deficiencies, narrow scope, or select a different concept.</w:t>
            </w:r>
          </w:p>
        </w:tc>
      </w:tr>
      <w:tr w:rsidR="003A5A50" w14:paraId="08042BF0" w14:textId="77777777" w:rsidTr="00512FB2">
        <w:trPr>
          <w:cantSplit/>
        </w:trPr>
        <w:tc>
          <w:tcPr>
            <w:tcW w:w="1503" w:type="dxa"/>
          </w:tcPr>
          <w:p w14:paraId="411999DB" w14:textId="77777777" w:rsidR="003A5A50" w:rsidRDefault="00CB4873">
            <w:pPr>
              <w:pStyle w:val="cTableBody"/>
              <w:spacing w:before="0" w:after="0"/>
            </w:pPr>
            <w:r>
              <w:t>G4. Pilot construction authorization (Month 32)</w:t>
            </w:r>
          </w:p>
        </w:tc>
        <w:tc>
          <w:tcPr>
            <w:tcW w:w="4102" w:type="dxa"/>
          </w:tcPr>
          <w:p w14:paraId="0E3033F6" w14:textId="77777777" w:rsidR="003A5A50" w:rsidRDefault="00CB4873">
            <w:pPr>
              <w:pStyle w:val="cTableBody"/>
              <w:spacing w:before="0" w:after="0"/>
            </w:pPr>
            <w:r>
              <w:t>Detailed designs and configurations are controlled; representative HTR/PWR test articles, instrumentation, acceptance criteria, site safety, quality, and supplier readiness are complete.</w:t>
            </w:r>
          </w:p>
        </w:tc>
        <w:tc>
          <w:tcPr>
            <w:tcW w:w="2250" w:type="dxa"/>
          </w:tcPr>
          <w:p w14:paraId="6A463031" w14:textId="77777777" w:rsidR="003A5A50" w:rsidRDefault="00CB4873">
            <w:pPr>
              <w:pStyle w:val="cTableBody"/>
              <w:spacing w:before="0" w:after="0"/>
            </w:pPr>
            <w:r>
              <w:t>Authorize full-scale pilot civil work and prototype installation.</w:t>
            </w:r>
          </w:p>
        </w:tc>
        <w:tc>
          <w:tcPr>
            <w:tcW w:w="2722" w:type="dxa"/>
          </w:tcPr>
          <w:p w14:paraId="21B3C11D" w14:textId="77777777" w:rsidR="003A5A50" w:rsidRDefault="00CB4873">
            <w:pPr>
              <w:pStyle w:val="cTableBody"/>
              <w:spacing w:before="0" w:after="0"/>
            </w:pPr>
            <w:r>
              <w:t>Delay or reduce the pilot, replace suppliers or articles, and repeat readiness review.</w:t>
            </w:r>
          </w:p>
        </w:tc>
      </w:tr>
      <w:tr w:rsidR="003A5A50" w14:paraId="01F25223" w14:textId="77777777" w:rsidTr="00512FB2">
        <w:trPr>
          <w:cantSplit/>
        </w:trPr>
        <w:tc>
          <w:tcPr>
            <w:tcW w:w="1503" w:type="dxa"/>
          </w:tcPr>
          <w:p w14:paraId="231644B8" w14:textId="77777777" w:rsidR="003A5A50" w:rsidRDefault="00CB4873">
            <w:pPr>
              <w:pStyle w:val="cTableBody"/>
              <w:spacing w:before="0" w:after="0"/>
            </w:pPr>
            <w:r>
              <w:t>G5. Integrated test readiness (Month 42)</w:t>
            </w:r>
          </w:p>
        </w:tc>
        <w:tc>
          <w:tcPr>
            <w:tcW w:w="4102" w:type="dxa"/>
          </w:tcPr>
          <w:p w14:paraId="285718F8" w14:textId="77777777" w:rsidR="003A5A50" w:rsidRDefault="00CB4873">
            <w:pPr>
              <w:pStyle w:val="cTableBody"/>
              <w:spacing w:before="0" w:after="0"/>
            </w:pPr>
            <w:r>
              <w:t>Prototype qualification, proof loads, metrology, autonomy safe-stop behavior, QA/data thread, open deficiencies, test procedures, and independent witness plans demonstrate readiness.</w:t>
            </w:r>
          </w:p>
        </w:tc>
        <w:tc>
          <w:tcPr>
            <w:tcW w:w="2250" w:type="dxa"/>
          </w:tcPr>
          <w:p w14:paraId="30659891" w14:textId="77777777" w:rsidR="003A5A50" w:rsidRDefault="00CB4873">
            <w:pPr>
              <w:pStyle w:val="cTableBody"/>
              <w:spacing w:before="0" w:after="0"/>
            </w:pPr>
            <w:r>
              <w:t>Authorize repeated dual-track end-to-end construction campaigns.</w:t>
            </w:r>
          </w:p>
        </w:tc>
        <w:tc>
          <w:tcPr>
            <w:tcW w:w="2722" w:type="dxa"/>
          </w:tcPr>
          <w:p w14:paraId="449ACE8A" w14:textId="77777777" w:rsidR="003A5A50" w:rsidRDefault="00CB4873">
            <w:pPr>
              <w:pStyle w:val="cTableBody"/>
              <w:spacing w:before="0" w:after="0"/>
            </w:pPr>
            <w:r>
              <w:t>Correct deficiencies before integrated testing; do not waive material safety, quality, or measurement requirements to preserve schedule.</w:t>
            </w:r>
          </w:p>
        </w:tc>
      </w:tr>
      <w:tr w:rsidR="003A5A50" w14:paraId="4F5181BD" w14:textId="77777777" w:rsidTr="00512FB2">
        <w:trPr>
          <w:cantSplit/>
        </w:trPr>
        <w:tc>
          <w:tcPr>
            <w:tcW w:w="1503" w:type="dxa"/>
          </w:tcPr>
          <w:p w14:paraId="4845BF90" w14:textId="77777777" w:rsidR="003A5A50" w:rsidRDefault="00CB4873">
            <w:pPr>
              <w:pStyle w:val="cTableBody"/>
              <w:spacing w:before="0" w:after="0"/>
            </w:pPr>
            <w:r>
              <w:t>G6. Phase II decision (Month 60)</w:t>
            </w:r>
          </w:p>
        </w:tc>
        <w:tc>
          <w:tcPr>
            <w:tcW w:w="4102" w:type="dxa"/>
          </w:tcPr>
          <w:p w14:paraId="36D2CFA8" w14:textId="77777777" w:rsidR="003A5A50" w:rsidRDefault="00CB4873">
            <w:pPr>
              <w:pStyle w:val="cTableBody"/>
              <w:spacing w:before="0" w:after="0"/>
            </w:pPr>
            <w:r>
              <w:t>Repeated HTR and PWR performance; reliability growth; independent cost/schedule reconstruction; quality and failure record; licensing/qualification gap analysis; accepted open handoff package.</w:t>
            </w:r>
          </w:p>
        </w:tc>
        <w:tc>
          <w:tcPr>
            <w:tcW w:w="2250" w:type="dxa"/>
          </w:tcPr>
          <w:p w14:paraId="5075306E" w14:textId="77777777" w:rsidR="003A5A50" w:rsidRDefault="00CB4873">
            <w:pPr>
              <w:pStyle w:val="cTableBody"/>
              <w:spacing w:before="0" w:after="0"/>
            </w:pPr>
            <w:r>
              <w:t>Recommend HTR, PWR, both, or neither for separately authorized first-site / Phase II work.</w:t>
            </w:r>
          </w:p>
        </w:tc>
        <w:tc>
          <w:tcPr>
            <w:tcW w:w="2722" w:type="dxa"/>
          </w:tcPr>
          <w:p w14:paraId="3ACFC1FB" w14:textId="77777777" w:rsidR="003A5A50" w:rsidRDefault="00CB4873">
            <w:pPr>
              <w:pStyle w:val="cTableBody"/>
              <w:spacing w:before="0" w:after="0"/>
            </w:pPr>
            <w:r>
              <w:t>Stop, redirect, or continue only narrowly justified R&amp;D; completion of Phase I creates no entitlement to deployment.</w:t>
            </w:r>
          </w:p>
        </w:tc>
      </w:tr>
    </w:tbl>
    <w:p w14:paraId="04EB1B69" w14:textId="77777777" w:rsidR="00DB7BD3" w:rsidRDefault="00CB4873">
      <w:pPr>
        <w:pStyle w:val="cSubject"/>
        <w:spacing w:before="280" w:after="280"/>
      </w:pPr>
      <w:r>
        <w:lastRenderedPageBreak/>
        <w:t>Program-level stop rule</w:t>
      </w:r>
    </w:p>
    <w:p w14:paraId="4A874643" w14:textId="77777777" w:rsidR="00DB7BD3" w:rsidRDefault="00CB4873">
      <w:pPr>
        <w:spacing w:before="280" w:after="280"/>
      </w:pPr>
      <w:r>
        <w:t>The program should stop or redirect a workstream when repeated tests do not show credible reductions in lifecycle construction cost or schedule, when quality or safety requirements cannot be met reliably, when reactor-specific divergence eliminates the expected common-platform advantage, when required design/licensing access cannot be obtained, or when the expected value of additional information is lower than competing uses of the remaining funds.</w:t>
      </w:r>
    </w:p>
    <w:p w14:paraId="429F5E3E" w14:textId="77777777" w:rsidR="003A5A50" w:rsidRDefault="00CB4873" w:rsidP="005A620B">
      <w:pPr>
        <w:pStyle w:val="Heading1"/>
        <w:spacing w:before="100" w:after="100"/>
      </w:pPr>
      <w:bookmarkStart w:id="16" w:name="_Toc237866625"/>
      <w:bookmarkStart w:id="17" w:name="_Toc237987299"/>
      <w:bookmarkStart w:id="18" w:name="_Toc238204705"/>
      <w:r>
        <w:lastRenderedPageBreak/>
        <w:t>Development Phases</w:t>
      </w:r>
      <w:bookmarkEnd w:id="16"/>
      <w:bookmarkEnd w:id="17"/>
      <w:bookmarkEnd w:id="18"/>
    </w:p>
    <w:p w14:paraId="76EF4B8F" w14:textId="77777777" w:rsidR="003A5A50" w:rsidRDefault="00CB4873">
      <w:pPr>
        <w:pStyle w:val="cUserPromptText"/>
        <w:spacing w:before="280" w:after="280"/>
      </w:pPr>
      <w:r>
        <w:rPr>
          <w:b/>
        </w:rPr>
        <w:t xml:space="preserve">Prompt to AI: </w:t>
      </w:r>
      <w:r>
        <w:t>For each dual-reference budget item, identify the development phases, approximate cost, deliverable, and major decision gates. Distinguish common machinery from HTR-specific and PWR-specific tooling.</w:t>
      </w:r>
    </w:p>
    <w:p w14:paraId="5532A163" w14:textId="77777777" w:rsidR="003A5A50" w:rsidRDefault="00CB4873">
      <w:pPr>
        <w:keepNext/>
        <w:spacing w:before="280" w:after="280"/>
      </w:pPr>
      <w:r>
        <w:rPr>
          <w:b/>
          <w:color w:val="4F81BD"/>
          <w:u w:val="single"/>
        </w:rPr>
        <w:t>Response From AI:</w:t>
      </w:r>
    </w:p>
    <w:p w14:paraId="1266374C" w14:textId="77777777" w:rsidR="003A5A50" w:rsidRDefault="00CB4873">
      <w:pPr>
        <w:spacing w:before="280" w:after="280"/>
      </w:pPr>
      <w:r>
        <w:t>The phases below overlap across the five-year program. The key discipline is to freeze two reference construction models early enough that machinery is designed against real quantities, loads, tolerances, Chinese codes, and work sequences. Common machinery should be favored when it reduces lifecycle cost; reactor-specific tooling should be funded only when geometry, safety classification, or sequence makes commonality uneconomic or unsafe.</w:t>
      </w:r>
    </w:p>
    <w:tbl>
      <w:tblPr>
        <w:tblStyle w:val="gswTableStyle"/>
        <w:tblW w:w="10116" w:type="dxa"/>
        <w:tblLayout w:type="fixed"/>
        <w:tblLook w:val="04A0" w:firstRow="1" w:lastRow="0" w:firstColumn="1" w:lastColumn="0" w:noHBand="0" w:noVBand="1"/>
      </w:tblPr>
      <w:tblGrid>
        <w:gridCol w:w="2736"/>
        <w:gridCol w:w="1439"/>
        <w:gridCol w:w="5941"/>
      </w:tblGrid>
      <w:tr w:rsidR="003A5A50" w14:paraId="327E6C7C" w14:textId="77777777" w:rsidTr="003A5A50">
        <w:trPr>
          <w:cnfStyle w:val="100000000000" w:firstRow="1" w:lastRow="0" w:firstColumn="0" w:lastColumn="0" w:oddVBand="0" w:evenVBand="0" w:oddHBand="0" w:evenHBand="0" w:firstRowFirstColumn="0" w:firstRowLastColumn="0" w:lastRowFirstColumn="0" w:lastRowLastColumn="0"/>
          <w:tblHeader/>
        </w:trPr>
        <w:tc>
          <w:tcPr>
            <w:tcW w:w="2736" w:type="dxa"/>
          </w:tcPr>
          <w:p w14:paraId="76641A66" w14:textId="77777777" w:rsidR="003A5A50" w:rsidRDefault="00CB4873">
            <w:pPr>
              <w:pStyle w:val="cTableHeader"/>
              <w:spacing w:before="0" w:after="0"/>
            </w:pPr>
            <w:r>
              <w:t>Common stage</w:t>
            </w:r>
          </w:p>
        </w:tc>
        <w:tc>
          <w:tcPr>
            <w:tcW w:w="1439" w:type="dxa"/>
          </w:tcPr>
          <w:p w14:paraId="7955B94E" w14:textId="77777777" w:rsidR="003A5A50" w:rsidRDefault="00CB4873">
            <w:pPr>
              <w:pStyle w:val="cTableHeader"/>
              <w:spacing w:before="0" w:after="0"/>
            </w:pPr>
            <w:r>
              <w:t>Timing</w:t>
            </w:r>
          </w:p>
        </w:tc>
        <w:tc>
          <w:tcPr>
            <w:tcW w:w="5941" w:type="dxa"/>
          </w:tcPr>
          <w:p w14:paraId="68B2E815" w14:textId="77777777" w:rsidR="003A5A50" w:rsidRDefault="00CB4873">
            <w:pPr>
              <w:pStyle w:val="cTableHeader"/>
              <w:spacing w:before="0" w:after="0"/>
            </w:pPr>
            <w:r>
              <w:t>Purpose</w:t>
            </w:r>
          </w:p>
        </w:tc>
      </w:tr>
      <w:tr w:rsidR="003A5A50" w14:paraId="5D8D87F3" w14:textId="77777777" w:rsidTr="003A5A50">
        <w:tc>
          <w:tcPr>
            <w:tcW w:w="2736" w:type="dxa"/>
          </w:tcPr>
          <w:p w14:paraId="37149861" w14:textId="77777777" w:rsidR="003A5A50" w:rsidRDefault="00CB4873">
            <w:pPr>
              <w:pStyle w:val="cTableBody"/>
              <w:spacing w:before="0" w:after="0"/>
            </w:pPr>
            <w:r>
              <w:t>A. Requirements and feasibility</w:t>
            </w:r>
          </w:p>
        </w:tc>
        <w:tc>
          <w:tcPr>
            <w:tcW w:w="1439" w:type="dxa"/>
          </w:tcPr>
          <w:p w14:paraId="2C269815" w14:textId="77777777" w:rsidR="003A5A50" w:rsidRDefault="00CB4873">
            <w:pPr>
              <w:pStyle w:val="cTableBody"/>
              <w:spacing w:before="0" w:after="0"/>
            </w:pPr>
            <w:r>
              <w:t>Months 0-12</w:t>
            </w:r>
          </w:p>
        </w:tc>
        <w:tc>
          <w:tcPr>
            <w:tcW w:w="5941" w:type="dxa"/>
          </w:tcPr>
          <w:p w14:paraId="5FA5251C" w14:textId="77777777" w:rsidR="003A5A50" w:rsidRDefault="00CB4873">
            <w:pPr>
              <w:pStyle w:val="cTableBody"/>
              <w:spacing w:before="0" w:after="0"/>
            </w:pPr>
            <w:r>
              <w:t>Freeze the HTR and PWR construction reference models, compare alternatives, secure design data, and test physical/economic assumptions.</w:t>
            </w:r>
          </w:p>
        </w:tc>
      </w:tr>
      <w:tr w:rsidR="003A5A50" w14:paraId="1FBE672C" w14:textId="77777777" w:rsidTr="003A5A50">
        <w:tc>
          <w:tcPr>
            <w:tcW w:w="2736" w:type="dxa"/>
          </w:tcPr>
          <w:p w14:paraId="19A55AE2" w14:textId="77777777" w:rsidR="003A5A50" w:rsidRDefault="00CB4873">
            <w:pPr>
              <w:pStyle w:val="cTableBody"/>
              <w:spacing w:before="0" w:after="0"/>
            </w:pPr>
            <w:r>
              <w:t>B. Preliminary design and risk reduction</w:t>
            </w:r>
          </w:p>
        </w:tc>
        <w:tc>
          <w:tcPr>
            <w:tcW w:w="1439" w:type="dxa"/>
          </w:tcPr>
          <w:p w14:paraId="779C4F43" w14:textId="77777777" w:rsidR="003A5A50" w:rsidRDefault="00CB4873">
            <w:pPr>
              <w:pStyle w:val="cTableBody"/>
              <w:spacing w:before="0" w:after="0"/>
            </w:pPr>
            <w:r>
              <w:t>Months 6-24</w:t>
            </w:r>
          </w:p>
        </w:tc>
        <w:tc>
          <w:tcPr>
            <w:tcW w:w="5941" w:type="dxa"/>
          </w:tcPr>
          <w:p w14:paraId="4299C243" w14:textId="77777777" w:rsidR="003A5A50" w:rsidRDefault="00CB4873">
            <w:pPr>
              <w:pStyle w:val="cTableBody"/>
              <w:spacing w:before="0" w:after="0"/>
            </w:pPr>
            <w:r>
              <w:t>Down-select common versus reactor-specific concepts; test critical civil, structural, controls, logistics, and China-code risks.</w:t>
            </w:r>
          </w:p>
        </w:tc>
      </w:tr>
      <w:tr w:rsidR="003A5A50" w14:paraId="6AC8A888" w14:textId="77777777" w:rsidTr="003A5A50">
        <w:tc>
          <w:tcPr>
            <w:tcW w:w="2736" w:type="dxa"/>
          </w:tcPr>
          <w:p w14:paraId="6688CCDD" w14:textId="77777777" w:rsidR="003A5A50" w:rsidRDefault="00CB4873">
            <w:pPr>
              <w:pStyle w:val="cTableBody"/>
              <w:spacing w:before="0" w:after="0"/>
            </w:pPr>
            <w:r>
              <w:t>C. Detailed design and procurement</w:t>
            </w:r>
          </w:p>
        </w:tc>
        <w:tc>
          <w:tcPr>
            <w:tcW w:w="1439" w:type="dxa"/>
          </w:tcPr>
          <w:p w14:paraId="292817DF" w14:textId="77777777" w:rsidR="003A5A50" w:rsidRDefault="00CB4873">
            <w:pPr>
              <w:pStyle w:val="cTableBody"/>
              <w:spacing w:before="0" w:after="0"/>
            </w:pPr>
            <w:r>
              <w:t>Months 18-36</w:t>
            </w:r>
          </w:p>
        </w:tc>
        <w:tc>
          <w:tcPr>
            <w:tcW w:w="5941" w:type="dxa"/>
          </w:tcPr>
          <w:p w14:paraId="02289AD6" w14:textId="77777777" w:rsidR="003A5A50" w:rsidRDefault="00CB4873">
            <w:pPr>
              <w:pStyle w:val="cTableBody"/>
              <w:spacing w:before="0" w:after="0"/>
            </w:pPr>
            <w:r>
              <w:t>Produce controlled drawings, software baselines, supplier packages, mockups, long-lead procurements, and dual-track pilot plans.</w:t>
            </w:r>
          </w:p>
        </w:tc>
      </w:tr>
      <w:tr w:rsidR="003A5A50" w14:paraId="6C7BED6A" w14:textId="77777777" w:rsidTr="003A5A50">
        <w:tc>
          <w:tcPr>
            <w:tcW w:w="2736" w:type="dxa"/>
          </w:tcPr>
          <w:p w14:paraId="2EF64A5E" w14:textId="77777777" w:rsidR="003A5A50" w:rsidRDefault="00CB4873">
            <w:pPr>
              <w:pStyle w:val="cTableBody"/>
              <w:spacing w:before="0" w:after="0"/>
            </w:pPr>
            <w:r>
              <w:t>D. Fabrication and qualification</w:t>
            </w:r>
          </w:p>
        </w:tc>
        <w:tc>
          <w:tcPr>
            <w:tcW w:w="1439" w:type="dxa"/>
          </w:tcPr>
          <w:p w14:paraId="398FC45A" w14:textId="77777777" w:rsidR="003A5A50" w:rsidRDefault="00CB4873">
            <w:pPr>
              <w:pStyle w:val="cTableBody"/>
              <w:spacing w:before="0" w:after="0"/>
            </w:pPr>
            <w:r>
              <w:t>Months 24-44</w:t>
            </w:r>
          </w:p>
        </w:tc>
        <w:tc>
          <w:tcPr>
            <w:tcW w:w="5941" w:type="dxa"/>
          </w:tcPr>
          <w:p w14:paraId="5B6C801E" w14:textId="77777777" w:rsidR="003A5A50" w:rsidRDefault="00CB4873">
            <w:pPr>
              <w:pStyle w:val="cTableBody"/>
              <w:spacing w:before="0" w:after="0"/>
            </w:pPr>
            <w:r>
              <w:t>Build prototypes and prove loads, precision, endurance, compatibility, safe failure behavior, and repeatability on representative HTR/PWR tasks.</w:t>
            </w:r>
          </w:p>
        </w:tc>
      </w:tr>
      <w:tr w:rsidR="003A5A50" w14:paraId="35B951A0" w14:textId="77777777" w:rsidTr="003A5A50">
        <w:tc>
          <w:tcPr>
            <w:tcW w:w="2736" w:type="dxa"/>
          </w:tcPr>
          <w:p w14:paraId="694FF8A3" w14:textId="77777777" w:rsidR="003A5A50" w:rsidRDefault="00CB4873">
            <w:pPr>
              <w:pStyle w:val="cTableBody"/>
              <w:spacing w:before="0" w:after="0"/>
            </w:pPr>
            <w:r>
              <w:t>E. Integrated pilot demonstration</w:t>
            </w:r>
          </w:p>
        </w:tc>
        <w:tc>
          <w:tcPr>
            <w:tcW w:w="1439" w:type="dxa"/>
          </w:tcPr>
          <w:p w14:paraId="3C026C3E" w14:textId="77777777" w:rsidR="003A5A50" w:rsidRDefault="00CB4873">
            <w:pPr>
              <w:pStyle w:val="cTableBody"/>
              <w:spacing w:before="0" w:after="0"/>
            </w:pPr>
            <w:r>
              <w:t>Months 36-56</w:t>
            </w:r>
          </w:p>
        </w:tc>
        <w:tc>
          <w:tcPr>
            <w:tcW w:w="5941" w:type="dxa"/>
          </w:tcPr>
          <w:p w14:paraId="43FF56FF" w14:textId="77777777" w:rsidR="003A5A50" w:rsidRDefault="00CB4873">
            <w:pPr>
              <w:pStyle w:val="cTableBody"/>
              <w:spacing w:before="0" w:after="0"/>
            </w:pPr>
            <w:r>
              <w:t>Operate systems in both test zones and collect independent performance, safety, quality, cost, and schedule evidence.</w:t>
            </w:r>
          </w:p>
        </w:tc>
      </w:tr>
      <w:tr w:rsidR="003A5A50" w14:paraId="1DD3CBCD" w14:textId="77777777" w:rsidTr="003A5A50">
        <w:tc>
          <w:tcPr>
            <w:tcW w:w="2736" w:type="dxa"/>
          </w:tcPr>
          <w:p w14:paraId="217D2A90" w14:textId="77777777" w:rsidR="003A5A50" w:rsidRDefault="00CB4873">
            <w:pPr>
              <w:pStyle w:val="cTableBody"/>
              <w:spacing w:before="0" w:after="0"/>
            </w:pPr>
            <w:r>
              <w:t>F. Reliability growth and handoff</w:t>
            </w:r>
          </w:p>
        </w:tc>
        <w:tc>
          <w:tcPr>
            <w:tcW w:w="1439" w:type="dxa"/>
          </w:tcPr>
          <w:p w14:paraId="59D69C12" w14:textId="77777777" w:rsidR="003A5A50" w:rsidRDefault="00CB4873">
            <w:pPr>
              <w:pStyle w:val="cTableBody"/>
              <w:spacing w:before="0" w:after="0"/>
            </w:pPr>
            <w:r>
              <w:t>Months 48-60</w:t>
            </w:r>
          </w:p>
        </w:tc>
        <w:tc>
          <w:tcPr>
            <w:tcW w:w="5941" w:type="dxa"/>
          </w:tcPr>
          <w:p w14:paraId="192E3C80" w14:textId="77777777" w:rsidR="003A5A50" w:rsidRDefault="00CB4873">
            <w:pPr>
              <w:pStyle w:val="cTableBody"/>
              <w:spacing w:before="0" w:after="0"/>
            </w:pPr>
            <w:r>
              <w:t>Correct deficiencies, freeze replicable designs, and prepare separate first-site packages for HTR and PWR deployment in China.</w:t>
            </w:r>
          </w:p>
        </w:tc>
      </w:tr>
    </w:tbl>
    <w:p w14:paraId="613E2E05" w14:textId="32349FA2" w:rsidR="003A5A50" w:rsidRPr="00EF2312" w:rsidRDefault="00CB4873" w:rsidP="00EF2312">
      <w:pPr>
        <w:pStyle w:val="Heading2"/>
      </w:pPr>
      <w:r>
        <w:br w:type="page"/>
      </w:r>
      <w:r w:rsidR="00DE3072">
        <w:lastRenderedPageBreak/>
        <w:t xml:space="preserve">Area </w:t>
      </w:r>
      <w:r w:rsidRPr="00EF2312">
        <w:t>1. Dual-reference plant, site, and construction-system design - $90 million</w:t>
      </w:r>
    </w:p>
    <w:p w14:paraId="297858A6" w14:textId="77777777" w:rsidR="003A5A50" w:rsidRDefault="00CB4873">
      <w:pPr>
        <w:spacing w:before="280" w:after="280"/>
      </w:pPr>
      <w:r>
        <w:t>Controlled HTR and Hualong One construction reference models, common interfaces, reactor-specific tooling envelopes, quantities, sequences, and machine procurement packages.</w:t>
      </w:r>
    </w:p>
    <w:tbl>
      <w:tblPr>
        <w:tblStyle w:val="gswTableStyle"/>
        <w:tblW w:w="10062" w:type="dxa"/>
        <w:tblLayout w:type="fixed"/>
        <w:tblLook w:val="04A0" w:firstRow="1" w:lastRow="0" w:firstColumn="1" w:lastColumn="0" w:noHBand="0" w:noVBand="1"/>
      </w:tblPr>
      <w:tblGrid>
        <w:gridCol w:w="1583"/>
        <w:gridCol w:w="7543"/>
        <w:gridCol w:w="936"/>
      </w:tblGrid>
      <w:tr w:rsidR="003A5A50" w14:paraId="07FEE323" w14:textId="77777777" w:rsidTr="001E644B">
        <w:trPr>
          <w:cnfStyle w:val="100000000000" w:firstRow="1" w:lastRow="0" w:firstColumn="0" w:lastColumn="0" w:oddVBand="0" w:evenVBand="0" w:oddHBand="0" w:evenHBand="0" w:firstRowFirstColumn="0" w:firstRowLastColumn="0" w:lastRowFirstColumn="0" w:lastRowLastColumn="0"/>
          <w:tblHeader/>
        </w:trPr>
        <w:tc>
          <w:tcPr>
            <w:tcW w:w="1583" w:type="dxa"/>
          </w:tcPr>
          <w:p w14:paraId="08EDA230" w14:textId="77777777" w:rsidR="003A5A50" w:rsidRDefault="00CB4873">
            <w:pPr>
              <w:pStyle w:val="cTableHeader"/>
              <w:spacing w:before="0" w:after="0"/>
            </w:pPr>
            <w:r>
              <w:t>Subphase</w:t>
            </w:r>
          </w:p>
        </w:tc>
        <w:tc>
          <w:tcPr>
            <w:tcW w:w="7543" w:type="dxa"/>
          </w:tcPr>
          <w:p w14:paraId="1F73C2A9" w14:textId="77777777" w:rsidR="003A5A50" w:rsidRDefault="00CB4873">
            <w:pPr>
              <w:pStyle w:val="cTableHeader"/>
              <w:spacing w:before="0" w:after="0"/>
            </w:pPr>
            <w:r>
              <w:t>Principal activity and deliverable</w:t>
            </w:r>
          </w:p>
        </w:tc>
        <w:tc>
          <w:tcPr>
            <w:tcW w:w="936" w:type="dxa"/>
          </w:tcPr>
          <w:p w14:paraId="36FFA237" w14:textId="77777777" w:rsidR="003A5A50" w:rsidRDefault="00CB4873">
            <w:pPr>
              <w:pStyle w:val="cTableHeader"/>
              <w:spacing w:before="0" w:after="0"/>
            </w:pPr>
            <w:r>
              <w:t>Cost</w:t>
            </w:r>
          </w:p>
        </w:tc>
      </w:tr>
      <w:tr w:rsidR="003A5A50" w14:paraId="7ADE54D1" w14:textId="77777777" w:rsidTr="001E644B">
        <w:tc>
          <w:tcPr>
            <w:tcW w:w="1583" w:type="dxa"/>
          </w:tcPr>
          <w:p w14:paraId="585C704F" w14:textId="77777777" w:rsidR="003A5A50" w:rsidRDefault="00CB4873">
            <w:pPr>
              <w:pStyle w:val="cTableBody"/>
              <w:spacing w:before="0" w:after="0"/>
            </w:pPr>
            <w:r>
              <w:t>1A</w:t>
            </w:r>
          </w:p>
        </w:tc>
        <w:tc>
          <w:tcPr>
            <w:tcW w:w="7543" w:type="dxa"/>
          </w:tcPr>
          <w:p w14:paraId="6D4D622F" w14:textId="77777777" w:rsidR="003A5A50" w:rsidRDefault="00CB4873">
            <w:pPr>
              <w:pStyle w:val="cTableBody"/>
              <w:spacing w:before="0" w:after="0"/>
            </w:pPr>
            <w:r>
              <w:t>China reference requirements, design-data access, and licensing strategy</w:t>
            </w:r>
          </w:p>
        </w:tc>
        <w:tc>
          <w:tcPr>
            <w:tcW w:w="936" w:type="dxa"/>
          </w:tcPr>
          <w:p w14:paraId="4CBC9CF6" w14:textId="77777777" w:rsidR="003A5A50" w:rsidRDefault="00CB4873">
            <w:pPr>
              <w:pStyle w:val="cTableBody"/>
              <w:spacing w:before="0" w:after="0"/>
            </w:pPr>
            <w:r>
              <w:t>$15M</w:t>
            </w:r>
          </w:p>
        </w:tc>
      </w:tr>
      <w:tr w:rsidR="003A5A50" w14:paraId="46D8ECE7" w14:textId="77777777" w:rsidTr="001E644B">
        <w:tc>
          <w:tcPr>
            <w:tcW w:w="1583" w:type="dxa"/>
          </w:tcPr>
          <w:p w14:paraId="3E68D2C2" w14:textId="77777777" w:rsidR="003A5A50" w:rsidRDefault="00CB4873">
            <w:pPr>
              <w:pStyle w:val="cTableBody"/>
              <w:spacing w:before="0" w:after="0"/>
            </w:pPr>
            <w:r>
              <w:t>1B</w:t>
            </w:r>
          </w:p>
        </w:tc>
        <w:tc>
          <w:tcPr>
            <w:tcW w:w="7543" w:type="dxa"/>
          </w:tcPr>
          <w:p w14:paraId="566A27A1" w14:textId="77777777" w:rsidR="003A5A50" w:rsidRDefault="00CB4873">
            <w:pPr>
              <w:pStyle w:val="cTableBody"/>
              <w:spacing w:before="0" w:after="0"/>
            </w:pPr>
            <w:r>
              <w:t>Site envelopes, civil quantities, geotechnical assumptions, and temporary works for both reference plants</w:t>
            </w:r>
          </w:p>
        </w:tc>
        <w:tc>
          <w:tcPr>
            <w:tcW w:w="936" w:type="dxa"/>
          </w:tcPr>
          <w:p w14:paraId="417F2C72" w14:textId="77777777" w:rsidR="003A5A50" w:rsidRDefault="00CB4873">
            <w:pPr>
              <w:pStyle w:val="cTableBody"/>
              <w:spacing w:before="0" w:after="0"/>
            </w:pPr>
            <w:r>
              <w:t>$15M</w:t>
            </w:r>
          </w:p>
        </w:tc>
      </w:tr>
      <w:tr w:rsidR="003A5A50" w14:paraId="708607E1" w14:textId="77777777" w:rsidTr="001E644B">
        <w:tc>
          <w:tcPr>
            <w:tcW w:w="1583" w:type="dxa"/>
          </w:tcPr>
          <w:p w14:paraId="0B052B72" w14:textId="77777777" w:rsidR="003A5A50" w:rsidRDefault="00CB4873">
            <w:pPr>
              <w:pStyle w:val="cTableBody"/>
              <w:spacing w:before="0" w:after="0"/>
            </w:pPr>
            <w:r>
              <w:t>1C</w:t>
            </w:r>
          </w:p>
        </w:tc>
        <w:tc>
          <w:tcPr>
            <w:tcW w:w="7543" w:type="dxa"/>
          </w:tcPr>
          <w:p w14:paraId="60605980" w14:textId="77777777" w:rsidR="003A5A50" w:rsidRDefault="00CB4873">
            <w:pPr>
              <w:pStyle w:val="cTableBody"/>
              <w:spacing w:before="0" w:after="0"/>
            </w:pPr>
            <w:r>
              <w:t>Design-for-automation, modularization, common interfaces, and construction sequence</w:t>
            </w:r>
          </w:p>
        </w:tc>
        <w:tc>
          <w:tcPr>
            <w:tcW w:w="936" w:type="dxa"/>
          </w:tcPr>
          <w:p w14:paraId="6B568054" w14:textId="77777777" w:rsidR="003A5A50" w:rsidRDefault="00CB4873">
            <w:pPr>
              <w:pStyle w:val="cTableBody"/>
              <w:spacing w:before="0" w:after="0"/>
            </w:pPr>
            <w:r>
              <w:t>$20M</w:t>
            </w:r>
          </w:p>
        </w:tc>
      </w:tr>
      <w:tr w:rsidR="003A5A50" w14:paraId="351D09F3" w14:textId="77777777" w:rsidTr="001E644B">
        <w:tc>
          <w:tcPr>
            <w:tcW w:w="1583" w:type="dxa"/>
          </w:tcPr>
          <w:p w14:paraId="60E93C32" w14:textId="77777777" w:rsidR="003A5A50" w:rsidRDefault="00CB4873">
            <w:pPr>
              <w:pStyle w:val="cTableBody"/>
              <w:spacing w:before="0" w:after="0"/>
            </w:pPr>
            <w:r>
              <w:t>1D</w:t>
            </w:r>
          </w:p>
        </w:tc>
        <w:tc>
          <w:tcPr>
            <w:tcW w:w="7543" w:type="dxa"/>
          </w:tcPr>
          <w:p w14:paraId="6EB734EF" w14:textId="77777777" w:rsidR="003A5A50" w:rsidRDefault="00CB4873">
            <w:pPr>
              <w:pStyle w:val="cTableBody"/>
              <w:spacing w:before="0" w:after="0"/>
            </w:pPr>
            <w:r>
              <w:t>HTR-specific underground construction cell and machine-interface design</w:t>
            </w:r>
          </w:p>
        </w:tc>
        <w:tc>
          <w:tcPr>
            <w:tcW w:w="936" w:type="dxa"/>
          </w:tcPr>
          <w:p w14:paraId="0576AED0" w14:textId="77777777" w:rsidR="003A5A50" w:rsidRDefault="00CB4873">
            <w:pPr>
              <w:pStyle w:val="cTableBody"/>
              <w:spacing w:before="0" w:after="0"/>
            </w:pPr>
            <w:r>
              <w:t>$15M</w:t>
            </w:r>
          </w:p>
        </w:tc>
      </w:tr>
      <w:tr w:rsidR="003A5A50" w14:paraId="71CCFF3F" w14:textId="77777777" w:rsidTr="001E644B">
        <w:tc>
          <w:tcPr>
            <w:tcW w:w="1583" w:type="dxa"/>
          </w:tcPr>
          <w:p w14:paraId="36138572" w14:textId="77777777" w:rsidR="003A5A50" w:rsidRDefault="00CB4873">
            <w:pPr>
              <w:pStyle w:val="cTableBody"/>
              <w:spacing w:before="0" w:after="0"/>
            </w:pPr>
            <w:r>
              <w:t>1E</w:t>
            </w:r>
          </w:p>
        </w:tc>
        <w:tc>
          <w:tcPr>
            <w:tcW w:w="7543" w:type="dxa"/>
          </w:tcPr>
          <w:p w14:paraId="25F33BE9" w14:textId="77777777" w:rsidR="003A5A50" w:rsidRDefault="00CB4873">
            <w:pPr>
              <w:pStyle w:val="cTableBody"/>
              <w:spacing w:before="0" w:after="0"/>
            </w:pPr>
            <w:r>
              <w:t>PWR-specific basemat, containment, steel-liner, embedment, and nuclear-island construction design</w:t>
            </w:r>
          </w:p>
        </w:tc>
        <w:tc>
          <w:tcPr>
            <w:tcW w:w="936" w:type="dxa"/>
          </w:tcPr>
          <w:p w14:paraId="7F4E16C8" w14:textId="77777777" w:rsidR="003A5A50" w:rsidRDefault="00CB4873">
            <w:pPr>
              <w:pStyle w:val="cTableBody"/>
              <w:spacing w:before="0" w:after="0"/>
            </w:pPr>
            <w:r>
              <w:t>$15M</w:t>
            </w:r>
          </w:p>
        </w:tc>
      </w:tr>
      <w:tr w:rsidR="003A5A50" w14:paraId="416D4FBA" w14:textId="77777777" w:rsidTr="001E644B">
        <w:tc>
          <w:tcPr>
            <w:tcW w:w="1583" w:type="dxa"/>
          </w:tcPr>
          <w:p w14:paraId="6069192F" w14:textId="77777777" w:rsidR="003A5A50" w:rsidRDefault="00CB4873">
            <w:pPr>
              <w:pStyle w:val="cTableBody"/>
              <w:spacing w:before="0" w:after="0"/>
            </w:pPr>
            <w:r>
              <w:t>1F</w:t>
            </w:r>
          </w:p>
        </w:tc>
        <w:tc>
          <w:tcPr>
            <w:tcW w:w="7543" w:type="dxa"/>
          </w:tcPr>
          <w:p w14:paraId="3AF7FF4F" w14:textId="77777777" w:rsidR="003A5A50" w:rsidRDefault="00CB4873">
            <w:pPr>
              <w:pStyle w:val="cTableBody"/>
              <w:spacing w:before="0" w:after="0"/>
            </w:pPr>
            <w:r>
              <w:t>Comparative cost/schedule/siting model and final machine procurement package</w:t>
            </w:r>
          </w:p>
        </w:tc>
        <w:tc>
          <w:tcPr>
            <w:tcW w:w="936" w:type="dxa"/>
          </w:tcPr>
          <w:p w14:paraId="570A4E5E" w14:textId="77777777" w:rsidR="003A5A50" w:rsidRDefault="00CB4873">
            <w:pPr>
              <w:pStyle w:val="cTableBody"/>
              <w:spacing w:before="0" w:after="0"/>
            </w:pPr>
            <w:r>
              <w:t>$10M</w:t>
            </w:r>
          </w:p>
        </w:tc>
      </w:tr>
    </w:tbl>
    <w:p w14:paraId="19987BC6" w14:textId="77777777" w:rsidR="003A5A50" w:rsidRDefault="00CB4873">
      <w:pPr>
        <w:keepNext/>
        <w:spacing w:before="280" w:after="280"/>
        <w:jc w:val="center"/>
      </w:pPr>
      <w:r>
        <w:rPr>
          <w:noProof/>
        </w:rPr>
        <w:lastRenderedPageBreak/>
        <w:drawing>
          <wp:inline distT="0" distB="0" distL="0" distR="0" wp14:anchorId="63B1681F" wp14:editId="27F45530">
            <wp:extent cx="3511550" cy="526732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26"/>
                    <a:stretch>
                      <a:fillRect/>
                    </a:stretch>
                  </pic:blipFill>
                  <pic:spPr bwMode="auto">
                    <a:xfrm>
                      <a:off x="0" y="0"/>
                      <a:ext cx="3511550" cy="5267325"/>
                    </a:xfrm>
                    <a:prstGeom prst="rect">
                      <a:avLst/>
                    </a:prstGeom>
                    <a:noFill/>
                  </pic:spPr>
                </pic:pic>
              </a:graphicData>
            </a:graphic>
          </wp:inline>
        </w:drawing>
      </w:r>
    </w:p>
    <w:p w14:paraId="09D10F4F" w14:textId="77777777" w:rsidR="003A5A50" w:rsidRDefault="00CB4873">
      <w:pPr>
        <w:pStyle w:val="bfigure-caption"/>
        <w:spacing w:before="280" w:after="280"/>
      </w:pPr>
      <w:r>
        <w:t>Figure 2. HTR-track conceptual underground placement of a reactor vessel and heat exchanger.</w:t>
      </w:r>
      <w:r>
        <w:br/>
        <w:t>Source: Climate Moonshot Business Plan; concept by Glenn Weinreb.</w:t>
      </w:r>
    </w:p>
    <w:p w14:paraId="3444FBE7" w14:textId="77777777" w:rsidR="003A5A50" w:rsidRDefault="00CB4873">
      <w:pPr>
        <w:keepNext/>
        <w:spacing w:before="280" w:after="280"/>
      </w:pPr>
      <w:r>
        <w:rPr>
          <w:noProof/>
        </w:rPr>
        <w:lastRenderedPageBreak/>
        <w:drawing>
          <wp:inline distT="0" distB="0" distL="0" distR="0" wp14:anchorId="6374E9CD" wp14:editId="173A55BC">
            <wp:extent cx="6350000" cy="2565400"/>
            <wp:effectExtent l="0" t="0" r="0" b="0"/>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27"/>
                    <a:stretch>
                      <a:fillRect/>
                    </a:stretch>
                  </pic:blipFill>
                  <pic:spPr bwMode="auto">
                    <a:xfrm>
                      <a:off x="0" y="0"/>
                      <a:ext cx="6350000" cy="2565400"/>
                    </a:xfrm>
                    <a:prstGeom prst="rect">
                      <a:avLst/>
                    </a:prstGeom>
                    <a:noFill/>
                  </pic:spPr>
                </pic:pic>
              </a:graphicData>
            </a:graphic>
          </wp:inline>
        </w:drawing>
      </w:r>
    </w:p>
    <w:p w14:paraId="55809B38" w14:textId="77777777" w:rsidR="003A5A50" w:rsidRDefault="00CB4873">
      <w:pPr>
        <w:pStyle w:val="bfigure-caption"/>
        <w:spacing w:before="280" w:after="280"/>
      </w:pPr>
      <w:r>
        <w:t>Figure 3. HTR-track repeated excavations for reactor vessels and support equipment.</w:t>
      </w:r>
      <w:r>
        <w:br/>
        <w:t>Source: Climate Moonshot Business Plan; concept by Glenn Weinreb.</w:t>
      </w:r>
    </w:p>
    <w:p w14:paraId="41CF8611" w14:textId="77777777" w:rsidR="003A5A50" w:rsidRDefault="00CB4873">
      <w:pPr>
        <w:keepNext/>
        <w:spacing w:before="280" w:after="280"/>
        <w:jc w:val="center"/>
      </w:pPr>
      <w:r>
        <w:rPr>
          <w:noProof/>
        </w:rPr>
        <w:drawing>
          <wp:inline distT="0" distB="0" distL="0" distR="0" wp14:anchorId="33F7D53B" wp14:editId="45BBFA4C">
            <wp:extent cx="4636135" cy="2844800"/>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pic:cNvPicPr>
                      <a:picLocks noChangeAspect="1" noChangeArrowheads="1"/>
                    </pic:cNvPicPr>
                  </pic:nvPicPr>
                  <pic:blipFill>
                    <a:blip r:embed="rId28"/>
                    <a:stretch>
                      <a:fillRect/>
                    </a:stretch>
                  </pic:blipFill>
                  <pic:spPr bwMode="auto">
                    <a:xfrm>
                      <a:off x="0" y="0"/>
                      <a:ext cx="4636135" cy="2844800"/>
                    </a:xfrm>
                    <a:prstGeom prst="rect">
                      <a:avLst/>
                    </a:prstGeom>
                    <a:noFill/>
                  </pic:spPr>
                </pic:pic>
              </a:graphicData>
            </a:graphic>
          </wp:inline>
        </w:drawing>
      </w:r>
    </w:p>
    <w:p w14:paraId="51570208" w14:textId="77777777" w:rsidR="003A5A50" w:rsidRDefault="00CB4873">
      <w:pPr>
        <w:pStyle w:val="bfigure-caption"/>
        <w:spacing w:before="280" w:after="280"/>
        <w:ind w:right="-432"/>
      </w:pPr>
      <w:r>
        <w:t>Figure 4. HTR-track example layout with four reactor vessels supported by one equipment excavation.</w:t>
      </w:r>
      <w:r>
        <w:br/>
      </w:r>
      <w:r>
        <w:t>Source: Climate Moonshot Business Plan; concept by Glenn Weinreb.</w:t>
      </w:r>
      <w:r>
        <w:br w:type="page"/>
      </w:r>
    </w:p>
    <w:p w14:paraId="11F5CE2B" w14:textId="27DCCC77" w:rsidR="003A5A50" w:rsidRPr="00EF2312" w:rsidRDefault="00DE3072" w:rsidP="00EF2312">
      <w:pPr>
        <w:pStyle w:val="Heading2"/>
      </w:pPr>
      <w:r>
        <w:lastRenderedPageBreak/>
        <w:t xml:space="preserve">Area </w:t>
      </w:r>
      <w:r w:rsidRPr="00EF2312">
        <w:t>2. Excavation, earthworks, and precision rock-cutting machines - $95 million</w:t>
      </w:r>
    </w:p>
    <w:p w14:paraId="1DF2F242" w14:textId="77777777" w:rsidR="003A5A50" w:rsidRDefault="00CB4873">
      <w:pPr>
        <w:spacing w:before="280" w:after="280"/>
      </w:pPr>
      <w:r>
        <w:t>Full-scale or near-full-scale prototypes for HTR deep excavation and PWR bulk excavation/foundation preparation, using common controls and interchangeable tools where practical.</w:t>
      </w:r>
    </w:p>
    <w:tbl>
      <w:tblPr>
        <w:tblStyle w:val="gswTableStyle"/>
        <w:tblW w:w="10062" w:type="dxa"/>
        <w:tblLayout w:type="fixed"/>
        <w:tblLook w:val="04A0" w:firstRow="1" w:lastRow="0" w:firstColumn="1" w:lastColumn="0" w:noHBand="0" w:noVBand="1"/>
      </w:tblPr>
      <w:tblGrid>
        <w:gridCol w:w="1583"/>
        <w:gridCol w:w="7543"/>
        <w:gridCol w:w="936"/>
      </w:tblGrid>
      <w:tr w:rsidR="003A5A50" w14:paraId="10371792" w14:textId="77777777" w:rsidTr="003A5A50">
        <w:trPr>
          <w:cnfStyle w:val="100000000000" w:firstRow="1" w:lastRow="0" w:firstColumn="0" w:lastColumn="0" w:oddVBand="0" w:evenVBand="0" w:oddHBand="0" w:evenHBand="0" w:firstRowFirstColumn="0" w:firstRowLastColumn="0" w:lastRowFirstColumn="0" w:lastRowLastColumn="0"/>
          <w:tblHeader/>
        </w:trPr>
        <w:tc>
          <w:tcPr>
            <w:tcW w:w="1583" w:type="dxa"/>
          </w:tcPr>
          <w:p w14:paraId="0C448F05" w14:textId="77777777" w:rsidR="003A5A50" w:rsidRDefault="00CB4873">
            <w:pPr>
              <w:pStyle w:val="cTableHeader"/>
              <w:keepNext/>
              <w:spacing w:before="0" w:after="0"/>
            </w:pPr>
            <w:r>
              <w:t>Subphase</w:t>
            </w:r>
          </w:p>
        </w:tc>
        <w:tc>
          <w:tcPr>
            <w:tcW w:w="7543" w:type="dxa"/>
          </w:tcPr>
          <w:p w14:paraId="3D2F5968" w14:textId="77777777" w:rsidR="003A5A50" w:rsidRDefault="00CB4873">
            <w:pPr>
              <w:pStyle w:val="cTableHeader"/>
              <w:keepNext/>
              <w:spacing w:before="0" w:after="0"/>
            </w:pPr>
            <w:r>
              <w:t>Principal activity and deliverable</w:t>
            </w:r>
          </w:p>
        </w:tc>
        <w:tc>
          <w:tcPr>
            <w:tcW w:w="936" w:type="dxa"/>
          </w:tcPr>
          <w:p w14:paraId="5C85B329" w14:textId="77777777" w:rsidR="003A5A50" w:rsidRDefault="00CB4873">
            <w:pPr>
              <w:pStyle w:val="cTableHeader"/>
              <w:keepNext/>
              <w:spacing w:before="0" w:after="0"/>
            </w:pPr>
            <w:r>
              <w:t>Cost</w:t>
            </w:r>
          </w:p>
        </w:tc>
      </w:tr>
      <w:tr w:rsidR="003A5A50" w14:paraId="5F96DB00" w14:textId="77777777" w:rsidTr="003A5A50">
        <w:tc>
          <w:tcPr>
            <w:tcW w:w="1583" w:type="dxa"/>
          </w:tcPr>
          <w:p w14:paraId="2C8FF031" w14:textId="77777777" w:rsidR="003A5A50" w:rsidRDefault="00CB4873">
            <w:pPr>
              <w:pStyle w:val="cTableBody"/>
              <w:spacing w:before="0" w:after="0"/>
            </w:pPr>
            <w:r>
              <w:t>2A</w:t>
            </w:r>
          </w:p>
        </w:tc>
        <w:tc>
          <w:tcPr>
            <w:tcW w:w="7543" w:type="dxa"/>
          </w:tcPr>
          <w:p w14:paraId="28FE4B76" w14:textId="77777777" w:rsidR="003A5A50" w:rsidRDefault="00CB4873">
            <w:pPr>
              <w:pStyle w:val="cTableBody"/>
              <w:spacing w:before="0" w:after="0"/>
            </w:pPr>
            <w:r>
              <w:t>Geology, tool, and excavation-method competition for both site architectures</w:t>
            </w:r>
          </w:p>
        </w:tc>
        <w:tc>
          <w:tcPr>
            <w:tcW w:w="936" w:type="dxa"/>
          </w:tcPr>
          <w:p w14:paraId="3EA1C888" w14:textId="77777777" w:rsidR="003A5A50" w:rsidRDefault="00CB4873">
            <w:pPr>
              <w:pStyle w:val="cTableBody"/>
              <w:spacing w:before="0" w:after="0"/>
            </w:pPr>
            <w:r>
              <w:t>$10M</w:t>
            </w:r>
          </w:p>
        </w:tc>
      </w:tr>
      <w:tr w:rsidR="003A5A50" w14:paraId="7635A38A" w14:textId="77777777" w:rsidTr="003A5A50">
        <w:tc>
          <w:tcPr>
            <w:tcW w:w="1583" w:type="dxa"/>
          </w:tcPr>
          <w:p w14:paraId="395C87C9" w14:textId="77777777" w:rsidR="003A5A50" w:rsidRDefault="00CB4873">
            <w:pPr>
              <w:pStyle w:val="cTableBody"/>
              <w:spacing w:before="0" w:after="0"/>
            </w:pPr>
            <w:r>
              <w:t>2B</w:t>
            </w:r>
          </w:p>
        </w:tc>
        <w:tc>
          <w:tcPr>
            <w:tcW w:w="7543" w:type="dxa"/>
          </w:tcPr>
          <w:p w14:paraId="2DD1FC5E" w14:textId="77777777" w:rsidR="003A5A50" w:rsidRDefault="00CB4873">
            <w:pPr>
              <w:pStyle w:val="cTableBody"/>
              <w:spacing w:before="0" w:after="0"/>
            </w:pPr>
            <w:r>
              <w:t>HTR shaft/deep-excavation machine preliminary design</w:t>
            </w:r>
          </w:p>
        </w:tc>
        <w:tc>
          <w:tcPr>
            <w:tcW w:w="936" w:type="dxa"/>
          </w:tcPr>
          <w:p w14:paraId="6BCB6D86" w14:textId="77777777" w:rsidR="003A5A50" w:rsidRDefault="00CB4873">
            <w:pPr>
              <w:pStyle w:val="cTableBody"/>
              <w:spacing w:before="0" w:after="0"/>
            </w:pPr>
            <w:r>
              <w:t>$20M</w:t>
            </w:r>
          </w:p>
        </w:tc>
      </w:tr>
      <w:tr w:rsidR="003A5A50" w14:paraId="773BEA74" w14:textId="77777777" w:rsidTr="003A5A50">
        <w:tc>
          <w:tcPr>
            <w:tcW w:w="1583" w:type="dxa"/>
          </w:tcPr>
          <w:p w14:paraId="02CFDAB3" w14:textId="77777777" w:rsidR="003A5A50" w:rsidRDefault="00CB4873">
            <w:pPr>
              <w:pStyle w:val="cTableBody"/>
              <w:spacing w:before="0" w:after="0"/>
            </w:pPr>
            <w:r>
              <w:t>2C</w:t>
            </w:r>
          </w:p>
        </w:tc>
        <w:tc>
          <w:tcPr>
            <w:tcW w:w="7543" w:type="dxa"/>
          </w:tcPr>
          <w:p w14:paraId="7B05B85A" w14:textId="77777777" w:rsidR="003A5A50" w:rsidRDefault="00CB4873">
            <w:pPr>
              <w:pStyle w:val="cTableBody"/>
              <w:spacing w:before="0" w:after="0"/>
            </w:pPr>
            <w:r>
              <w:t>PWR bulk excavation, basemat preparation, and precision rock-finishing machine design</w:t>
            </w:r>
          </w:p>
        </w:tc>
        <w:tc>
          <w:tcPr>
            <w:tcW w:w="936" w:type="dxa"/>
          </w:tcPr>
          <w:p w14:paraId="257E3ECC" w14:textId="77777777" w:rsidR="003A5A50" w:rsidRDefault="00CB4873">
            <w:pPr>
              <w:pStyle w:val="cTableBody"/>
              <w:spacing w:before="0" w:after="0"/>
            </w:pPr>
            <w:r>
              <w:t>$20M</w:t>
            </w:r>
          </w:p>
        </w:tc>
      </w:tr>
      <w:tr w:rsidR="003A5A50" w14:paraId="5C364DF7" w14:textId="77777777" w:rsidTr="003A5A50">
        <w:tc>
          <w:tcPr>
            <w:tcW w:w="1583" w:type="dxa"/>
          </w:tcPr>
          <w:p w14:paraId="509E55E2" w14:textId="77777777" w:rsidR="003A5A50" w:rsidRDefault="00CB4873">
            <w:pPr>
              <w:pStyle w:val="cTableBody"/>
              <w:spacing w:before="0" w:after="0"/>
            </w:pPr>
            <w:r>
              <w:t>2D</w:t>
            </w:r>
          </w:p>
        </w:tc>
        <w:tc>
          <w:tcPr>
            <w:tcW w:w="7543" w:type="dxa"/>
          </w:tcPr>
          <w:p w14:paraId="65518EC0" w14:textId="77777777" w:rsidR="003A5A50" w:rsidRDefault="00CB4873">
            <w:pPr>
              <w:pStyle w:val="cTableBody"/>
              <w:spacing w:before="0" w:after="0"/>
            </w:pPr>
            <w:r>
              <w:t>Common machine prototype fabrication and subsystem qualification</w:t>
            </w:r>
          </w:p>
        </w:tc>
        <w:tc>
          <w:tcPr>
            <w:tcW w:w="936" w:type="dxa"/>
          </w:tcPr>
          <w:p w14:paraId="04DE38D1" w14:textId="77777777" w:rsidR="003A5A50" w:rsidRDefault="00CB4873">
            <w:pPr>
              <w:pStyle w:val="cTableBody"/>
              <w:spacing w:before="0" w:after="0"/>
            </w:pPr>
            <w:r>
              <w:t>$20M</w:t>
            </w:r>
          </w:p>
        </w:tc>
      </w:tr>
      <w:tr w:rsidR="003A5A50" w14:paraId="7B3DB2C5" w14:textId="77777777" w:rsidTr="003A5A50">
        <w:tc>
          <w:tcPr>
            <w:tcW w:w="1583" w:type="dxa"/>
          </w:tcPr>
          <w:p w14:paraId="2A59E4BC" w14:textId="77777777" w:rsidR="003A5A50" w:rsidRDefault="00CB4873">
            <w:pPr>
              <w:pStyle w:val="cTableBody"/>
              <w:spacing w:before="0" w:after="0"/>
            </w:pPr>
            <w:r>
              <w:t>2E</w:t>
            </w:r>
          </w:p>
        </w:tc>
        <w:tc>
          <w:tcPr>
            <w:tcW w:w="7543" w:type="dxa"/>
          </w:tcPr>
          <w:p w14:paraId="55A8B844" w14:textId="77777777" w:rsidR="003A5A50" w:rsidRDefault="00CB4873">
            <w:pPr>
              <w:pStyle w:val="cTableBody"/>
              <w:spacing w:before="0" w:after="0"/>
            </w:pPr>
            <w:r>
              <w:t>Dual-track non-nuclear excavation and foundation-preparation demonstrations</w:t>
            </w:r>
          </w:p>
        </w:tc>
        <w:tc>
          <w:tcPr>
            <w:tcW w:w="936" w:type="dxa"/>
          </w:tcPr>
          <w:p w14:paraId="44B1FCD8" w14:textId="77777777" w:rsidR="003A5A50" w:rsidRDefault="00CB4873">
            <w:pPr>
              <w:pStyle w:val="cTableBody"/>
              <w:spacing w:before="0" w:after="0"/>
            </w:pPr>
            <w:r>
              <w:t>$15M</w:t>
            </w:r>
          </w:p>
        </w:tc>
      </w:tr>
      <w:tr w:rsidR="003A5A50" w14:paraId="22187FDA" w14:textId="77777777" w:rsidTr="003A5A50">
        <w:tc>
          <w:tcPr>
            <w:tcW w:w="1583" w:type="dxa"/>
          </w:tcPr>
          <w:p w14:paraId="09003AA3" w14:textId="77777777" w:rsidR="003A5A50" w:rsidRDefault="00CB4873">
            <w:pPr>
              <w:pStyle w:val="cTableBody"/>
              <w:spacing w:before="0" w:after="0"/>
            </w:pPr>
            <w:r>
              <w:t>2F</w:t>
            </w:r>
          </w:p>
        </w:tc>
        <w:tc>
          <w:tcPr>
            <w:tcW w:w="7543" w:type="dxa"/>
          </w:tcPr>
          <w:p w14:paraId="68D6377C" w14:textId="77777777" w:rsidR="003A5A50" w:rsidRDefault="00CB4873">
            <w:pPr>
              <w:pStyle w:val="cTableBody"/>
              <w:spacing w:before="0" w:after="0"/>
            </w:pPr>
            <w:r>
              <w:t>Reliability growth and replicable manufacturing package</w:t>
            </w:r>
          </w:p>
        </w:tc>
        <w:tc>
          <w:tcPr>
            <w:tcW w:w="936" w:type="dxa"/>
          </w:tcPr>
          <w:p w14:paraId="7D1B79B1" w14:textId="77777777" w:rsidR="003A5A50" w:rsidRDefault="00CB4873">
            <w:pPr>
              <w:pStyle w:val="cTableBody"/>
              <w:spacing w:before="0" w:after="0"/>
            </w:pPr>
            <w:r>
              <w:t>$10M</w:t>
            </w:r>
          </w:p>
        </w:tc>
      </w:tr>
    </w:tbl>
    <w:p w14:paraId="20ED8E1D" w14:textId="77777777" w:rsidR="003A5A50" w:rsidRDefault="00CB4873">
      <w:pPr>
        <w:keepNext/>
        <w:spacing w:before="280" w:after="280"/>
        <w:ind w:left="-360" w:right="-792"/>
        <w:jc w:val="center"/>
      </w:pPr>
      <w:r>
        <w:rPr>
          <w:noProof/>
        </w:rPr>
        <w:drawing>
          <wp:inline distT="0" distB="0" distL="0" distR="0" wp14:anchorId="577E027C" wp14:editId="183236D3">
            <wp:extent cx="4088765" cy="1854200"/>
            <wp:effectExtent l="0" t="0" r="0" b="0"/>
            <wp:docPr id="6" name="Picture 1632098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632098406"/>
                    <pic:cNvPicPr>
                      <a:picLocks noChangeAspect="1" noChangeArrowheads="1"/>
                    </pic:cNvPicPr>
                  </pic:nvPicPr>
                  <pic:blipFill>
                    <a:blip r:embed="rId29"/>
                    <a:srcRect r="756"/>
                    <a:stretch>
                      <a:fillRect/>
                    </a:stretch>
                  </pic:blipFill>
                  <pic:spPr bwMode="auto">
                    <a:xfrm>
                      <a:off x="0" y="0"/>
                      <a:ext cx="4088765" cy="1854200"/>
                    </a:xfrm>
                    <a:prstGeom prst="rect">
                      <a:avLst/>
                    </a:prstGeom>
                    <a:noFill/>
                  </pic:spPr>
                </pic:pic>
              </a:graphicData>
            </a:graphic>
          </wp:inline>
        </w:drawing>
      </w:r>
      <w:r>
        <w:t xml:space="preserve">     </w:t>
      </w:r>
      <w:r>
        <w:rPr>
          <w:noProof/>
        </w:rPr>
        <w:drawing>
          <wp:inline distT="0" distB="0" distL="0" distR="0" wp14:anchorId="596E0615" wp14:editId="6CEC2DC4">
            <wp:extent cx="2355850" cy="1765300"/>
            <wp:effectExtent l="0" t="0" r="0" b="0"/>
            <wp:docPr id="7"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pic:cNvPicPr>
                      <a:picLocks noChangeAspect="1" noChangeArrowheads="1"/>
                    </pic:cNvPicPr>
                  </pic:nvPicPr>
                  <pic:blipFill>
                    <a:blip r:embed="rId30"/>
                    <a:stretch>
                      <a:fillRect/>
                    </a:stretch>
                  </pic:blipFill>
                  <pic:spPr bwMode="auto">
                    <a:xfrm>
                      <a:off x="0" y="0"/>
                      <a:ext cx="2355850" cy="1765300"/>
                    </a:xfrm>
                    <a:prstGeom prst="rect">
                      <a:avLst/>
                    </a:prstGeom>
                    <a:noFill/>
                  </pic:spPr>
                </pic:pic>
              </a:graphicData>
            </a:graphic>
          </wp:inline>
        </w:drawing>
      </w:r>
    </w:p>
    <w:p w14:paraId="54719FB0" w14:textId="77777777" w:rsidR="003A5A50" w:rsidRDefault="00CB4873">
      <w:pPr>
        <w:pStyle w:val="bfigure-caption"/>
        <w:spacing w:before="280" w:after="280"/>
        <w:ind w:right="-972"/>
      </w:pPr>
      <w:r>
        <w:t>Figure 5. Gantry-like crane concept supporting excavation; adaptable tooling is a common-platform objective.</w:t>
      </w:r>
      <w:r w:rsidR="00DB6C38">
        <w:t xml:space="preserve"> </w:t>
      </w:r>
      <w:r>
        <w:t>Source: Climate Moonshot Business Plan; concept by Glenn Weinreb.</w:t>
      </w:r>
    </w:p>
    <w:p w14:paraId="260802C6" w14:textId="77777777" w:rsidR="003A5A50" w:rsidRDefault="00CB4873">
      <w:pPr>
        <w:keepNext/>
        <w:spacing w:before="280" w:after="280"/>
        <w:jc w:val="center"/>
      </w:pPr>
      <w:r>
        <w:rPr>
          <w:noProof/>
        </w:rPr>
        <w:lastRenderedPageBreak/>
        <w:drawing>
          <wp:inline distT="0" distB="0" distL="0" distR="0" wp14:anchorId="3BA4A5C0" wp14:editId="36777FCE">
            <wp:extent cx="5120640" cy="2159635"/>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pic:cNvPicPr>
                      <a:picLocks noChangeAspect="1" noChangeArrowheads="1"/>
                    </pic:cNvPicPr>
                  </pic:nvPicPr>
                  <pic:blipFill>
                    <a:blip r:embed="rId31"/>
                    <a:stretch>
                      <a:fillRect/>
                    </a:stretch>
                  </pic:blipFill>
                  <pic:spPr bwMode="auto">
                    <a:xfrm>
                      <a:off x="0" y="0"/>
                      <a:ext cx="5120640" cy="2159635"/>
                    </a:xfrm>
                    <a:prstGeom prst="rect">
                      <a:avLst/>
                    </a:prstGeom>
                    <a:noFill/>
                  </pic:spPr>
                </pic:pic>
              </a:graphicData>
            </a:graphic>
          </wp:inline>
        </w:drawing>
      </w:r>
    </w:p>
    <w:p w14:paraId="1C5F259F" w14:textId="77777777" w:rsidR="003A5A50" w:rsidRDefault="00CB4873">
      <w:pPr>
        <w:pStyle w:val="bfigure-caption"/>
        <w:spacing w:before="280" w:after="280"/>
      </w:pPr>
      <w:r>
        <w:t>Figure 6. Conceptual precision rock-finishing machine for the HTR track; PWR tooling would address basemat and nuclear-island geometry.</w:t>
      </w:r>
      <w:r w:rsidR="00DB6C38">
        <w:t xml:space="preserve"> </w:t>
      </w:r>
      <w:r>
        <w:t>Source: Climate Moonshot Business Plan; concept by Glenn Weinreb.</w:t>
      </w:r>
      <w:r>
        <w:br w:type="page"/>
      </w:r>
    </w:p>
    <w:p w14:paraId="09330760" w14:textId="5C9CB710" w:rsidR="003A5A50" w:rsidRPr="00EF2312" w:rsidRDefault="00DE3072" w:rsidP="00EF2312">
      <w:pPr>
        <w:pStyle w:val="Heading2"/>
      </w:pPr>
      <w:r>
        <w:lastRenderedPageBreak/>
        <w:t xml:space="preserve">Area </w:t>
      </w:r>
      <w:r w:rsidRPr="00EF2312">
        <w:t>3. Material handling, spoil removal, and machine exchange - $55 million</w:t>
      </w:r>
    </w:p>
    <w:p w14:paraId="05AEB3B6" w14:textId="77777777" w:rsidR="003A5A50" w:rsidRDefault="00CB4873">
      <w:pPr>
        <w:spacing w:before="280" w:after="280"/>
      </w:pPr>
      <w:r>
        <w:t>Integrated material-flow and machine-exchange systems that keep both HTR and PWR construction fronts supplied without waiting on haulage, staging, or maintenance.</w:t>
      </w:r>
    </w:p>
    <w:tbl>
      <w:tblPr>
        <w:tblStyle w:val="gswTableStyle"/>
        <w:tblW w:w="10152" w:type="dxa"/>
        <w:tblLayout w:type="fixed"/>
        <w:tblLook w:val="04A0" w:firstRow="1" w:lastRow="0" w:firstColumn="1" w:lastColumn="0" w:noHBand="0" w:noVBand="1"/>
      </w:tblPr>
      <w:tblGrid>
        <w:gridCol w:w="1583"/>
        <w:gridCol w:w="7632"/>
        <w:gridCol w:w="937"/>
      </w:tblGrid>
      <w:tr w:rsidR="003A5A50" w14:paraId="26FF5C95" w14:textId="77777777" w:rsidTr="003A5A50">
        <w:trPr>
          <w:cnfStyle w:val="100000000000" w:firstRow="1" w:lastRow="0" w:firstColumn="0" w:lastColumn="0" w:oddVBand="0" w:evenVBand="0" w:oddHBand="0" w:evenHBand="0" w:firstRowFirstColumn="0" w:firstRowLastColumn="0" w:lastRowFirstColumn="0" w:lastRowLastColumn="0"/>
          <w:tblHeader/>
        </w:trPr>
        <w:tc>
          <w:tcPr>
            <w:tcW w:w="1583" w:type="dxa"/>
          </w:tcPr>
          <w:p w14:paraId="1A310BAF" w14:textId="77777777" w:rsidR="003A5A50" w:rsidRDefault="00CB4873">
            <w:pPr>
              <w:pStyle w:val="cTableHeader"/>
              <w:spacing w:before="0" w:after="0"/>
            </w:pPr>
            <w:r>
              <w:t>Subphase</w:t>
            </w:r>
          </w:p>
        </w:tc>
        <w:tc>
          <w:tcPr>
            <w:tcW w:w="7632" w:type="dxa"/>
          </w:tcPr>
          <w:p w14:paraId="669A05C0" w14:textId="77777777" w:rsidR="003A5A50" w:rsidRDefault="00CB4873">
            <w:pPr>
              <w:pStyle w:val="cTableHeader"/>
              <w:spacing w:before="0" w:after="0"/>
            </w:pPr>
            <w:r>
              <w:t>Principal activity and deliverable</w:t>
            </w:r>
          </w:p>
        </w:tc>
        <w:tc>
          <w:tcPr>
            <w:tcW w:w="937" w:type="dxa"/>
          </w:tcPr>
          <w:p w14:paraId="3DDB7409" w14:textId="77777777" w:rsidR="003A5A50" w:rsidRDefault="00CB4873">
            <w:pPr>
              <w:pStyle w:val="cTableHeader"/>
              <w:spacing w:before="0" w:after="0"/>
            </w:pPr>
            <w:r>
              <w:t>Cost</w:t>
            </w:r>
          </w:p>
        </w:tc>
      </w:tr>
      <w:tr w:rsidR="003A5A50" w14:paraId="28341A92" w14:textId="77777777" w:rsidTr="003A5A50">
        <w:tc>
          <w:tcPr>
            <w:tcW w:w="1583" w:type="dxa"/>
          </w:tcPr>
          <w:p w14:paraId="2D8F7568" w14:textId="77777777" w:rsidR="003A5A50" w:rsidRDefault="00CB4873">
            <w:pPr>
              <w:pStyle w:val="cTableBody"/>
              <w:spacing w:before="0" w:after="0"/>
            </w:pPr>
            <w:r>
              <w:t>3A</w:t>
            </w:r>
          </w:p>
        </w:tc>
        <w:tc>
          <w:tcPr>
            <w:tcW w:w="7632" w:type="dxa"/>
          </w:tcPr>
          <w:p w14:paraId="7397CFE0" w14:textId="77777777" w:rsidR="003A5A50" w:rsidRDefault="00CB4873">
            <w:pPr>
              <w:pStyle w:val="cTableBody"/>
              <w:spacing w:before="0" w:after="0"/>
            </w:pPr>
            <w:r>
              <w:t>Material-flow requirements and concepts for both reference plants</w:t>
            </w:r>
          </w:p>
        </w:tc>
        <w:tc>
          <w:tcPr>
            <w:tcW w:w="937" w:type="dxa"/>
          </w:tcPr>
          <w:p w14:paraId="220EADF3" w14:textId="77777777" w:rsidR="003A5A50" w:rsidRDefault="00CB4873">
            <w:pPr>
              <w:pStyle w:val="cTableBody"/>
              <w:spacing w:before="0" w:after="0"/>
            </w:pPr>
            <w:r>
              <w:t>$5M</w:t>
            </w:r>
          </w:p>
        </w:tc>
      </w:tr>
      <w:tr w:rsidR="003A5A50" w14:paraId="0BFD6B85" w14:textId="77777777" w:rsidTr="003A5A50">
        <w:tc>
          <w:tcPr>
            <w:tcW w:w="1583" w:type="dxa"/>
          </w:tcPr>
          <w:p w14:paraId="71EC1DF7" w14:textId="77777777" w:rsidR="003A5A50" w:rsidRDefault="00CB4873">
            <w:pPr>
              <w:pStyle w:val="cTableBody"/>
              <w:spacing w:before="0" w:after="0"/>
            </w:pPr>
            <w:r>
              <w:t>3B</w:t>
            </w:r>
          </w:p>
        </w:tc>
        <w:tc>
          <w:tcPr>
            <w:tcW w:w="7632" w:type="dxa"/>
          </w:tcPr>
          <w:p w14:paraId="0A467F26" w14:textId="77777777" w:rsidR="003A5A50" w:rsidRDefault="00CB4873">
            <w:pPr>
              <w:pStyle w:val="cTableBody"/>
              <w:spacing w:before="0" w:after="0"/>
            </w:pPr>
            <w:r>
              <w:t>HTR vertical spoil, hoist, and shaft-logistics design</w:t>
            </w:r>
          </w:p>
        </w:tc>
        <w:tc>
          <w:tcPr>
            <w:tcW w:w="937" w:type="dxa"/>
          </w:tcPr>
          <w:p w14:paraId="4D88965E" w14:textId="77777777" w:rsidR="003A5A50" w:rsidRDefault="00CB4873">
            <w:pPr>
              <w:pStyle w:val="cTableBody"/>
              <w:spacing w:before="0" w:after="0"/>
            </w:pPr>
            <w:r>
              <w:t>$10M</w:t>
            </w:r>
          </w:p>
        </w:tc>
      </w:tr>
      <w:tr w:rsidR="003A5A50" w14:paraId="7CE02211" w14:textId="77777777" w:rsidTr="003A5A50">
        <w:tc>
          <w:tcPr>
            <w:tcW w:w="1583" w:type="dxa"/>
          </w:tcPr>
          <w:p w14:paraId="141278DA" w14:textId="77777777" w:rsidR="003A5A50" w:rsidRDefault="00CB4873">
            <w:pPr>
              <w:pStyle w:val="cTableBody"/>
              <w:spacing w:before="0" w:after="0"/>
            </w:pPr>
            <w:r>
              <w:t>3C</w:t>
            </w:r>
          </w:p>
        </w:tc>
        <w:tc>
          <w:tcPr>
            <w:tcW w:w="7632" w:type="dxa"/>
          </w:tcPr>
          <w:p w14:paraId="23B30B21" w14:textId="77777777" w:rsidR="003A5A50" w:rsidRDefault="00CB4873">
            <w:pPr>
              <w:pStyle w:val="cTableBody"/>
              <w:spacing w:before="0" w:after="0"/>
            </w:pPr>
            <w:r>
              <w:t>PWR horizontal excavation, laydown, and high-volume material-logistics design</w:t>
            </w:r>
          </w:p>
        </w:tc>
        <w:tc>
          <w:tcPr>
            <w:tcW w:w="937" w:type="dxa"/>
          </w:tcPr>
          <w:p w14:paraId="26BEB2DA" w14:textId="77777777" w:rsidR="003A5A50" w:rsidRDefault="00CB4873">
            <w:pPr>
              <w:pStyle w:val="cTableBody"/>
              <w:spacing w:before="0" w:after="0"/>
            </w:pPr>
            <w:r>
              <w:t>$10M</w:t>
            </w:r>
          </w:p>
        </w:tc>
      </w:tr>
      <w:tr w:rsidR="003A5A50" w14:paraId="777C3319" w14:textId="77777777" w:rsidTr="003A5A50">
        <w:tc>
          <w:tcPr>
            <w:tcW w:w="1583" w:type="dxa"/>
          </w:tcPr>
          <w:p w14:paraId="3D87F451" w14:textId="77777777" w:rsidR="003A5A50" w:rsidRDefault="00CB4873">
            <w:pPr>
              <w:pStyle w:val="cTableBody"/>
              <w:spacing w:before="0" w:after="0"/>
            </w:pPr>
            <w:r>
              <w:t>3D</w:t>
            </w:r>
          </w:p>
        </w:tc>
        <w:tc>
          <w:tcPr>
            <w:tcW w:w="7632" w:type="dxa"/>
          </w:tcPr>
          <w:p w14:paraId="23B490EF" w14:textId="77777777" w:rsidR="003A5A50" w:rsidRDefault="00CB4873">
            <w:pPr>
              <w:pStyle w:val="cTableBody"/>
              <w:spacing w:before="0" w:after="0"/>
            </w:pPr>
            <w:r>
              <w:t>Common conveyors, crushers, hoists, docking, utilities, and controls</w:t>
            </w:r>
          </w:p>
        </w:tc>
        <w:tc>
          <w:tcPr>
            <w:tcW w:w="937" w:type="dxa"/>
          </w:tcPr>
          <w:p w14:paraId="6128DB91" w14:textId="77777777" w:rsidR="003A5A50" w:rsidRDefault="00CB4873">
            <w:pPr>
              <w:pStyle w:val="cTableBody"/>
              <w:spacing w:before="0" w:after="0"/>
            </w:pPr>
            <w:r>
              <w:t>$15M</w:t>
            </w:r>
          </w:p>
        </w:tc>
      </w:tr>
      <w:tr w:rsidR="003A5A50" w14:paraId="70B619F0" w14:textId="77777777" w:rsidTr="003A5A50">
        <w:tc>
          <w:tcPr>
            <w:tcW w:w="1583" w:type="dxa"/>
          </w:tcPr>
          <w:p w14:paraId="72C135B9" w14:textId="77777777" w:rsidR="003A5A50" w:rsidRDefault="00CB4873">
            <w:pPr>
              <w:pStyle w:val="cTableBody"/>
              <w:spacing w:before="0" w:after="0"/>
            </w:pPr>
            <w:r>
              <w:t>3E</w:t>
            </w:r>
          </w:p>
        </w:tc>
        <w:tc>
          <w:tcPr>
            <w:tcW w:w="7632" w:type="dxa"/>
          </w:tcPr>
          <w:p w14:paraId="7936ECEB" w14:textId="77777777" w:rsidR="003A5A50" w:rsidRDefault="00CB4873">
            <w:pPr>
              <w:pStyle w:val="cTableBody"/>
              <w:spacing w:before="0" w:after="0"/>
            </w:pPr>
            <w:r>
              <w:t>Dual-track throughput, jam, maintenance, and recovery demonstration</w:t>
            </w:r>
          </w:p>
        </w:tc>
        <w:tc>
          <w:tcPr>
            <w:tcW w:w="937" w:type="dxa"/>
          </w:tcPr>
          <w:p w14:paraId="4B2BF72B" w14:textId="77777777" w:rsidR="003A5A50" w:rsidRDefault="00CB4873">
            <w:pPr>
              <w:pStyle w:val="cTableBody"/>
              <w:spacing w:before="0" w:after="0"/>
            </w:pPr>
            <w:r>
              <w:t>$10M</w:t>
            </w:r>
          </w:p>
        </w:tc>
      </w:tr>
      <w:tr w:rsidR="003A5A50" w14:paraId="13309EC2" w14:textId="77777777" w:rsidTr="003A5A50">
        <w:tc>
          <w:tcPr>
            <w:tcW w:w="1583" w:type="dxa"/>
          </w:tcPr>
          <w:p w14:paraId="150E0CEB" w14:textId="77777777" w:rsidR="003A5A50" w:rsidRDefault="00CB4873">
            <w:pPr>
              <w:pStyle w:val="cTableBody"/>
              <w:spacing w:before="0" w:after="0"/>
            </w:pPr>
            <w:r>
              <w:t>3F</w:t>
            </w:r>
          </w:p>
        </w:tc>
        <w:tc>
          <w:tcPr>
            <w:tcW w:w="7632" w:type="dxa"/>
          </w:tcPr>
          <w:p w14:paraId="5712493E" w14:textId="77777777" w:rsidR="003A5A50" w:rsidRDefault="00CB4873">
            <w:pPr>
              <w:pStyle w:val="cTableBody"/>
              <w:spacing w:before="0" w:after="0"/>
            </w:pPr>
            <w:r>
              <w:t>Final scale-up design and operating package</w:t>
            </w:r>
          </w:p>
        </w:tc>
        <w:tc>
          <w:tcPr>
            <w:tcW w:w="937" w:type="dxa"/>
          </w:tcPr>
          <w:p w14:paraId="7390C05D" w14:textId="77777777" w:rsidR="003A5A50" w:rsidRDefault="00CB4873">
            <w:pPr>
              <w:pStyle w:val="cTableBody"/>
              <w:spacing w:before="0" w:after="0"/>
            </w:pPr>
            <w:r>
              <w:t>$5M</w:t>
            </w:r>
          </w:p>
        </w:tc>
      </w:tr>
    </w:tbl>
    <w:p w14:paraId="4B472C67" w14:textId="0327C5BF" w:rsidR="003A5A50" w:rsidRPr="00EF2312" w:rsidRDefault="00DE3072" w:rsidP="00EF2312">
      <w:pPr>
        <w:pStyle w:val="Heading2"/>
      </w:pPr>
      <w:r>
        <w:t xml:space="preserve">Area </w:t>
      </w:r>
      <w:r w:rsidRPr="00EF2312">
        <w:t>4. Heavy lift, gantry, crane, rail, and positioning systems - $95 million</w:t>
      </w:r>
    </w:p>
    <w:p w14:paraId="047F408A" w14:textId="77777777" w:rsidR="003A5A50" w:rsidRDefault="00CB4873">
      <w:pPr>
        <w:spacing w:before="280" w:after="280"/>
      </w:pPr>
      <w:r>
        <w:t>Prototype heavy-handling systems with standardized lifting interfaces and reactor-specific fixtures for repeated HTR cells and large PWR nuclear-island components/modules.</w:t>
      </w:r>
    </w:p>
    <w:tbl>
      <w:tblPr>
        <w:tblStyle w:val="gswTableStyle"/>
        <w:tblW w:w="10062" w:type="dxa"/>
        <w:tblLayout w:type="fixed"/>
        <w:tblLook w:val="04A0" w:firstRow="1" w:lastRow="0" w:firstColumn="1" w:lastColumn="0" w:noHBand="0" w:noVBand="1"/>
      </w:tblPr>
      <w:tblGrid>
        <w:gridCol w:w="1583"/>
        <w:gridCol w:w="7543"/>
        <w:gridCol w:w="936"/>
      </w:tblGrid>
      <w:tr w:rsidR="003A5A50" w14:paraId="58C46755" w14:textId="77777777" w:rsidTr="003A5A50">
        <w:trPr>
          <w:cnfStyle w:val="100000000000" w:firstRow="1" w:lastRow="0" w:firstColumn="0" w:lastColumn="0" w:oddVBand="0" w:evenVBand="0" w:oddHBand="0" w:evenHBand="0" w:firstRowFirstColumn="0" w:firstRowLastColumn="0" w:lastRowFirstColumn="0" w:lastRowLastColumn="0"/>
          <w:tblHeader/>
        </w:trPr>
        <w:tc>
          <w:tcPr>
            <w:tcW w:w="1583" w:type="dxa"/>
          </w:tcPr>
          <w:p w14:paraId="20DBAECC" w14:textId="77777777" w:rsidR="003A5A50" w:rsidRDefault="00CB4873">
            <w:pPr>
              <w:pStyle w:val="cTableHeader"/>
              <w:spacing w:before="0" w:after="0"/>
            </w:pPr>
            <w:r>
              <w:t>Subphase</w:t>
            </w:r>
          </w:p>
        </w:tc>
        <w:tc>
          <w:tcPr>
            <w:tcW w:w="7543" w:type="dxa"/>
          </w:tcPr>
          <w:p w14:paraId="26CD9896" w14:textId="77777777" w:rsidR="003A5A50" w:rsidRDefault="00CB4873">
            <w:pPr>
              <w:pStyle w:val="cTableHeader"/>
              <w:spacing w:before="0" w:after="0"/>
            </w:pPr>
            <w:r>
              <w:t>Principal activity and deliverable</w:t>
            </w:r>
          </w:p>
        </w:tc>
        <w:tc>
          <w:tcPr>
            <w:tcW w:w="936" w:type="dxa"/>
          </w:tcPr>
          <w:p w14:paraId="3863691E" w14:textId="77777777" w:rsidR="003A5A50" w:rsidRDefault="00CB4873">
            <w:pPr>
              <w:pStyle w:val="cTableHeader"/>
              <w:spacing w:before="0" w:after="0"/>
            </w:pPr>
            <w:r>
              <w:t>Cost</w:t>
            </w:r>
          </w:p>
        </w:tc>
      </w:tr>
      <w:tr w:rsidR="003A5A50" w14:paraId="379A8CAC" w14:textId="77777777" w:rsidTr="003A5A50">
        <w:tc>
          <w:tcPr>
            <w:tcW w:w="1583" w:type="dxa"/>
          </w:tcPr>
          <w:p w14:paraId="01BD1401" w14:textId="77777777" w:rsidR="003A5A50" w:rsidRDefault="00CB4873">
            <w:pPr>
              <w:pStyle w:val="cTableBody"/>
              <w:spacing w:before="0" w:after="0"/>
            </w:pPr>
            <w:r>
              <w:t>4A</w:t>
            </w:r>
          </w:p>
        </w:tc>
        <w:tc>
          <w:tcPr>
            <w:tcW w:w="7543" w:type="dxa"/>
          </w:tcPr>
          <w:p w14:paraId="4DB521F6" w14:textId="77777777" w:rsidR="003A5A50" w:rsidRDefault="00CB4873">
            <w:pPr>
              <w:pStyle w:val="cTableBody"/>
              <w:spacing w:before="0" w:after="0"/>
            </w:pPr>
            <w:r>
              <w:t>Loads, geometry, rail, crane, and nuclear-lifting requirements for both reference plants</w:t>
            </w:r>
          </w:p>
        </w:tc>
        <w:tc>
          <w:tcPr>
            <w:tcW w:w="936" w:type="dxa"/>
          </w:tcPr>
          <w:p w14:paraId="38E4ABAB" w14:textId="77777777" w:rsidR="003A5A50" w:rsidRDefault="00CB4873">
            <w:pPr>
              <w:pStyle w:val="cTableBody"/>
              <w:spacing w:before="0" w:after="0"/>
            </w:pPr>
            <w:r>
              <w:t>$10M</w:t>
            </w:r>
          </w:p>
        </w:tc>
      </w:tr>
      <w:tr w:rsidR="003A5A50" w14:paraId="23CC3105" w14:textId="77777777" w:rsidTr="003A5A50">
        <w:tc>
          <w:tcPr>
            <w:tcW w:w="1583" w:type="dxa"/>
          </w:tcPr>
          <w:p w14:paraId="3F137C40" w14:textId="77777777" w:rsidR="003A5A50" w:rsidRDefault="00CB4873">
            <w:pPr>
              <w:pStyle w:val="cTableBody"/>
              <w:spacing w:before="0" w:after="0"/>
            </w:pPr>
            <w:r>
              <w:t>4B</w:t>
            </w:r>
          </w:p>
        </w:tc>
        <w:tc>
          <w:tcPr>
            <w:tcW w:w="7543" w:type="dxa"/>
          </w:tcPr>
          <w:p w14:paraId="69926DF4" w14:textId="77777777" w:rsidR="003A5A50" w:rsidRDefault="00CB4873">
            <w:pPr>
              <w:pStyle w:val="cTableBody"/>
              <w:spacing w:before="0" w:after="0"/>
            </w:pPr>
            <w:r>
              <w:t>HTR rail-mounted gantry, trolley, and repeated-cell handling design</w:t>
            </w:r>
          </w:p>
        </w:tc>
        <w:tc>
          <w:tcPr>
            <w:tcW w:w="936" w:type="dxa"/>
          </w:tcPr>
          <w:p w14:paraId="31910727" w14:textId="77777777" w:rsidR="003A5A50" w:rsidRDefault="00CB4873">
            <w:pPr>
              <w:pStyle w:val="cTableBody"/>
              <w:spacing w:before="0" w:after="0"/>
            </w:pPr>
            <w:r>
              <w:t>$15M</w:t>
            </w:r>
          </w:p>
        </w:tc>
      </w:tr>
      <w:tr w:rsidR="003A5A50" w14:paraId="335A302A" w14:textId="77777777" w:rsidTr="003A5A50">
        <w:tc>
          <w:tcPr>
            <w:tcW w:w="1583" w:type="dxa"/>
          </w:tcPr>
          <w:p w14:paraId="6B815C17" w14:textId="77777777" w:rsidR="003A5A50" w:rsidRDefault="00CB4873">
            <w:pPr>
              <w:pStyle w:val="cTableBody"/>
              <w:spacing w:before="0" w:after="0"/>
            </w:pPr>
            <w:r>
              <w:t>4C</w:t>
            </w:r>
          </w:p>
        </w:tc>
        <w:tc>
          <w:tcPr>
            <w:tcW w:w="7543" w:type="dxa"/>
          </w:tcPr>
          <w:p w14:paraId="5CB6BEF0" w14:textId="77777777" w:rsidR="003A5A50" w:rsidRDefault="00CB4873">
            <w:pPr>
              <w:pStyle w:val="cTableBody"/>
              <w:spacing w:before="0" w:after="0"/>
            </w:pPr>
            <w:r>
              <w:t>PWR heavy-lift, temporary gantry, crane, and large-module installation design</w:t>
            </w:r>
          </w:p>
        </w:tc>
        <w:tc>
          <w:tcPr>
            <w:tcW w:w="936" w:type="dxa"/>
          </w:tcPr>
          <w:p w14:paraId="69C7DC45" w14:textId="77777777" w:rsidR="003A5A50" w:rsidRDefault="00CB4873">
            <w:pPr>
              <w:pStyle w:val="cTableBody"/>
              <w:spacing w:before="0" w:after="0"/>
            </w:pPr>
            <w:r>
              <w:t>$15M</w:t>
            </w:r>
          </w:p>
        </w:tc>
      </w:tr>
      <w:tr w:rsidR="003A5A50" w14:paraId="46FF7603" w14:textId="77777777" w:rsidTr="003A5A50">
        <w:tc>
          <w:tcPr>
            <w:tcW w:w="1583" w:type="dxa"/>
          </w:tcPr>
          <w:p w14:paraId="25F680B8" w14:textId="77777777" w:rsidR="003A5A50" w:rsidRDefault="00CB4873">
            <w:pPr>
              <w:pStyle w:val="cTableBody"/>
              <w:spacing w:before="0" w:after="0"/>
            </w:pPr>
            <w:r>
              <w:t>4D</w:t>
            </w:r>
          </w:p>
        </w:tc>
        <w:tc>
          <w:tcPr>
            <w:tcW w:w="7543" w:type="dxa"/>
          </w:tcPr>
          <w:p w14:paraId="7CB4D4ED" w14:textId="77777777" w:rsidR="003A5A50" w:rsidRDefault="00CB4873">
            <w:pPr>
              <w:pStyle w:val="cTableBody"/>
              <w:spacing w:before="0" w:after="0"/>
            </w:pPr>
            <w:r>
              <w:t>Common lifting tools, controls, prototype fabrication, and factory proof testing</w:t>
            </w:r>
          </w:p>
        </w:tc>
        <w:tc>
          <w:tcPr>
            <w:tcW w:w="936" w:type="dxa"/>
          </w:tcPr>
          <w:p w14:paraId="4059903E" w14:textId="77777777" w:rsidR="003A5A50" w:rsidRDefault="00CB4873">
            <w:pPr>
              <w:pStyle w:val="cTableBody"/>
              <w:spacing w:before="0" w:after="0"/>
            </w:pPr>
            <w:r>
              <w:t>$30M</w:t>
            </w:r>
          </w:p>
        </w:tc>
      </w:tr>
      <w:tr w:rsidR="003A5A50" w14:paraId="62A63BBD" w14:textId="77777777" w:rsidTr="003A5A50">
        <w:tc>
          <w:tcPr>
            <w:tcW w:w="1583" w:type="dxa"/>
          </w:tcPr>
          <w:p w14:paraId="515F229C" w14:textId="77777777" w:rsidR="003A5A50" w:rsidRDefault="00CB4873">
            <w:pPr>
              <w:pStyle w:val="cTableBody"/>
              <w:spacing w:before="0" w:after="0"/>
            </w:pPr>
            <w:r>
              <w:t>4E</w:t>
            </w:r>
          </w:p>
        </w:tc>
        <w:tc>
          <w:tcPr>
            <w:tcW w:w="7543" w:type="dxa"/>
          </w:tcPr>
          <w:p w14:paraId="49BFAC7D" w14:textId="77777777" w:rsidR="003A5A50" w:rsidRDefault="00CB4873">
            <w:pPr>
              <w:pStyle w:val="cTableBody"/>
              <w:spacing w:before="0" w:after="0"/>
            </w:pPr>
            <w:r>
              <w:t>Dual-track pilot installation, proof-load testing, and repeated precision moves</w:t>
            </w:r>
          </w:p>
        </w:tc>
        <w:tc>
          <w:tcPr>
            <w:tcW w:w="936" w:type="dxa"/>
          </w:tcPr>
          <w:p w14:paraId="59490DE0" w14:textId="77777777" w:rsidR="003A5A50" w:rsidRDefault="00CB4873">
            <w:pPr>
              <w:pStyle w:val="cTableBody"/>
              <w:spacing w:before="0" w:after="0"/>
            </w:pPr>
            <w:r>
              <w:t>$18M</w:t>
            </w:r>
          </w:p>
        </w:tc>
      </w:tr>
      <w:tr w:rsidR="003A5A50" w14:paraId="6E322A76" w14:textId="77777777" w:rsidTr="003A5A50">
        <w:tc>
          <w:tcPr>
            <w:tcW w:w="1583" w:type="dxa"/>
          </w:tcPr>
          <w:p w14:paraId="1E4EBB0C" w14:textId="77777777" w:rsidR="003A5A50" w:rsidRDefault="00CB4873">
            <w:pPr>
              <w:pStyle w:val="cTableBody"/>
              <w:spacing w:before="0" w:after="0"/>
            </w:pPr>
            <w:r>
              <w:t>4F</w:t>
            </w:r>
          </w:p>
        </w:tc>
        <w:tc>
          <w:tcPr>
            <w:tcW w:w="7543" w:type="dxa"/>
          </w:tcPr>
          <w:p w14:paraId="4D6A78BA" w14:textId="77777777" w:rsidR="003A5A50" w:rsidRDefault="00CB4873">
            <w:pPr>
              <w:pStyle w:val="cTableBody"/>
              <w:spacing w:before="0" w:after="0"/>
            </w:pPr>
            <w:r>
              <w:t>Reliability growth and Chinese code-compliance package</w:t>
            </w:r>
          </w:p>
        </w:tc>
        <w:tc>
          <w:tcPr>
            <w:tcW w:w="936" w:type="dxa"/>
          </w:tcPr>
          <w:p w14:paraId="08A64859" w14:textId="77777777" w:rsidR="003A5A50" w:rsidRDefault="00CB4873">
            <w:pPr>
              <w:pStyle w:val="cTableBody"/>
              <w:spacing w:before="0" w:after="0"/>
            </w:pPr>
            <w:r>
              <w:t>$7M</w:t>
            </w:r>
          </w:p>
        </w:tc>
      </w:tr>
    </w:tbl>
    <w:p w14:paraId="1593F08C" w14:textId="77777777" w:rsidR="003A5A50" w:rsidRDefault="00CB4873">
      <w:pPr>
        <w:spacing w:before="280" w:after="280"/>
        <w:jc w:val="center"/>
      </w:pPr>
      <w:r>
        <w:rPr>
          <w:noProof/>
        </w:rPr>
        <w:lastRenderedPageBreak/>
        <w:drawing>
          <wp:inline distT="0" distB="0" distL="0" distR="0" wp14:anchorId="216EDF80" wp14:editId="3580E6ED">
            <wp:extent cx="5363845" cy="3200400"/>
            <wp:effectExtent l="0" t="0" r="0" b="0"/>
            <wp:docPr id="9"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5"/>
                    <pic:cNvPicPr>
                      <a:picLocks noChangeAspect="1" noChangeArrowheads="1"/>
                    </pic:cNvPicPr>
                  </pic:nvPicPr>
                  <pic:blipFill>
                    <a:blip r:embed="rId32"/>
                    <a:stretch>
                      <a:fillRect/>
                    </a:stretch>
                  </pic:blipFill>
                  <pic:spPr bwMode="auto">
                    <a:xfrm>
                      <a:off x="0" y="0"/>
                      <a:ext cx="5363845" cy="3200400"/>
                    </a:xfrm>
                    <a:prstGeom prst="rect">
                      <a:avLst/>
                    </a:prstGeom>
                    <a:noFill/>
                  </pic:spPr>
                </pic:pic>
              </a:graphicData>
            </a:graphic>
          </wp:inline>
        </w:drawing>
      </w:r>
    </w:p>
    <w:p w14:paraId="677FF21D" w14:textId="77777777" w:rsidR="003A5A50" w:rsidRDefault="00CB4873">
      <w:pPr>
        <w:pStyle w:val="bfigure-caption"/>
        <w:spacing w:before="280" w:after="280"/>
      </w:pPr>
      <w:r>
        <w:t>Figure 7. Conceptual rail-mounted gantry with a three-axis trolley; one candidate common heavy-handling platform. Source: Climate Moonshot Business Plan; concept by Glenn Weinreb.</w:t>
      </w:r>
    </w:p>
    <w:p w14:paraId="327838C6" w14:textId="77777777" w:rsidR="003A5A50" w:rsidRDefault="00CB4873">
      <w:pPr>
        <w:keepNext/>
        <w:spacing w:before="280" w:after="280"/>
        <w:jc w:val="center"/>
      </w:pPr>
      <w:r>
        <w:rPr>
          <w:noProof/>
        </w:rPr>
        <w:drawing>
          <wp:inline distT="0" distB="0" distL="0" distR="0" wp14:anchorId="2D27D922" wp14:editId="6CC1A851">
            <wp:extent cx="6356350" cy="2679700"/>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noChangeArrowheads="1"/>
                    </pic:cNvPicPr>
                  </pic:nvPicPr>
                  <pic:blipFill>
                    <a:blip r:embed="rId33"/>
                    <a:stretch>
                      <a:fillRect/>
                    </a:stretch>
                  </pic:blipFill>
                  <pic:spPr bwMode="auto">
                    <a:xfrm>
                      <a:off x="0" y="0"/>
                      <a:ext cx="6356350" cy="2679700"/>
                    </a:xfrm>
                    <a:prstGeom prst="rect">
                      <a:avLst/>
                    </a:prstGeom>
                    <a:noFill/>
                  </pic:spPr>
                </pic:pic>
              </a:graphicData>
            </a:graphic>
          </wp:inline>
        </w:drawing>
      </w:r>
    </w:p>
    <w:p w14:paraId="4926CF88" w14:textId="77777777" w:rsidR="003A5A50" w:rsidRDefault="00CB4873">
      <w:pPr>
        <w:pStyle w:val="bfigure-caption"/>
        <w:spacing w:before="280" w:after="280"/>
      </w:pPr>
      <w:r>
        <w:t>Figure 8. Gantry crane, side view.</w:t>
      </w:r>
      <w:r w:rsidR="00DB6C38">
        <w:t xml:space="preserve"> </w:t>
      </w:r>
      <w:r w:rsidR="00DB6C38">
        <w:br/>
      </w:r>
      <w:r>
        <w:t>Source: Climate Moonshot Business Plan; concept by Glenn Weinreb.</w:t>
      </w:r>
    </w:p>
    <w:p w14:paraId="70F478CF" w14:textId="77777777" w:rsidR="003A5A50" w:rsidRDefault="003A5A50">
      <w:pPr>
        <w:spacing w:before="280" w:after="280"/>
      </w:pPr>
    </w:p>
    <w:p w14:paraId="6DCB8652" w14:textId="77777777" w:rsidR="003A5A50" w:rsidRDefault="003A5A50">
      <w:pPr>
        <w:spacing w:before="280" w:after="280"/>
      </w:pPr>
    </w:p>
    <w:p w14:paraId="33ECF200" w14:textId="77777777" w:rsidR="003A5A50" w:rsidRDefault="003A5A50">
      <w:pPr>
        <w:spacing w:before="280" w:after="280"/>
      </w:pPr>
    </w:p>
    <w:p w14:paraId="240CA75E" w14:textId="77777777" w:rsidR="003A5A50" w:rsidRDefault="00CB4873">
      <w:pPr>
        <w:keepNext/>
        <w:spacing w:before="280" w:after="280"/>
      </w:pPr>
      <w:r>
        <w:rPr>
          <w:noProof/>
        </w:rPr>
        <w:lastRenderedPageBreak/>
        <w:drawing>
          <wp:inline distT="0" distB="0" distL="0" distR="0" wp14:anchorId="5C6329C1" wp14:editId="6345B48B">
            <wp:extent cx="6356350" cy="2679700"/>
            <wp:effectExtent l="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8"/>
                    <pic:cNvPicPr>
                      <a:picLocks noChangeAspect="1" noChangeArrowheads="1"/>
                    </pic:cNvPicPr>
                  </pic:nvPicPr>
                  <pic:blipFill>
                    <a:blip r:embed="rId34"/>
                    <a:stretch>
                      <a:fillRect/>
                    </a:stretch>
                  </pic:blipFill>
                  <pic:spPr bwMode="auto">
                    <a:xfrm>
                      <a:off x="0" y="0"/>
                      <a:ext cx="6356350" cy="2679700"/>
                    </a:xfrm>
                    <a:prstGeom prst="rect">
                      <a:avLst/>
                    </a:prstGeom>
                    <a:noFill/>
                  </pic:spPr>
                </pic:pic>
              </a:graphicData>
            </a:graphic>
          </wp:inline>
        </w:drawing>
      </w:r>
    </w:p>
    <w:p w14:paraId="147D91ED" w14:textId="77777777" w:rsidR="003A5A50" w:rsidRDefault="00CB4873">
      <w:pPr>
        <w:pStyle w:val="bfigure-caption"/>
        <w:spacing w:before="280" w:after="280"/>
      </w:pPr>
      <w:r>
        <w:t>Figure 9. Gantry crane, front view.</w:t>
      </w:r>
      <w:r>
        <w:br/>
        <w:t>Source: Climate Moonshot Business Plan; concept by Glenn Weinreb.</w:t>
      </w:r>
    </w:p>
    <w:p w14:paraId="3053DD3B" w14:textId="27D9D734" w:rsidR="003A5A50" w:rsidRPr="00EF2312" w:rsidRDefault="00DE3072" w:rsidP="00EF2312">
      <w:pPr>
        <w:pStyle w:val="Heading2"/>
      </w:pPr>
      <w:r>
        <w:t xml:space="preserve">Area </w:t>
      </w:r>
      <w:r w:rsidRPr="00EF2312">
        <w:t>5. Concrete, rebar, formwork, steel-liner, and structural automation - $150 million</w:t>
      </w:r>
    </w:p>
    <w:p w14:paraId="1C5AF9C0" w14:textId="77777777" w:rsidR="003A5A50" w:rsidRDefault="00CB4873">
      <w:pPr>
        <w:spacing w:before="280" w:after="280"/>
      </w:pPr>
      <w:r>
        <w:t>Automated structural construction for HTR lined excavations and PWR basemat/containment work, including rebar, embedments, concrete, steel liners, inspection, and digital records.</w:t>
      </w:r>
    </w:p>
    <w:tbl>
      <w:tblPr>
        <w:tblStyle w:val="gswTableStyle"/>
        <w:tblW w:w="9972" w:type="dxa"/>
        <w:tblLayout w:type="fixed"/>
        <w:tblLook w:val="04A0" w:firstRow="1" w:lastRow="0" w:firstColumn="1" w:lastColumn="0" w:noHBand="0" w:noVBand="1"/>
      </w:tblPr>
      <w:tblGrid>
        <w:gridCol w:w="1583"/>
        <w:gridCol w:w="7452"/>
        <w:gridCol w:w="937"/>
      </w:tblGrid>
      <w:tr w:rsidR="003A5A50" w14:paraId="2EA6E844" w14:textId="77777777" w:rsidTr="003A5A50">
        <w:trPr>
          <w:cnfStyle w:val="100000000000" w:firstRow="1" w:lastRow="0" w:firstColumn="0" w:lastColumn="0" w:oddVBand="0" w:evenVBand="0" w:oddHBand="0" w:evenHBand="0" w:firstRowFirstColumn="0" w:firstRowLastColumn="0" w:lastRowFirstColumn="0" w:lastRowLastColumn="0"/>
          <w:tblHeader/>
        </w:trPr>
        <w:tc>
          <w:tcPr>
            <w:tcW w:w="1583" w:type="dxa"/>
          </w:tcPr>
          <w:p w14:paraId="692C0201" w14:textId="77777777" w:rsidR="003A5A50" w:rsidRDefault="00CB4873">
            <w:pPr>
              <w:pStyle w:val="cTableHeader"/>
              <w:spacing w:before="0" w:after="0"/>
            </w:pPr>
            <w:r>
              <w:t>Subphase</w:t>
            </w:r>
          </w:p>
        </w:tc>
        <w:tc>
          <w:tcPr>
            <w:tcW w:w="7452" w:type="dxa"/>
          </w:tcPr>
          <w:p w14:paraId="5855D699" w14:textId="77777777" w:rsidR="003A5A50" w:rsidRDefault="00CB4873">
            <w:pPr>
              <w:pStyle w:val="cTableHeader"/>
              <w:spacing w:before="0" w:after="0"/>
            </w:pPr>
            <w:r>
              <w:t>Principal activity and deliverable</w:t>
            </w:r>
          </w:p>
        </w:tc>
        <w:tc>
          <w:tcPr>
            <w:tcW w:w="937" w:type="dxa"/>
          </w:tcPr>
          <w:p w14:paraId="70169D8C" w14:textId="77777777" w:rsidR="003A5A50" w:rsidRDefault="00CB4873">
            <w:pPr>
              <w:pStyle w:val="cTableHeader"/>
              <w:spacing w:before="0" w:after="0"/>
            </w:pPr>
            <w:r>
              <w:t>Cost</w:t>
            </w:r>
          </w:p>
        </w:tc>
      </w:tr>
      <w:tr w:rsidR="003A5A50" w14:paraId="5838F1DD" w14:textId="77777777" w:rsidTr="003A5A50">
        <w:tc>
          <w:tcPr>
            <w:tcW w:w="1583" w:type="dxa"/>
          </w:tcPr>
          <w:p w14:paraId="54293B77" w14:textId="77777777" w:rsidR="003A5A50" w:rsidRDefault="00CB4873">
            <w:pPr>
              <w:pStyle w:val="cTableBody"/>
              <w:spacing w:before="0" w:after="0"/>
            </w:pPr>
            <w:r>
              <w:t>5A</w:t>
            </w:r>
          </w:p>
        </w:tc>
        <w:tc>
          <w:tcPr>
            <w:tcW w:w="7452" w:type="dxa"/>
          </w:tcPr>
          <w:p w14:paraId="4CDB1800" w14:textId="77777777" w:rsidR="003A5A50" w:rsidRDefault="00CB4873">
            <w:pPr>
              <w:pStyle w:val="cTableBody"/>
              <w:spacing w:before="0" w:after="0"/>
            </w:pPr>
            <w:r>
              <w:t>Structural-system comparison, materials, and qualification plan</w:t>
            </w:r>
          </w:p>
        </w:tc>
        <w:tc>
          <w:tcPr>
            <w:tcW w:w="937" w:type="dxa"/>
          </w:tcPr>
          <w:p w14:paraId="0C3494B1" w14:textId="77777777" w:rsidR="003A5A50" w:rsidRDefault="00CB4873">
            <w:pPr>
              <w:pStyle w:val="cTableBody"/>
              <w:spacing w:before="0" w:after="0"/>
            </w:pPr>
            <w:r>
              <w:t>$15M</w:t>
            </w:r>
          </w:p>
        </w:tc>
      </w:tr>
      <w:tr w:rsidR="003A5A50" w14:paraId="3B70CB7E" w14:textId="77777777" w:rsidTr="003A5A50">
        <w:tc>
          <w:tcPr>
            <w:tcW w:w="1583" w:type="dxa"/>
          </w:tcPr>
          <w:p w14:paraId="1BA38188" w14:textId="77777777" w:rsidR="003A5A50" w:rsidRDefault="00CB4873">
            <w:pPr>
              <w:pStyle w:val="cTableBody"/>
              <w:spacing w:before="0" w:after="0"/>
            </w:pPr>
            <w:r>
              <w:t>5B</w:t>
            </w:r>
          </w:p>
        </w:tc>
        <w:tc>
          <w:tcPr>
            <w:tcW w:w="7452" w:type="dxa"/>
          </w:tcPr>
          <w:p w14:paraId="6AACF481" w14:textId="77777777" w:rsidR="003A5A50" w:rsidRDefault="00CB4873">
            <w:pPr>
              <w:pStyle w:val="cTableBody"/>
              <w:spacing w:before="0" w:after="0"/>
            </w:pPr>
            <w:r>
              <w:t>Automated rebar, embedments, anchors, and as-built verification</w:t>
            </w:r>
          </w:p>
        </w:tc>
        <w:tc>
          <w:tcPr>
            <w:tcW w:w="937" w:type="dxa"/>
          </w:tcPr>
          <w:p w14:paraId="082CD840" w14:textId="77777777" w:rsidR="003A5A50" w:rsidRDefault="00CB4873">
            <w:pPr>
              <w:pStyle w:val="cTableBody"/>
              <w:spacing w:before="0" w:after="0"/>
            </w:pPr>
            <w:r>
              <w:t>$30M</w:t>
            </w:r>
          </w:p>
        </w:tc>
      </w:tr>
      <w:tr w:rsidR="003A5A50" w14:paraId="31844C77" w14:textId="77777777" w:rsidTr="003A5A50">
        <w:tc>
          <w:tcPr>
            <w:tcW w:w="1583" w:type="dxa"/>
          </w:tcPr>
          <w:p w14:paraId="713B7C1C" w14:textId="77777777" w:rsidR="003A5A50" w:rsidRDefault="00CB4873">
            <w:pPr>
              <w:pStyle w:val="cTableBody"/>
              <w:spacing w:before="0" w:after="0"/>
            </w:pPr>
            <w:r>
              <w:t>5C</w:t>
            </w:r>
          </w:p>
        </w:tc>
        <w:tc>
          <w:tcPr>
            <w:tcW w:w="7452" w:type="dxa"/>
          </w:tcPr>
          <w:p w14:paraId="12152820" w14:textId="77777777" w:rsidR="003A5A50" w:rsidRDefault="00CB4873">
            <w:pPr>
              <w:pStyle w:val="cTableBody"/>
              <w:spacing w:before="0" w:after="0"/>
            </w:pPr>
            <w:r>
              <w:t>Modular formwork, batching, placement, curing, sensing, and concrete inspection</w:t>
            </w:r>
          </w:p>
        </w:tc>
        <w:tc>
          <w:tcPr>
            <w:tcW w:w="937" w:type="dxa"/>
          </w:tcPr>
          <w:p w14:paraId="50B1011B" w14:textId="77777777" w:rsidR="003A5A50" w:rsidRDefault="00CB4873">
            <w:pPr>
              <w:pStyle w:val="cTableBody"/>
              <w:spacing w:before="0" w:after="0"/>
            </w:pPr>
            <w:r>
              <w:t>$25M</w:t>
            </w:r>
          </w:p>
        </w:tc>
      </w:tr>
      <w:tr w:rsidR="003A5A50" w14:paraId="602DB78F" w14:textId="77777777" w:rsidTr="003A5A50">
        <w:tc>
          <w:tcPr>
            <w:tcW w:w="1583" w:type="dxa"/>
          </w:tcPr>
          <w:p w14:paraId="3B763B09" w14:textId="77777777" w:rsidR="003A5A50" w:rsidRDefault="00CB4873">
            <w:pPr>
              <w:pStyle w:val="cTableBody"/>
              <w:spacing w:before="0" w:after="0"/>
            </w:pPr>
            <w:r>
              <w:t>5D</w:t>
            </w:r>
          </w:p>
        </w:tc>
        <w:tc>
          <w:tcPr>
            <w:tcW w:w="7452" w:type="dxa"/>
          </w:tcPr>
          <w:p w14:paraId="41C39EE3" w14:textId="77777777" w:rsidR="003A5A50" w:rsidRDefault="00CB4873">
            <w:pPr>
              <w:pStyle w:val="cTableBody"/>
              <w:spacing w:before="0" w:after="0"/>
            </w:pPr>
            <w:r>
              <w:t>PWR steel-liner and structural-module fabrication/installation automation</w:t>
            </w:r>
          </w:p>
        </w:tc>
        <w:tc>
          <w:tcPr>
            <w:tcW w:w="937" w:type="dxa"/>
          </w:tcPr>
          <w:p w14:paraId="08B34369" w14:textId="77777777" w:rsidR="003A5A50" w:rsidRDefault="00CB4873">
            <w:pPr>
              <w:pStyle w:val="cTableBody"/>
              <w:spacing w:before="0" w:after="0"/>
            </w:pPr>
            <w:r>
              <w:t>$25M</w:t>
            </w:r>
          </w:p>
        </w:tc>
      </w:tr>
      <w:tr w:rsidR="003A5A50" w14:paraId="67B45656" w14:textId="77777777" w:rsidTr="003A5A50">
        <w:tc>
          <w:tcPr>
            <w:tcW w:w="1583" w:type="dxa"/>
          </w:tcPr>
          <w:p w14:paraId="54E7CD6D" w14:textId="77777777" w:rsidR="003A5A50" w:rsidRDefault="00CB4873">
            <w:pPr>
              <w:pStyle w:val="cTableBody"/>
              <w:spacing w:before="0" w:after="0"/>
            </w:pPr>
            <w:r>
              <w:t>5E</w:t>
            </w:r>
          </w:p>
        </w:tc>
        <w:tc>
          <w:tcPr>
            <w:tcW w:w="7452" w:type="dxa"/>
          </w:tcPr>
          <w:p w14:paraId="5BC0BEB0" w14:textId="77777777" w:rsidR="003A5A50" w:rsidRDefault="00CB4873">
            <w:pPr>
              <w:pStyle w:val="cTableBody"/>
              <w:spacing w:before="0" w:after="0"/>
            </w:pPr>
            <w:r>
              <w:t>Full-scale HTR lining and PWR basemat/containment representative demonstrations</w:t>
            </w:r>
          </w:p>
        </w:tc>
        <w:tc>
          <w:tcPr>
            <w:tcW w:w="937" w:type="dxa"/>
          </w:tcPr>
          <w:p w14:paraId="0C605BF4" w14:textId="77777777" w:rsidR="003A5A50" w:rsidRDefault="00CB4873">
            <w:pPr>
              <w:pStyle w:val="cTableBody"/>
              <w:spacing w:before="0" w:after="0"/>
            </w:pPr>
            <w:r>
              <w:t>$40M</w:t>
            </w:r>
          </w:p>
        </w:tc>
      </w:tr>
      <w:tr w:rsidR="003A5A50" w14:paraId="37C1690F" w14:textId="77777777" w:rsidTr="003A5A50">
        <w:tc>
          <w:tcPr>
            <w:tcW w:w="1583" w:type="dxa"/>
          </w:tcPr>
          <w:p w14:paraId="0C611203" w14:textId="77777777" w:rsidR="003A5A50" w:rsidRDefault="00CB4873">
            <w:pPr>
              <w:pStyle w:val="cTableBody"/>
              <w:spacing w:before="0" w:after="0"/>
            </w:pPr>
            <w:r>
              <w:t>5F</w:t>
            </w:r>
          </w:p>
        </w:tc>
        <w:tc>
          <w:tcPr>
            <w:tcW w:w="7452" w:type="dxa"/>
          </w:tcPr>
          <w:p w14:paraId="02FCBEBB" w14:textId="77777777" w:rsidR="003A5A50" w:rsidRDefault="00CB4873">
            <w:pPr>
              <w:pStyle w:val="cTableBody"/>
              <w:spacing w:before="0" w:after="0"/>
            </w:pPr>
            <w:r>
              <w:t>Reliability, code support, and final construction package</w:t>
            </w:r>
          </w:p>
        </w:tc>
        <w:tc>
          <w:tcPr>
            <w:tcW w:w="937" w:type="dxa"/>
          </w:tcPr>
          <w:p w14:paraId="352DC3E8" w14:textId="77777777" w:rsidR="003A5A50" w:rsidRDefault="00CB4873">
            <w:pPr>
              <w:pStyle w:val="cTableBody"/>
              <w:spacing w:before="0" w:after="0"/>
            </w:pPr>
            <w:r>
              <w:t>$15M</w:t>
            </w:r>
          </w:p>
        </w:tc>
      </w:tr>
    </w:tbl>
    <w:p w14:paraId="11E843C3" w14:textId="77777777" w:rsidR="003A5A50" w:rsidRDefault="00CB4873">
      <w:pPr>
        <w:keepNext/>
        <w:spacing w:before="280" w:after="280"/>
        <w:jc w:val="center"/>
      </w:pPr>
      <w:r>
        <w:rPr>
          <w:noProof/>
        </w:rPr>
        <w:lastRenderedPageBreak/>
        <w:drawing>
          <wp:inline distT="0" distB="0" distL="0" distR="0" wp14:anchorId="042C13C3" wp14:editId="29FEDC75">
            <wp:extent cx="4503420" cy="294640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pic:cNvPicPr>
                      <a:picLocks noChangeAspect="1" noChangeArrowheads="1"/>
                    </pic:cNvPicPr>
                  </pic:nvPicPr>
                  <pic:blipFill>
                    <a:blip r:embed="rId35"/>
                    <a:stretch>
                      <a:fillRect/>
                    </a:stretch>
                  </pic:blipFill>
                  <pic:spPr bwMode="auto">
                    <a:xfrm>
                      <a:off x="0" y="0"/>
                      <a:ext cx="4503420" cy="2946400"/>
                    </a:xfrm>
                    <a:prstGeom prst="rect">
                      <a:avLst/>
                    </a:prstGeom>
                    <a:noFill/>
                  </pic:spPr>
                </pic:pic>
              </a:graphicData>
            </a:graphic>
          </wp:inline>
        </w:drawing>
      </w:r>
      <w:r>
        <w:t xml:space="preserve">  </w:t>
      </w:r>
      <w:r>
        <w:rPr>
          <w:noProof/>
        </w:rPr>
        <w:drawing>
          <wp:inline distT="0" distB="0" distL="0" distR="0" wp14:anchorId="315C4C52" wp14:editId="3CE8BB22">
            <wp:extent cx="1471930" cy="2590800"/>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pic:cNvPicPr>
                      <a:picLocks noChangeAspect="1" noChangeArrowheads="1"/>
                    </pic:cNvPicPr>
                  </pic:nvPicPr>
                  <pic:blipFill>
                    <a:blip r:embed="rId36"/>
                    <a:stretch>
                      <a:fillRect/>
                    </a:stretch>
                  </pic:blipFill>
                  <pic:spPr bwMode="auto">
                    <a:xfrm>
                      <a:off x="0" y="0"/>
                      <a:ext cx="1471930" cy="2590800"/>
                    </a:xfrm>
                    <a:prstGeom prst="rect">
                      <a:avLst/>
                    </a:prstGeom>
                    <a:noFill/>
                  </pic:spPr>
                </pic:pic>
              </a:graphicData>
            </a:graphic>
          </wp:inline>
        </w:drawing>
      </w:r>
    </w:p>
    <w:p w14:paraId="167C451E" w14:textId="77777777" w:rsidR="003A5A50" w:rsidRDefault="00CB4873">
      <w:pPr>
        <w:pStyle w:val="bfigure-caption"/>
        <w:spacing w:before="280" w:after="280"/>
        <w:rPr>
          <w:sz w:val="36"/>
        </w:rPr>
      </w:pPr>
      <w:r>
        <w:t xml:space="preserve">Figure 10. Conceptual rebar cage transported on a large rail platform; similar off-site fabrication principles can be tested for PWR reinforcement assemblies. </w:t>
      </w:r>
      <w:r>
        <w:br/>
        <w:t>Source: Climate Moonshot Business Plan; concept by Glenn Weinreb.</w:t>
      </w:r>
      <w:r>
        <w:br w:type="page"/>
      </w:r>
    </w:p>
    <w:p w14:paraId="387448FF" w14:textId="6B219CD0" w:rsidR="003A5A50" w:rsidRPr="00EF2312" w:rsidRDefault="00DE3072" w:rsidP="00EF2312">
      <w:pPr>
        <w:pStyle w:val="Heading2"/>
      </w:pPr>
      <w:r>
        <w:lastRenderedPageBreak/>
        <w:t xml:space="preserve">Area </w:t>
      </w:r>
      <w:r w:rsidRPr="00EF2312">
        <w:t>6. Heavy-module transport and site-logistics system - $80 million</w:t>
      </w:r>
    </w:p>
    <w:p w14:paraId="602121D9" w14:textId="77777777" w:rsidR="003A5A50" w:rsidRDefault="00CB4873">
      <w:pPr>
        <w:spacing w:before="280" w:after="280"/>
      </w:pPr>
      <w:r>
        <w:t>Reusable transport and staging systems for factory-to-site movement of HTR modules and PWR structural/mechanical modules, with standardized site handoff interfaces.</w:t>
      </w:r>
    </w:p>
    <w:tbl>
      <w:tblPr>
        <w:tblStyle w:val="gswTableStyle"/>
        <w:tblW w:w="10062" w:type="dxa"/>
        <w:tblLayout w:type="fixed"/>
        <w:tblLook w:val="04A0" w:firstRow="1" w:lastRow="0" w:firstColumn="1" w:lastColumn="0" w:noHBand="0" w:noVBand="1"/>
      </w:tblPr>
      <w:tblGrid>
        <w:gridCol w:w="1583"/>
        <w:gridCol w:w="7543"/>
        <w:gridCol w:w="936"/>
      </w:tblGrid>
      <w:tr w:rsidR="003A5A50" w14:paraId="63B14EBB" w14:textId="77777777" w:rsidTr="003A5A50">
        <w:trPr>
          <w:cnfStyle w:val="100000000000" w:firstRow="1" w:lastRow="0" w:firstColumn="0" w:lastColumn="0" w:oddVBand="0" w:evenVBand="0" w:oddHBand="0" w:evenHBand="0" w:firstRowFirstColumn="0" w:firstRowLastColumn="0" w:lastRowFirstColumn="0" w:lastRowLastColumn="0"/>
          <w:tblHeader/>
        </w:trPr>
        <w:tc>
          <w:tcPr>
            <w:tcW w:w="1583" w:type="dxa"/>
          </w:tcPr>
          <w:p w14:paraId="721C590C" w14:textId="77777777" w:rsidR="003A5A50" w:rsidRDefault="00CB4873">
            <w:pPr>
              <w:pStyle w:val="cTableHeader"/>
              <w:spacing w:before="0" w:after="0"/>
            </w:pPr>
            <w:r>
              <w:t>Subphase</w:t>
            </w:r>
          </w:p>
        </w:tc>
        <w:tc>
          <w:tcPr>
            <w:tcW w:w="7543" w:type="dxa"/>
          </w:tcPr>
          <w:p w14:paraId="44910BAF" w14:textId="77777777" w:rsidR="003A5A50" w:rsidRDefault="00CB4873">
            <w:pPr>
              <w:pStyle w:val="cTableHeader"/>
              <w:spacing w:before="0" w:after="0"/>
            </w:pPr>
            <w:r>
              <w:t>Principal activity and deliverable</w:t>
            </w:r>
          </w:p>
        </w:tc>
        <w:tc>
          <w:tcPr>
            <w:tcW w:w="936" w:type="dxa"/>
          </w:tcPr>
          <w:p w14:paraId="0B7A08D3" w14:textId="77777777" w:rsidR="003A5A50" w:rsidRDefault="00CB4873">
            <w:pPr>
              <w:pStyle w:val="cTableHeader"/>
              <w:spacing w:before="0" w:after="0"/>
            </w:pPr>
            <w:r>
              <w:t>Cost</w:t>
            </w:r>
          </w:p>
        </w:tc>
      </w:tr>
      <w:tr w:rsidR="003A5A50" w14:paraId="5DCF6530" w14:textId="77777777" w:rsidTr="003A5A50">
        <w:tc>
          <w:tcPr>
            <w:tcW w:w="1583" w:type="dxa"/>
          </w:tcPr>
          <w:p w14:paraId="24265219" w14:textId="77777777" w:rsidR="003A5A50" w:rsidRDefault="00CB4873">
            <w:pPr>
              <w:pStyle w:val="cTableBody"/>
              <w:spacing w:before="0" w:after="0"/>
            </w:pPr>
            <w:r>
              <w:t>6A</w:t>
            </w:r>
          </w:p>
        </w:tc>
        <w:tc>
          <w:tcPr>
            <w:tcW w:w="7543" w:type="dxa"/>
          </w:tcPr>
          <w:p w14:paraId="6D284DB7" w14:textId="77777777" w:rsidR="003A5A50" w:rsidRDefault="00CB4873">
            <w:pPr>
              <w:pStyle w:val="cTableBody"/>
              <w:spacing w:before="0" w:after="0"/>
            </w:pPr>
            <w:r>
              <w:t>Cargo, route, bridge, port, factory, and site-interface requirements</w:t>
            </w:r>
          </w:p>
        </w:tc>
        <w:tc>
          <w:tcPr>
            <w:tcW w:w="936" w:type="dxa"/>
          </w:tcPr>
          <w:p w14:paraId="3E3A4E02" w14:textId="77777777" w:rsidR="003A5A50" w:rsidRDefault="00CB4873">
            <w:pPr>
              <w:pStyle w:val="cTableBody"/>
              <w:spacing w:before="0" w:after="0"/>
            </w:pPr>
            <w:r>
              <w:t>$8M</w:t>
            </w:r>
          </w:p>
        </w:tc>
      </w:tr>
      <w:tr w:rsidR="003A5A50" w14:paraId="1073BCD3" w14:textId="77777777" w:rsidTr="003A5A50">
        <w:tc>
          <w:tcPr>
            <w:tcW w:w="1583" w:type="dxa"/>
          </w:tcPr>
          <w:p w14:paraId="7869C0B2" w14:textId="77777777" w:rsidR="003A5A50" w:rsidRDefault="00CB4873">
            <w:pPr>
              <w:pStyle w:val="cTableBody"/>
              <w:spacing w:before="0" w:after="0"/>
            </w:pPr>
            <w:r>
              <w:t>6B</w:t>
            </w:r>
          </w:p>
        </w:tc>
        <w:tc>
          <w:tcPr>
            <w:tcW w:w="7543" w:type="dxa"/>
          </w:tcPr>
          <w:p w14:paraId="0C1259D7" w14:textId="77777777" w:rsidR="003A5A50" w:rsidRDefault="00CB4873">
            <w:pPr>
              <w:pStyle w:val="cTableBody"/>
              <w:spacing w:before="0" w:after="0"/>
            </w:pPr>
            <w:r>
              <w:t>Standardized rail/SPMT/heavy-transport platform design competition</w:t>
            </w:r>
          </w:p>
        </w:tc>
        <w:tc>
          <w:tcPr>
            <w:tcW w:w="936" w:type="dxa"/>
          </w:tcPr>
          <w:p w14:paraId="370D333F" w14:textId="77777777" w:rsidR="003A5A50" w:rsidRDefault="00CB4873">
            <w:pPr>
              <w:pStyle w:val="cTableBody"/>
              <w:spacing w:before="0" w:after="0"/>
            </w:pPr>
            <w:r>
              <w:t>$14M</w:t>
            </w:r>
          </w:p>
        </w:tc>
      </w:tr>
      <w:tr w:rsidR="003A5A50" w14:paraId="7339A599" w14:textId="77777777" w:rsidTr="003A5A50">
        <w:tc>
          <w:tcPr>
            <w:tcW w:w="1583" w:type="dxa"/>
          </w:tcPr>
          <w:p w14:paraId="431FA253" w14:textId="77777777" w:rsidR="003A5A50" w:rsidRDefault="00CB4873">
            <w:pPr>
              <w:pStyle w:val="cTableBody"/>
              <w:spacing w:before="0" w:after="0"/>
            </w:pPr>
            <w:r>
              <w:t>6C</w:t>
            </w:r>
          </w:p>
        </w:tc>
        <w:tc>
          <w:tcPr>
            <w:tcW w:w="7543" w:type="dxa"/>
          </w:tcPr>
          <w:p w14:paraId="2FA3226B" w14:textId="77777777" w:rsidR="003A5A50" w:rsidRDefault="00CB4873">
            <w:pPr>
              <w:pStyle w:val="cTableBody"/>
              <w:spacing w:before="0" w:after="0"/>
            </w:pPr>
            <w:r>
              <w:t>Loading, transfer, temporary track/road, staging, and route equipment</w:t>
            </w:r>
          </w:p>
        </w:tc>
        <w:tc>
          <w:tcPr>
            <w:tcW w:w="936" w:type="dxa"/>
          </w:tcPr>
          <w:p w14:paraId="206C3BAA" w14:textId="77777777" w:rsidR="003A5A50" w:rsidRDefault="00CB4873">
            <w:pPr>
              <w:pStyle w:val="cTableBody"/>
              <w:spacing w:before="0" w:after="0"/>
            </w:pPr>
            <w:r>
              <w:t>$10M</w:t>
            </w:r>
          </w:p>
        </w:tc>
      </w:tr>
      <w:tr w:rsidR="003A5A50" w14:paraId="508892D9" w14:textId="77777777" w:rsidTr="003A5A50">
        <w:tc>
          <w:tcPr>
            <w:tcW w:w="1583" w:type="dxa"/>
          </w:tcPr>
          <w:p w14:paraId="0592CB4F" w14:textId="77777777" w:rsidR="003A5A50" w:rsidRDefault="00CB4873">
            <w:pPr>
              <w:pStyle w:val="cTableBody"/>
              <w:spacing w:before="0" w:after="0"/>
            </w:pPr>
            <w:r>
              <w:t>6D</w:t>
            </w:r>
          </w:p>
        </w:tc>
        <w:tc>
          <w:tcPr>
            <w:tcW w:w="7543" w:type="dxa"/>
          </w:tcPr>
          <w:p w14:paraId="6B8E3864" w14:textId="77777777" w:rsidR="003A5A50" w:rsidRDefault="00CB4873">
            <w:pPr>
              <w:pStyle w:val="cTableBody"/>
              <w:spacing w:before="0" w:after="0"/>
            </w:pPr>
            <w:r>
              <w:t>Prototype transport-platform and transfer-equipment fabrication</w:t>
            </w:r>
          </w:p>
        </w:tc>
        <w:tc>
          <w:tcPr>
            <w:tcW w:w="936" w:type="dxa"/>
          </w:tcPr>
          <w:p w14:paraId="4A1631FD" w14:textId="77777777" w:rsidR="003A5A50" w:rsidRDefault="00CB4873">
            <w:pPr>
              <w:pStyle w:val="cTableBody"/>
              <w:spacing w:before="0" w:after="0"/>
            </w:pPr>
            <w:r>
              <w:t>$22M</w:t>
            </w:r>
          </w:p>
        </w:tc>
      </w:tr>
      <w:tr w:rsidR="003A5A50" w14:paraId="03A749C9" w14:textId="77777777" w:rsidTr="003A5A50">
        <w:tc>
          <w:tcPr>
            <w:tcW w:w="1583" w:type="dxa"/>
          </w:tcPr>
          <w:p w14:paraId="227663CE" w14:textId="77777777" w:rsidR="003A5A50" w:rsidRDefault="00CB4873">
            <w:pPr>
              <w:pStyle w:val="cTableBody"/>
              <w:spacing w:before="0" w:after="0"/>
            </w:pPr>
            <w:r>
              <w:t>6E</w:t>
            </w:r>
          </w:p>
        </w:tc>
        <w:tc>
          <w:tcPr>
            <w:tcW w:w="7543" w:type="dxa"/>
          </w:tcPr>
          <w:p w14:paraId="32DF8890" w14:textId="77777777" w:rsidR="003A5A50" w:rsidRDefault="00CB4873">
            <w:pPr>
              <w:pStyle w:val="cTableBody"/>
              <w:spacing w:before="0" w:after="0"/>
            </w:pPr>
            <w:r>
              <w:t>Loaded route, curve, grade, transfer, and crane/gantry-handoff demonstrations</w:t>
            </w:r>
          </w:p>
        </w:tc>
        <w:tc>
          <w:tcPr>
            <w:tcW w:w="936" w:type="dxa"/>
          </w:tcPr>
          <w:p w14:paraId="4486D507" w14:textId="77777777" w:rsidR="003A5A50" w:rsidRDefault="00CB4873">
            <w:pPr>
              <w:pStyle w:val="cTableBody"/>
              <w:spacing w:before="0" w:after="0"/>
            </w:pPr>
            <w:r>
              <w:t>$18M</w:t>
            </w:r>
          </w:p>
        </w:tc>
      </w:tr>
      <w:tr w:rsidR="003A5A50" w14:paraId="0AF8EF84" w14:textId="77777777" w:rsidTr="003A5A50">
        <w:tc>
          <w:tcPr>
            <w:tcW w:w="1583" w:type="dxa"/>
          </w:tcPr>
          <w:p w14:paraId="43C64823" w14:textId="77777777" w:rsidR="003A5A50" w:rsidRDefault="00CB4873">
            <w:pPr>
              <w:pStyle w:val="cTableBody"/>
              <w:spacing w:before="0" w:after="0"/>
            </w:pPr>
            <w:r>
              <w:t>6F</w:t>
            </w:r>
          </w:p>
        </w:tc>
        <w:tc>
          <w:tcPr>
            <w:tcW w:w="7543" w:type="dxa"/>
          </w:tcPr>
          <w:p w14:paraId="28CA2F52" w14:textId="77777777" w:rsidR="003A5A50" w:rsidRDefault="00CB4873">
            <w:pPr>
              <w:pStyle w:val="cTableBody"/>
              <w:spacing w:before="0" w:after="0"/>
            </w:pPr>
            <w:r>
              <w:t>Open interface standard and deployment package</w:t>
            </w:r>
          </w:p>
        </w:tc>
        <w:tc>
          <w:tcPr>
            <w:tcW w:w="936" w:type="dxa"/>
          </w:tcPr>
          <w:p w14:paraId="6F863700" w14:textId="77777777" w:rsidR="003A5A50" w:rsidRDefault="00CB4873">
            <w:pPr>
              <w:pStyle w:val="cTableBody"/>
              <w:spacing w:before="0" w:after="0"/>
            </w:pPr>
            <w:r>
              <w:t>$8M</w:t>
            </w:r>
          </w:p>
        </w:tc>
      </w:tr>
    </w:tbl>
    <w:p w14:paraId="0B095FD1" w14:textId="77777777" w:rsidR="003A5A50" w:rsidRDefault="00CB4873">
      <w:pPr>
        <w:keepNext/>
        <w:spacing w:before="280" w:after="280"/>
        <w:jc w:val="center"/>
      </w:pPr>
      <w:r>
        <w:rPr>
          <w:noProof/>
        </w:rPr>
        <w:drawing>
          <wp:inline distT="0" distB="0" distL="0" distR="0" wp14:anchorId="475FDCEB" wp14:editId="43AB0DD8">
            <wp:extent cx="6013450" cy="3409315"/>
            <wp:effectExtent l="0" t="0" r="0" b="0"/>
            <wp:docPr id="1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
                    <pic:cNvPicPr>
                      <a:picLocks noChangeAspect="1" noChangeArrowheads="1"/>
                    </pic:cNvPicPr>
                  </pic:nvPicPr>
                  <pic:blipFill>
                    <a:blip r:embed="rId37"/>
                    <a:stretch>
                      <a:fillRect/>
                    </a:stretch>
                  </pic:blipFill>
                  <pic:spPr bwMode="auto">
                    <a:xfrm>
                      <a:off x="0" y="0"/>
                      <a:ext cx="6013450" cy="3409315"/>
                    </a:xfrm>
                    <a:prstGeom prst="rect">
                      <a:avLst/>
                    </a:prstGeom>
                    <a:noFill/>
                  </pic:spPr>
                </pic:pic>
              </a:graphicData>
            </a:graphic>
          </wp:inline>
        </w:drawing>
      </w:r>
    </w:p>
    <w:p w14:paraId="01AD85A2" w14:textId="77777777" w:rsidR="003A5A50" w:rsidRDefault="00CB4873">
      <w:pPr>
        <w:pStyle w:val="bfigure-caption"/>
        <w:spacing w:before="280" w:after="280"/>
        <w:rPr>
          <w:sz w:val="36"/>
        </w:rPr>
      </w:pPr>
      <w:r>
        <w:t>Figure 11. Double-width railcars or multi-rail platforms support large and heavy loads; the program would compare rail, SPMT, and site-specific alternatives.</w:t>
      </w:r>
      <w:r>
        <w:br/>
      </w:r>
      <w:r>
        <w:t>Source: Climate Moonshot Business Plan; concept by Glenn Weinreb.</w:t>
      </w:r>
    </w:p>
    <w:p w14:paraId="78EC4DDF" w14:textId="77777777" w:rsidR="003A5A50" w:rsidRDefault="00CB4873">
      <w:pPr>
        <w:keepNext/>
        <w:spacing w:before="280" w:after="280"/>
        <w:jc w:val="center"/>
      </w:pPr>
      <w:r>
        <w:rPr>
          <w:noProof/>
        </w:rPr>
        <w:lastRenderedPageBreak/>
        <w:drawing>
          <wp:inline distT="0" distB="0" distL="0" distR="0" wp14:anchorId="143EF595" wp14:editId="4E600E00">
            <wp:extent cx="3429000" cy="2284095"/>
            <wp:effectExtent l="0" t="0" r="0" b="0"/>
            <wp:docPr id="1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
                    <pic:cNvPicPr>
                      <a:picLocks noChangeAspect="1" noChangeArrowheads="1"/>
                    </pic:cNvPicPr>
                  </pic:nvPicPr>
                  <pic:blipFill>
                    <a:blip r:embed="rId38"/>
                    <a:stretch>
                      <a:fillRect/>
                    </a:stretch>
                  </pic:blipFill>
                  <pic:spPr bwMode="auto">
                    <a:xfrm>
                      <a:off x="0" y="0"/>
                      <a:ext cx="3429000" cy="2284095"/>
                    </a:xfrm>
                    <a:prstGeom prst="rect">
                      <a:avLst/>
                    </a:prstGeom>
                    <a:noFill/>
                  </pic:spPr>
                </pic:pic>
              </a:graphicData>
            </a:graphic>
          </wp:inline>
        </w:drawing>
      </w:r>
    </w:p>
    <w:p w14:paraId="1C7462CC" w14:textId="77777777" w:rsidR="003A5A50" w:rsidRDefault="00CB4873">
      <w:pPr>
        <w:pStyle w:val="bfigure-caption"/>
        <w:spacing w:before="280" w:after="280"/>
        <w:rPr>
          <w:sz w:val="36"/>
        </w:rPr>
      </w:pPr>
      <w:r>
        <w:t>Figure 12. Equipment bins or modules are transported from factory or shipyard to the nuclear site; module envelopes differ between HTR and PWR tracks.</w:t>
      </w:r>
      <w:r>
        <w:br/>
        <w:t>Source: Climate Moonshot Business Plan; concept by Glenn Weinreb.</w:t>
      </w:r>
    </w:p>
    <w:p w14:paraId="37FEDD30" w14:textId="77777777" w:rsidR="003A5A50" w:rsidRDefault="00CB4873">
      <w:pPr>
        <w:keepNext/>
        <w:spacing w:before="280" w:after="280"/>
        <w:jc w:val="center"/>
      </w:pPr>
      <w:r>
        <w:rPr>
          <w:noProof/>
        </w:rPr>
        <w:drawing>
          <wp:inline distT="0" distB="0" distL="0" distR="0" wp14:anchorId="5605EAAB" wp14:editId="3C0885B4">
            <wp:extent cx="5594350" cy="3726180"/>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
                    <pic:cNvPicPr>
                      <a:picLocks noChangeAspect="1" noChangeArrowheads="1"/>
                    </pic:cNvPicPr>
                  </pic:nvPicPr>
                  <pic:blipFill>
                    <a:blip r:embed="rId39"/>
                    <a:stretch>
                      <a:fillRect/>
                    </a:stretch>
                  </pic:blipFill>
                  <pic:spPr bwMode="auto">
                    <a:xfrm>
                      <a:off x="0" y="0"/>
                      <a:ext cx="5594350" cy="3726180"/>
                    </a:xfrm>
                    <a:prstGeom prst="rect">
                      <a:avLst/>
                    </a:prstGeom>
                    <a:noFill/>
                  </pic:spPr>
                </pic:pic>
              </a:graphicData>
            </a:graphic>
          </wp:inline>
        </w:drawing>
      </w:r>
    </w:p>
    <w:p w14:paraId="4778534D" w14:textId="77777777" w:rsidR="003A5A50" w:rsidRDefault="00CB4873">
      <w:pPr>
        <w:pStyle w:val="bfigure-caption"/>
        <w:spacing w:before="280" w:after="280"/>
        <w:rPr>
          <w:sz w:val="36"/>
        </w:rPr>
      </w:pPr>
      <w:r>
        <w:t>Figure 13. HTR-track equipment modules mounted in concrete-lined cavities.</w:t>
      </w:r>
      <w:r>
        <w:br/>
        <w:t>Source: Climate Moonshot Business Plan; concept by Glenn Weinreb.</w:t>
      </w:r>
      <w:r>
        <w:br w:type="page"/>
      </w:r>
    </w:p>
    <w:p w14:paraId="6E209B25" w14:textId="0389CDE1" w:rsidR="003A5A50" w:rsidRPr="00EF2312" w:rsidRDefault="00DE3072" w:rsidP="00EF2312">
      <w:pPr>
        <w:pStyle w:val="Heading2"/>
      </w:pPr>
      <w:r>
        <w:lastRenderedPageBreak/>
        <w:t xml:space="preserve">Area </w:t>
      </w:r>
      <w:r w:rsidRPr="00EF2312">
        <w:t>7. Reactor-island and support-module installation automation - $85 million</w:t>
      </w:r>
    </w:p>
    <w:p w14:paraId="73ECC30A" w14:textId="77777777" w:rsidR="003A5A50" w:rsidRDefault="00CB4873">
      <w:pPr>
        <w:spacing w:before="280" w:after="280"/>
      </w:pPr>
      <w:r>
        <w:t>Mockups and tools to transport, position, align, connect, inspect, and repeatedly install major HTR and PWR components without nuclear material.</w:t>
      </w:r>
    </w:p>
    <w:tbl>
      <w:tblPr>
        <w:tblStyle w:val="gswTableStyle"/>
        <w:tblW w:w="10152" w:type="dxa"/>
        <w:tblLayout w:type="fixed"/>
        <w:tblLook w:val="04A0" w:firstRow="1" w:lastRow="0" w:firstColumn="1" w:lastColumn="0" w:noHBand="0" w:noVBand="1"/>
      </w:tblPr>
      <w:tblGrid>
        <w:gridCol w:w="1583"/>
        <w:gridCol w:w="7632"/>
        <w:gridCol w:w="937"/>
      </w:tblGrid>
      <w:tr w:rsidR="003A5A50" w14:paraId="76289B0F" w14:textId="77777777" w:rsidTr="003A5A50">
        <w:trPr>
          <w:cnfStyle w:val="100000000000" w:firstRow="1" w:lastRow="0" w:firstColumn="0" w:lastColumn="0" w:oddVBand="0" w:evenVBand="0" w:oddHBand="0" w:evenHBand="0" w:firstRowFirstColumn="0" w:firstRowLastColumn="0" w:lastRowFirstColumn="0" w:lastRowLastColumn="0"/>
          <w:tblHeader/>
        </w:trPr>
        <w:tc>
          <w:tcPr>
            <w:tcW w:w="1583" w:type="dxa"/>
          </w:tcPr>
          <w:p w14:paraId="5D034659" w14:textId="77777777" w:rsidR="003A5A50" w:rsidRDefault="00CB4873">
            <w:pPr>
              <w:pStyle w:val="cTableHeader"/>
              <w:spacing w:before="0" w:after="0"/>
            </w:pPr>
            <w:r>
              <w:t>Subphase</w:t>
            </w:r>
          </w:p>
        </w:tc>
        <w:tc>
          <w:tcPr>
            <w:tcW w:w="7632" w:type="dxa"/>
          </w:tcPr>
          <w:p w14:paraId="61AEBDF0" w14:textId="77777777" w:rsidR="003A5A50" w:rsidRDefault="00CB4873">
            <w:pPr>
              <w:pStyle w:val="cTableHeader"/>
              <w:spacing w:before="0" w:after="0"/>
            </w:pPr>
            <w:r>
              <w:t>Principal activity and deliverable</w:t>
            </w:r>
          </w:p>
        </w:tc>
        <w:tc>
          <w:tcPr>
            <w:tcW w:w="937" w:type="dxa"/>
          </w:tcPr>
          <w:p w14:paraId="07B998D3" w14:textId="77777777" w:rsidR="003A5A50" w:rsidRDefault="00CB4873">
            <w:pPr>
              <w:pStyle w:val="cTableHeader"/>
              <w:spacing w:before="0" w:after="0"/>
            </w:pPr>
            <w:r>
              <w:t>Cost</w:t>
            </w:r>
          </w:p>
        </w:tc>
      </w:tr>
      <w:tr w:rsidR="003A5A50" w14:paraId="2D9E7C09" w14:textId="77777777" w:rsidTr="003A5A50">
        <w:tc>
          <w:tcPr>
            <w:tcW w:w="1583" w:type="dxa"/>
          </w:tcPr>
          <w:p w14:paraId="0ED18870" w14:textId="77777777" w:rsidR="003A5A50" w:rsidRDefault="00CB4873">
            <w:pPr>
              <w:pStyle w:val="cTableBody"/>
              <w:spacing w:before="0" w:after="0"/>
            </w:pPr>
            <w:r>
              <w:t>7A</w:t>
            </w:r>
          </w:p>
        </w:tc>
        <w:tc>
          <w:tcPr>
            <w:tcW w:w="7632" w:type="dxa"/>
          </w:tcPr>
          <w:p w14:paraId="176BD914" w14:textId="77777777" w:rsidR="003A5A50" w:rsidRDefault="00CB4873">
            <w:pPr>
              <w:pStyle w:val="cTableBody"/>
              <w:spacing w:before="0" w:after="0"/>
            </w:pPr>
            <w:r>
              <w:t>Module, datum, connection, tolerance, and inspection architecture</w:t>
            </w:r>
          </w:p>
        </w:tc>
        <w:tc>
          <w:tcPr>
            <w:tcW w:w="937" w:type="dxa"/>
          </w:tcPr>
          <w:p w14:paraId="1F738412" w14:textId="77777777" w:rsidR="003A5A50" w:rsidRDefault="00CB4873">
            <w:pPr>
              <w:pStyle w:val="cTableBody"/>
              <w:spacing w:before="0" w:after="0"/>
            </w:pPr>
            <w:r>
              <w:t>$8M</w:t>
            </w:r>
          </w:p>
        </w:tc>
      </w:tr>
      <w:tr w:rsidR="003A5A50" w14:paraId="7891597C" w14:textId="77777777" w:rsidTr="003A5A50">
        <w:tc>
          <w:tcPr>
            <w:tcW w:w="1583" w:type="dxa"/>
          </w:tcPr>
          <w:p w14:paraId="34092269" w14:textId="77777777" w:rsidR="003A5A50" w:rsidRDefault="00CB4873">
            <w:pPr>
              <w:pStyle w:val="cTableBody"/>
              <w:spacing w:before="0" w:after="0"/>
            </w:pPr>
            <w:r>
              <w:t>7B</w:t>
            </w:r>
          </w:p>
        </w:tc>
        <w:tc>
          <w:tcPr>
            <w:tcW w:w="7632" w:type="dxa"/>
          </w:tcPr>
          <w:p w14:paraId="5D79F860" w14:textId="77777777" w:rsidR="003A5A50" w:rsidRDefault="00CB4873">
            <w:pPr>
              <w:pStyle w:val="cTableBody"/>
              <w:spacing w:before="0" w:after="0"/>
            </w:pPr>
            <w:r>
              <w:t>HTR reactor-vessel, steam-generator, and support-module simulators</w:t>
            </w:r>
          </w:p>
        </w:tc>
        <w:tc>
          <w:tcPr>
            <w:tcW w:w="937" w:type="dxa"/>
          </w:tcPr>
          <w:p w14:paraId="2B3A59BC" w14:textId="77777777" w:rsidR="003A5A50" w:rsidRDefault="00CB4873">
            <w:pPr>
              <w:pStyle w:val="cTableBody"/>
              <w:spacing w:before="0" w:after="0"/>
            </w:pPr>
            <w:r>
              <w:t>$12M</w:t>
            </w:r>
          </w:p>
        </w:tc>
      </w:tr>
      <w:tr w:rsidR="003A5A50" w14:paraId="36BB2907" w14:textId="77777777" w:rsidTr="003A5A50">
        <w:tc>
          <w:tcPr>
            <w:tcW w:w="1583" w:type="dxa"/>
          </w:tcPr>
          <w:p w14:paraId="7B22E23B" w14:textId="77777777" w:rsidR="003A5A50" w:rsidRDefault="00CB4873">
            <w:pPr>
              <w:pStyle w:val="cTableBody"/>
              <w:spacing w:before="0" w:after="0"/>
            </w:pPr>
            <w:r>
              <w:t>7C</w:t>
            </w:r>
          </w:p>
        </w:tc>
        <w:tc>
          <w:tcPr>
            <w:tcW w:w="7632" w:type="dxa"/>
          </w:tcPr>
          <w:p w14:paraId="044DD8C4" w14:textId="77777777" w:rsidR="003A5A50" w:rsidRDefault="00CB4873">
            <w:pPr>
              <w:pStyle w:val="cTableBody"/>
              <w:spacing w:before="0" w:after="0"/>
            </w:pPr>
            <w:r>
              <w:t>PWR reactor-vessel, steam-generator, pressurizer, pump, and structural-module simulators</w:t>
            </w:r>
          </w:p>
        </w:tc>
        <w:tc>
          <w:tcPr>
            <w:tcW w:w="937" w:type="dxa"/>
          </w:tcPr>
          <w:p w14:paraId="398176E6" w14:textId="77777777" w:rsidR="003A5A50" w:rsidRDefault="00CB4873">
            <w:pPr>
              <w:pStyle w:val="cTableBody"/>
              <w:spacing w:before="0" w:after="0"/>
            </w:pPr>
            <w:r>
              <w:t>$15M</w:t>
            </w:r>
          </w:p>
        </w:tc>
      </w:tr>
      <w:tr w:rsidR="003A5A50" w14:paraId="02F020CB" w14:textId="77777777" w:rsidTr="003A5A50">
        <w:tc>
          <w:tcPr>
            <w:tcW w:w="1583" w:type="dxa"/>
          </w:tcPr>
          <w:p w14:paraId="4521B25B" w14:textId="77777777" w:rsidR="003A5A50" w:rsidRDefault="00CB4873">
            <w:pPr>
              <w:pStyle w:val="cTableBody"/>
              <w:spacing w:before="0" w:after="0"/>
            </w:pPr>
            <w:r>
              <w:t>7D</w:t>
            </w:r>
          </w:p>
        </w:tc>
        <w:tc>
          <w:tcPr>
            <w:tcW w:w="7632" w:type="dxa"/>
          </w:tcPr>
          <w:p w14:paraId="38C42B78" w14:textId="77777777" w:rsidR="003A5A50" w:rsidRDefault="00CB4873">
            <w:pPr>
              <w:pStyle w:val="cTableBody"/>
              <w:spacing w:before="0" w:after="0"/>
            </w:pPr>
            <w:r>
              <w:t>Placement, alignment, bolting, fit-up, welding-assist, NDE, and connection tools</w:t>
            </w:r>
          </w:p>
        </w:tc>
        <w:tc>
          <w:tcPr>
            <w:tcW w:w="937" w:type="dxa"/>
          </w:tcPr>
          <w:p w14:paraId="58C46F56" w14:textId="77777777" w:rsidR="003A5A50" w:rsidRDefault="00CB4873">
            <w:pPr>
              <w:pStyle w:val="cTableBody"/>
              <w:spacing w:before="0" w:after="0"/>
            </w:pPr>
            <w:r>
              <w:t>$20M</w:t>
            </w:r>
          </w:p>
        </w:tc>
      </w:tr>
      <w:tr w:rsidR="003A5A50" w14:paraId="6B77F66C" w14:textId="77777777" w:rsidTr="003A5A50">
        <w:tc>
          <w:tcPr>
            <w:tcW w:w="1583" w:type="dxa"/>
          </w:tcPr>
          <w:p w14:paraId="5126CA76" w14:textId="77777777" w:rsidR="003A5A50" w:rsidRDefault="00CB4873">
            <w:pPr>
              <w:pStyle w:val="cTableBody"/>
              <w:spacing w:before="0" w:after="0"/>
            </w:pPr>
            <w:r>
              <w:t>7E</w:t>
            </w:r>
          </w:p>
        </w:tc>
        <w:tc>
          <w:tcPr>
            <w:tcW w:w="7632" w:type="dxa"/>
          </w:tcPr>
          <w:p w14:paraId="5831EBFB" w14:textId="77777777" w:rsidR="003A5A50" w:rsidRDefault="00CB4873">
            <w:pPr>
              <w:pStyle w:val="cTableBody"/>
              <w:spacing w:before="0" w:after="0"/>
            </w:pPr>
            <w:r>
              <w:t>Dual-track end-to-end installation and repeatability demonstrations</w:t>
            </w:r>
          </w:p>
        </w:tc>
        <w:tc>
          <w:tcPr>
            <w:tcW w:w="937" w:type="dxa"/>
          </w:tcPr>
          <w:p w14:paraId="0E36E83C" w14:textId="77777777" w:rsidR="003A5A50" w:rsidRDefault="00CB4873">
            <w:pPr>
              <w:pStyle w:val="cTableBody"/>
              <w:spacing w:before="0" w:after="0"/>
            </w:pPr>
            <w:r>
              <w:t>$22M</w:t>
            </w:r>
          </w:p>
        </w:tc>
      </w:tr>
      <w:tr w:rsidR="003A5A50" w14:paraId="0274E2B3" w14:textId="77777777" w:rsidTr="003A5A50">
        <w:tc>
          <w:tcPr>
            <w:tcW w:w="1583" w:type="dxa"/>
          </w:tcPr>
          <w:p w14:paraId="74358903" w14:textId="77777777" w:rsidR="003A5A50" w:rsidRDefault="00CB4873">
            <w:pPr>
              <w:pStyle w:val="cTableBody"/>
              <w:spacing w:before="0" w:after="0"/>
            </w:pPr>
            <w:r>
              <w:t>7F</w:t>
            </w:r>
          </w:p>
        </w:tc>
        <w:tc>
          <w:tcPr>
            <w:tcW w:w="7632" w:type="dxa"/>
          </w:tcPr>
          <w:p w14:paraId="44D63AFD" w14:textId="77777777" w:rsidR="003A5A50" w:rsidRDefault="00CB4873">
            <w:pPr>
              <w:pStyle w:val="cTableBody"/>
              <w:spacing w:before="0" w:after="0"/>
            </w:pPr>
            <w:r>
              <w:t>Final interface standard and nuclear-qualification gap plan</w:t>
            </w:r>
          </w:p>
        </w:tc>
        <w:tc>
          <w:tcPr>
            <w:tcW w:w="937" w:type="dxa"/>
          </w:tcPr>
          <w:p w14:paraId="69A1E256" w14:textId="77777777" w:rsidR="003A5A50" w:rsidRDefault="00CB4873">
            <w:pPr>
              <w:pStyle w:val="cTableBody"/>
              <w:spacing w:before="0" w:after="0"/>
            </w:pPr>
            <w:r>
              <w:t>$8M</w:t>
            </w:r>
          </w:p>
        </w:tc>
      </w:tr>
    </w:tbl>
    <w:p w14:paraId="59299E41" w14:textId="77777777" w:rsidR="003A5A50" w:rsidRDefault="00CB4873">
      <w:pPr>
        <w:keepNext/>
        <w:spacing w:before="280" w:after="280"/>
        <w:jc w:val="center"/>
      </w:pPr>
      <w:r>
        <w:rPr>
          <w:noProof/>
        </w:rPr>
        <w:drawing>
          <wp:inline distT="0" distB="0" distL="0" distR="0" wp14:anchorId="2DFE0D3A" wp14:editId="064E44D0">
            <wp:extent cx="3981450" cy="2655570"/>
            <wp:effectExtent l="0" t="0" r="0" b="0"/>
            <wp:docPr id="17"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6"/>
                    <pic:cNvPicPr>
                      <a:picLocks noChangeAspect="1" noChangeArrowheads="1"/>
                    </pic:cNvPicPr>
                  </pic:nvPicPr>
                  <pic:blipFill>
                    <a:blip r:embed="rId40"/>
                    <a:stretch>
                      <a:fillRect/>
                    </a:stretch>
                  </pic:blipFill>
                  <pic:spPr bwMode="auto">
                    <a:xfrm>
                      <a:off x="0" y="0"/>
                      <a:ext cx="3981450" cy="2655570"/>
                    </a:xfrm>
                    <a:prstGeom prst="rect">
                      <a:avLst/>
                    </a:prstGeom>
                    <a:noFill/>
                  </pic:spPr>
                </pic:pic>
              </a:graphicData>
            </a:graphic>
          </wp:inline>
        </w:drawing>
      </w:r>
    </w:p>
    <w:p w14:paraId="2CA90A6B" w14:textId="77777777" w:rsidR="003A5A50" w:rsidRDefault="00CB4873">
      <w:pPr>
        <w:pStyle w:val="bfigure-caption"/>
        <w:spacing w:before="280" w:after="280"/>
        <w:rPr>
          <w:sz w:val="36"/>
        </w:rPr>
      </w:pPr>
      <w:r>
        <w:t>Figure 14. Reactor vessel transported from factory to site; the PWR track requires separate transport and lifting fixtures for much larger primary-system components.</w:t>
      </w:r>
      <w:r>
        <w:br/>
        <w:t>Source: Climate Moonshot Business Plan; concept by Glenn Weinreb.</w:t>
      </w:r>
      <w:r>
        <w:br w:type="page"/>
      </w:r>
    </w:p>
    <w:p w14:paraId="6C017D71" w14:textId="58ABDD05" w:rsidR="003A5A50" w:rsidRPr="00EF2312" w:rsidRDefault="00DE3072" w:rsidP="00EF2312">
      <w:pPr>
        <w:pStyle w:val="Heading2"/>
      </w:pPr>
      <w:r>
        <w:lastRenderedPageBreak/>
        <w:t xml:space="preserve">Area </w:t>
      </w:r>
      <w:r w:rsidRPr="00EF2312">
        <w:t>8. Digital twin, autonomy, metrology, and nuclear QA data thread - $65 million</w:t>
      </w:r>
    </w:p>
    <w:p w14:paraId="10363856" w14:textId="77777777" w:rsidR="003A5A50" w:rsidRDefault="00CB4873">
      <w:pPr>
        <w:spacing w:before="280" w:after="280"/>
      </w:pPr>
      <w:r>
        <w:t>One integrated planning, control, metrology, configuration, quality, and auditable as-built data thread supporting both reactor construction tracks.</w:t>
      </w:r>
    </w:p>
    <w:tbl>
      <w:tblPr>
        <w:tblStyle w:val="gswTableStyle"/>
        <w:tblW w:w="9972" w:type="dxa"/>
        <w:tblLayout w:type="fixed"/>
        <w:tblLook w:val="04A0" w:firstRow="1" w:lastRow="0" w:firstColumn="1" w:lastColumn="0" w:noHBand="0" w:noVBand="1"/>
      </w:tblPr>
      <w:tblGrid>
        <w:gridCol w:w="1583"/>
        <w:gridCol w:w="7452"/>
        <w:gridCol w:w="937"/>
      </w:tblGrid>
      <w:tr w:rsidR="003A5A50" w14:paraId="767A6FC6" w14:textId="77777777" w:rsidTr="003A5A50">
        <w:trPr>
          <w:cnfStyle w:val="100000000000" w:firstRow="1" w:lastRow="0" w:firstColumn="0" w:lastColumn="0" w:oddVBand="0" w:evenVBand="0" w:oddHBand="0" w:evenHBand="0" w:firstRowFirstColumn="0" w:firstRowLastColumn="0" w:lastRowFirstColumn="0" w:lastRowLastColumn="0"/>
          <w:tblHeader/>
        </w:trPr>
        <w:tc>
          <w:tcPr>
            <w:tcW w:w="1583" w:type="dxa"/>
          </w:tcPr>
          <w:p w14:paraId="0B1BFE75" w14:textId="77777777" w:rsidR="003A5A50" w:rsidRDefault="00CB4873">
            <w:pPr>
              <w:pStyle w:val="cTableHeader"/>
              <w:spacing w:before="0" w:after="0"/>
            </w:pPr>
            <w:r>
              <w:t>Subphase</w:t>
            </w:r>
          </w:p>
        </w:tc>
        <w:tc>
          <w:tcPr>
            <w:tcW w:w="7452" w:type="dxa"/>
          </w:tcPr>
          <w:p w14:paraId="4BFD7F5B" w14:textId="77777777" w:rsidR="003A5A50" w:rsidRDefault="00CB4873">
            <w:pPr>
              <w:pStyle w:val="cTableHeader"/>
              <w:spacing w:before="0" w:after="0"/>
            </w:pPr>
            <w:r>
              <w:t>Principal activity and deliverable</w:t>
            </w:r>
          </w:p>
        </w:tc>
        <w:tc>
          <w:tcPr>
            <w:tcW w:w="937" w:type="dxa"/>
          </w:tcPr>
          <w:p w14:paraId="570BB061" w14:textId="77777777" w:rsidR="003A5A50" w:rsidRDefault="00CB4873">
            <w:pPr>
              <w:pStyle w:val="cTableHeader"/>
              <w:spacing w:before="0" w:after="0"/>
            </w:pPr>
            <w:r>
              <w:t>Cost</w:t>
            </w:r>
          </w:p>
        </w:tc>
      </w:tr>
      <w:tr w:rsidR="003A5A50" w14:paraId="3707CE3E" w14:textId="77777777" w:rsidTr="003A5A50">
        <w:tc>
          <w:tcPr>
            <w:tcW w:w="1583" w:type="dxa"/>
          </w:tcPr>
          <w:p w14:paraId="521EE668" w14:textId="77777777" w:rsidR="003A5A50" w:rsidRDefault="00CB4873">
            <w:pPr>
              <w:pStyle w:val="cTableBody"/>
              <w:spacing w:before="0" w:after="0"/>
            </w:pPr>
            <w:r>
              <w:t>8A</w:t>
            </w:r>
          </w:p>
        </w:tc>
        <w:tc>
          <w:tcPr>
            <w:tcW w:w="7452" w:type="dxa"/>
          </w:tcPr>
          <w:p w14:paraId="0679F7C8" w14:textId="77777777" w:rsidR="003A5A50" w:rsidRDefault="00CB4873">
            <w:pPr>
              <w:pStyle w:val="cTableBody"/>
              <w:spacing w:before="0" w:after="0"/>
            </w:pPr>
            <w:r>
              <w:t>China data architecture, identifiers, records, access, and cybersecurity</w:t>
            </w:r>
          </w:p>
        </w:tc>
        <w:tc>
          <w:tcPr>
            <w:tcW w:w="937" w:type="dxa"/>
          </w:tcPr>
          <w:p w14:paraId="10235886" w14:textId="77777777" w:rsidR="003A5A50" w:rsidRDefault="00CB4873">
            <w:pPr>
              <w:pStyle w:val="cTableBody"/>
              <w:spacing w:before="0" w:after="0"/>
            </w:pPr>
            <w:r>
              <w:t>$8M</w:t>
            </w:r>
          </w:p>
        </w:tc>
      </w:tr>
      <w:tr w:rsidR="003A5A50" w14:paraId="631670B9" w14:textId="77777777" w:rsidTr="003A5A50">
        <w:tc>
          <w:tcPr>
            <w:tcW w:w="1583" w:type="dxa"/>
          </w:tcPr>
          <w:p w14:paraId="417FF7E4" w14:textId="77777777" w:rsidR="003A5A50" w:rsidRDefault="00CB4873">
            <w:pPr>
              <w:pStyle w:val="cTableBody"/>
              <w:spacing w:before="0" w:after="0"/>
            </w:pPr>
            <w:r>
              <w:t>8B</w:t>
            </w:r>
          </w:p>
        </w:tc>
        <w:tc>
          <w:tcPr>
            <w:tcW w:w="7452" w:type="dxa"/>
          </w:tcPr>
          <w:p w14:paraId="6555B7B9" w14:textId="77777777" w:rsidR="003A5A50" w:rsidRDefault="00CB4873">
            <w:pPr>
              <w:pStyle w:val="cTableBody"/>
              <w:spacing w:before="0" w:after="0"/>
            </w:pPr>
            <w:r>
              <w:t>HTR and PWR plant/site/machine/logistics 4-D digital twins</w:t>
            </w:r>
          </w:p>
        </w:tc>
        <w:tc>
          <w:tcPr>
            <w:tcW w:w="937" w:type="dxa"/>
          </w:tcPr>
          <w:p w14:paraId="24762281" w14:textId="77777777" w:rsidR="003A5A50" w:rsidRDefault="00CB4873">
            <w:pPr>
              <w:pStyle w:val="cTableBody"/>
              <w:spacing w:before="0" w:after="0"/>
            </w:pPr>
            <w:r>
              <w:t>$12M</w:t>
            </w:r>
          </w:p>
        </w:tc>
      </w:tr>
      <w:tr w:rsidR="003A5A50" w14:paraId="1E2FFF85" w14:textId="77777777" w:rsidTr="003A5A50">
        <w:tc>
          <w:tcPr>
            <w:tcW w:w="1583" w:type="dxa"/>
          </w:tcPr>
          <w:p w14:paraId="6EEF5C72" w14:textId="77777777" w:rsidR="003A5A50" w:rsidRDefault="00CB4873">
            <w:pPr>
              <w:pStyle w:val="cTableBody"/>
              <w:spacing w:before="0" w:after="0"/>
            </w:pPr>
            <w:r>
              <w:t>8C</w:t>
            </w:r>
          </w:p>
        </w:tc>
        <w:tc>
          <w:tcPr>
            <w:tcW w:w="7452" w:type="dxa"/>
          </w:tcPr>
          <w:p w14:paraId="6FBA6930" w14:textId="77777777" w:rsidR="003A5A50" w:rsidRDefault="00CB4873">
            <w:pPr>
              <w:pStyle w:val="cTableBody"/>
              <w:spacing w:before="0" w:after="0"/>
            </w:pPr>
            <w:r>
              <w:t>Supervisory autonomy, geofencing, safe stop, intervention, and fault recovery</w:t>
            </w:r>
          </w:p>
        </w:tc>
        <w:tc>
          <w:tcPr>
            <w:tcW w:w="937" w:type="dxa"/>
          </w:tcPr>
          <w:p w14:paraId="5D62464E" w14:textId="77777777" w:rsidR="003A5A50" w:rsidRDefault="00CB4873">
            <w:pPr>
              <w:pStyle w:val="cTableBody"/>
              <w:spacing w:before="0" w:after="0"/>
            </w:pPr>
            <w:r>
              <w:t>$15M</w:t>
            </w:r>
          </w:p>
        </w:tc>
      </w:tr>
      <w:tr w:rsidR="003A5A50" w14:paraId="700A7898" w14:textId="77777777" w:rsidTr="003A5A50">
        <w:tc>
          <w:tcPr>
            <w:tcW w:w="1583" w:type="dxa"/>
          </w:tcPr>
          <w:p w14:paraId="326A5B59" w14:textId="77777777" w:rsidR="003A5A50" w:rsidRDefault="00CB4873">
            <w:pPr>
              <w:pStyle w:val="cTableBody"/>
              <w:spacing w:before="0" w:after="0"/>
            </w:pPr>
            <w:r>
              <w:t>8D</w:t>
            </w:r>
          </w:p>
        </w:tc>
        <w:tc>
          <w:tcPr>
            <w:tcW w:w="7452" w:type="dxa"/>
          </w:tcPr>
          <w:p w14:paraId="353F2A7E" w14:textId="77777777" w:rsidR="003A5A50" w:rsidRDefault="00CB4873">
            <w:pPr>
              <w:pStyle w:val="cTableBody"/>
              <w:spacing w:before="0" w:after="0"/>
            </w:pPr>
            <w:r>
              <w:t>Metrology, material traceability, inspection, NDE, and nonconformance integration</w:t>
            </w:r>
          </w:p>
        </w:tc>
        <w:tc>
          <w:tcPr>
            <w:tcW w:w="937" w:type="dxa"/>
          </w:tcPr>
          <w:p w14:paraId="534DF059" w14:textId="77777777" w:rsidR="003A5A50" w:rsidRDefault="00CB4873">
            <w:pPr>
              <w:pStyle w:val="cTableBody"/>
              <w:spacing w:before="0" w:after="0"/>
            </w:pPr>
            <w:r>
              <w:t>$12M</w:t>
            </w:r>
          </w:p>
        </w:tc>
      </w:tr>
      <w:tr w:rsidR="003A5A50" w14:paraId="71D0C8E9" w14:textId="77777777" w:rsidTr="003A5A50">
        <w:tc>
          <w:tcPr>
            <w:tcW w:w="1583" w:type="dxa"/>
          </w:tcPr>
          <w:p w14:paraId="5CC15F7F" w14:textId="77777777" w:rsidR="003A5A50" w:rsidRDefault="00CB4873">
            <w:pPr>
              <w:pStyle w:val="cTableBody"/>
              <w:spacing w:before="0" w:after="0"/>
            </w:pPr>
            <w:r>
              <w:t>8E</w:t>
            </w:r>
          </w:p>
        </w:tc>
        <w:tc>
          <w:tcPr>
            <w:tcW w:w="7452" w:type="dxa"/>
          </w:tcPr>
          <w:p w14:paraId="017963C8" w14:textId="77777777" w:rsidR="003A5A50" w:rsidRDefault="00CB4873">
            <w:pPr>
              <w:pStyle w:val="cTableBody"/>
              <w:spacing w:before="0" w:after="0"/>
            </w:pPr>
            <w:r>
              <w:t>Pilot operating center and cyber/safety exercises</w:t>
            </w:r>
          </w:p>
        </w:tc>
        <w:tc>
          <w:tcPr>
            <w:tcW w:w="937" w:type="dxa"/>
          </w:tcPr>
          <w:p w14:paraId="28F59E90" w14:textId="77777777" w:rsidR="003A5A50" w:rsidRDefault="00CB4873">
            <w:pPr>
              <w:pStyle w:val="cTableBody"/>
              <w:spacing w:before="0" w:after="0"/>
            </w:pPr>
            <w:r>
              <w:t>$10M</w:t>
            </w:r>
          </w:p>
        </w:tc>
      </w:tr>
      <w:tr w:rsidR="003A5A50" w14:paraId="60B72E21" w14:textId="77777777" w:rsidTr="003A5A50">
        <w:tc>
          <w:tcPr>
            <w:tcW w:w="1583" w:type="dxa"/>
          </w:tcPr>
          <w:p w14:paraId="71B88CBD" w14:textId="77777777" w:rsidR="003A5A50" w:rsidRDefault="00CB4873">
            <w:pPr>
              <w:pStyle w:val="cTableBody"/>
              <w:spacing w:before="0" w:after="0"/>
            </w:pPr>
            <w:r>
              <w:t>8F</w:t>
            </w:r>
          </w:p>
        </w:tc>
        <w:tc>
          <w:tcPr>
            <w:tcW w:w="7452" w:type="dxa"/>
          </w:tcPr>
          <w:p w14:paraId="4FFC1B15" w14:textId="77777777" w:rsidR="003A5A50" w:rsidRDefault="00CB4873">
            <w:pPr>
              <w:pStyle w:val="cTableBody"/>
              <w:spacing w:before="0" w:after="0"/>
            </w:pPr>
            <w:r>
              <w:t>Open software/data release and regulated handoff package</w:t>
            </w:r>
          </w:p>
        </w:tc>
        <w:tc>
          <w:tcPr>
            <w:tcW w:w="937" w:type="dxa"/>
          </w:tcPr>
          <w:p w14:paraId="15A7C82D" w14:textId="77777777" w:rsidR="003A5A50" w:rsidRDefault="00CB4873">
            <w:pPr>
              <w:pStyle w:val="cTableBody"/>
              <w:spacing w:before="0" w:after="0"/>
            </w:pPr>
            <w:r>
              <w:t>$8M</w:t>
            </w:r>
          </w:p>
        </w:tc>
      </w:tr>
    </w:tbl>
    <w:p w14:paraId="6E718246" w14:textId="544AF011" w:rsidR="003A5A50" w:rsidRPr="00EF2312" w:rsidRDefault="00DE3072" w:rsidP="00EF2312">
      <w:pPr>
        <w:pStyle w:val="Heading2"/>
      </w:pPr>
      <w:r>
        <w:t xml:space="preserve">Area </w:t>
      </w:r>
      <w:r w:rsidRPr="00EF2312">
        <w:t>9. Integrated dual-track pilot site and end-to-end demonstration - $55 million</w:t>
      </w:r>
    </w:p>
    <w:p w14:paraId="139FB2EA" w14:textId="77777777" w:rsidR="003A5A50" w:rsidRDefault="00CB4873">
      <w:pPr>
        <w:spacing w:before="280" w:after="280"/>
      </w:pPr>
      <w:r>
        <w:t>Shared non-nuclear pilot with distinct HTR and PWR test zones where the common machine fleet and reactor-specific tooling operate end to end and produce independent evidence.</w:t>
      </w:r>
    </w:p>
    <w:tbl>
      <w:tblPr>
        <w:tblStyle w:val="gswTableStyle"/>
        <w:tblW w:w="10152" w:type="dxa"/>
        <w:tblLayout w:type="fixed"/>
        <w:tblLook w:val="04A0" w:firstRow="1" w:lastRow="0" w:firstColumn="1" w:lastColumn="0" w:noHBand="0" w:noVBand="1"/>
      </w:tblPr>
      <w:tblGrid>
        <w:gridCol w:w="1583"/>
        <w:gridCol w:w="7632"/>
        <w:gridCol w:w="937"/>
      </w:tblGrid>
      <w:tr w:rsidR="003A5A50" w14:paraId="3C4C2773" w14:textId="77777777" w:rsidTr="003A5A50">
        <w:trPr>
          <w:cnfStyle w:val="100000000000" w:firstRow="1" w:lastRow="0" w:firstColumn="0" w:lastColumn="0" w:oddVBand="0" w:evenVBand="0" w:oddHBand="0" w:evenHBand="0" w:firstRowFirstColumn="0" w:firstRowLastColumn="0" w:lastRowFirstColumn="0" w:lastRowLastColumn="0"/>
          <w:tblHeader/>
        </w:trPr>
        <w:tc>
          <w:tcPr>
            <w:tcW w:w="1583" w:type="dxa"/>
          </w:tcPr>
          <w:p w14:paraId="709F7BAB" w14:textId="77777777" w:rsidR="003A5A50" w:rsidRDefault="00CB4873">
            <w:pPr>
              <w:pStyle w:val="cTableHeader"/>
              <w:spacing w:before="0" w:after="0"/>
            </w:pPr>
            <w:r>
              <w:t>Subphase</w:t>
            </w:r>
          </w:p>
        </w:tc>
        <w:tc>
          <w:tcPr>
            <w:tcW w:w="7632" w:type="dxa"/>
          </w:tcPr>
          <w:p w14:paraId="315845F5" w14:textId="77777777" w:rsidR="003A5A50" w:rsidRDefault="00CB4873">
            <w:pPr>
              <w:pStyle w:val="cTableHeader"/>
              <w:spacing w:before="0" w:after="0"/>
            </w:pPr>
            <w:r>
              <w:t>Principal activity and deliverable</w:t>
            </w:r>
          </w:p>
        </w:tc>
        <w:tc>
          <w:tcPr>
            <w:tcW w:w="937" w:type="dxa"/>
          </w:tcPr>
          <w:p w14:paraId="2280A524" w14:textId="77777777" w:rsidR="003A5A50" w:rsidRDefault="00CB4873">
            <w:pPr>
              <w:pStyle w:val="cTableHeader"/>
              <w:spacing w:before="0" w:after="0"/>
            </w:pPr>
            <w:r>
              <w:t>Cost</w:t>
            </w:r>
          </w:p>
        </w:tc>
      </w:tr>
      <w:tr w:rsidR="003A5A50" w14:paraId="0FAFE9DC" w14:textId="77777777" w:rsidTr="003A5A50">
        <w:tc>
          <w:tcPr>
            <w:tcW w:w="1583" w:type="dxa"/>
          </w:tcPr>
          <w:p w14:paraId="50924AA8" w14:textId="77777777" w:rsidR="003A5A50" w:rsidRDefault="00CB4873">
            <w:pPr>
              <w:pStyle w:val="cTableBody"/>
              <w:spacing w:before="0" w:after="0"/>
            </w:pPr>
            <w:r>
              <w:t>9A</w:t>
            </w:r>
          </w:p>
        </w:tc>
        <w:tc>
          <w:tcPr>
            <w:tcW w:w="7632" w:type="dxa"/>
          </w:tcPr>
          <w:p w14:paraId="1746EDBE" w14:textId="77777777" w:rsidR="003A5A50" w:rsidRDefault="00CB4873">
            <w:pPr>
              <w:pStyle w:val="cTableBody"/>
              <w:spacing w:before="0" w:after="0"/>
            </w:pPr>
            <w:r>
              <w:t>China pilot-site selection, environmental review, and dual-track design</w:t>
            </w:r>
          </w:p>
        </w:tc>
        <w:tc>
          <w:tcPr>
            <w:tcW w:w="937" w:type="dxa"/>
          </w:tcPr>
          <w:p w14:paraId="171B5C48" w14:textId="77777777" w:rsidR="003A5A50" w:rsidRDefault="00CB4873">
            <w:pPr>
              <w:pStyle w:val="cTableBody"/>
              <w:spacing w:before="0" w:after="0"/>
            </w:pPr>
            <w:r>
              <w:t>$7M</w:t>
            </w:r>
          </w:p>
        </w:tc>
      </w:tr>
      <w:tr w:rsidR="003A5A50" w14:paraId="7F14C00F" w14:textId="77777777" w:rsidTr="003A5A50">
        <w:tc>
          <w:tcPr>
            <w:tcW w:w="1583" w:type="dxa"/>
          </w:tcPr>
          <w:p w14:paraId="6AAB5D22" w14:textId="77777777" w:rsidR="003A5A50" w:rsidRDefault="00CB4873">
            <w:pPr>
              <w:pStyle w:val="cTableBody"/>
              <w:spacing w:before="0" w:after="0"/>
            </w:pPr>
            <w:r>
              <w:t>9B</w:t>
            </w:r>
          </w:p>
        </w:tc>
        <w:tc>
          <w:tcPr>
            <w:tcW w:w="7632" w:type="dxa"/>
          </w:tcPr>
          <w:p w14:paraId="4B20D4BE" w14:textId="77777777" w:rsidR="003A5A50" w:rsidRDefault="00CB4873">
            <w:pPr>
              <w:pStyle w:val="cTableBody"/>
              <w:spacing w:before="0" w:after="0"/>
            </w:pPr>
            <w:r>
              <w:t>Civil works, test zones, tracks/roads, utilities, workshops, control room, and safety systems</w:t>
            </w:r>
          </w:p>
        </w:tc>
        <w:tc>
          <w:tcPr>
            <w:tcW w:w="937" w:type="dxa"/>
          </w:tcPr>
          <w:p w14:paraId="458E4C5F" w14:textId="77777777" w:rsidR="003A5A50" w:rsidRDefault="00CB4873">
            <w:pPr>
              <w:pStyle w:val="cTableBody"/>
              <w:spacing w:before="0" w:after="0"/>
            </w:pPr>
            <w:r>
              <w:t>$13M</w:t>
            </w:r>
          </w:p>
        </w:tc>
      </w:tr>
      <w:tr w:rsidR="003A5A50" w14:paraId="477C7E97" w14:textId="77777777" w:rsidTr="003A5A50">
        <w:tc>
          <w:tcPr>
            <w:tcW w:w="1583" w:type="dxa"/>
          </w:tcPr>
          <w:p w14:paraId="5A1900B3" w14:textId="77777777" w:rsidR="003A5A50" w:rsidRDefault="00CB4873">
            <w:pPr>
              <w:pStyle w:val="cTableBody"/>
              <w:spacing w:before="0" w:after="0"/>
            </w:pPr>
            <w:r>
              <w:t>9C</w:t>
            </w:r>
          </w:p>
        </w:tc>
        <w:tc>
          <w:tcPr>
            <w:tcW w:w="7632" w:type="dxa"/>
          </w:tcPr>
          <w:p w14:paraId="0C3CB99C" w14:textId="77777777" w:rsidR="003A5A50" w:rsidRDefault="00CB4873">
            <w:pPr>
              <w:pStyle w:val="cTableBody"/>
              <w:spacing w:before="0" w:after="0"/>
            </w:pPr>
            <w:r>
              <w:t>Subsystem installation and integration</w:t>
            </w:r>
          </w:p>
        </w:tc>
        <w:tc>
          <w:tcPr>
            <w:tcW w:w="937" w:type="dxa"/>
          </w:tcPr>
          <w:p w14:paraId="10A93C57" w14:textId="77777777" w:rsidR="003A5A50" w:rsidRDefault="00CB4873">
            <w:pPr>
              <w:pStyle w:val="cTableBody"/>
              <w:spacing w:before="0" w:after="0"/>
            </w:pPr>
            <w:r>
              <w:t>$10M</w:t>
            </w:r>
          </w:p>
        </w:tc>
      </w:tr>
      <w:tr w:rsidR="003A5A50" w14:paraId="1D51E42F" w14:textId="77777777" w:rsidTr="003A5A50">
        <w:tc>
          <w:tcPr>
            <w:tcW w:w="1583" w:type="dxa"/>
          </w:tcPr>
          <w:p w14:paraId="0E114E69" w14:textId="77777777" w:rsidR="003A5A50" w:rsidRDefault="00CB4873">
            <w:pPr>
              <w:pStyle w:val="cTableBody"/>
              <w:spacing w:before="0" w:after="0"/>
            </w:pPr>
            <w:r>
              <w:t>9D</w:t>
            </w:r>
          </w:p>
        </w:tc>
        <w:tc>
          <w:tcPr>
            <w:tcW w:w="7632" w:type="dxa"/>
          </w:tcPr>
          <w:p w14:paraId="48F9C6AB" w14:textId="77777777" w:rsidR="003A5A50" w:rsidRDefault="00CB4873">
            <w:pPr>
              <w:pStyle w:val="cTableBody"/>
              <w:spacing w:before="0" w:after="0"/>
            </w:pPr>
            <w:r>
              <w:t>Progressive commissioning and test-readiness review</w:t>
            </w:r>
          </w:p>
        </w:tc>
        <w:tc>
          <w:tcPr>
            <w:tcW w:w="937" w:type="dxa"/>
          </w:tcPr>
          <w:p w14:paraId="314774A0" w14:textId="77777777" w:rsidR="003A5A50" w:rsidRDefault="00CB4873">
            <w:pPr>
              <w:pStyle w:val="cTableBody"/>
              <w:spacing w:before="0" w:after="0"/>
            </w:pPr>
            <w:r>
              <w:t>$8M</w:t>
            </w:r>
          </w:p>
        </w:tc>
      </w:tr>
      <w:tr w:rsidR="003A5A50" w14:paraId="578606EF" w14:textId="77777777" w:rsidTr="003A5A50">
        <w:tc>
          <w:tcPr>
            <w:tcW w:w="1583" w:type="dxa"/>
          </w:tcPr>
          <w:p w14:paraId="69ABB28B" w14:textId="77777777" w:rsidR="003A5A50" w:rsidRDefault="00CB4873">
            <w:pPr>
              <w:pStyle w:val="cTableBody"/>
              <w:spacing w:before="0" w:after="0"/>
            </w:pPr>
            <w:r>
              <w:t>9E</w:t>
            </w:r>
          </w:p>
        </w:tc>
        <w:tc>
          <w:tcPr>
            <w:tcW w:w="7632" w:type="dxa"/>
          </w:tcPr>
          <w:p w14:paraId="7AED65AB" w14:textId="77777777" w:rsidR="003A5A50" w:rsidRDefault="00CB4873">
            <w:pPr>
              <w:pStyle w:val="cTableBody"/>
              <w:spacing w:before="0" w:after="0"/>
            </w:pPr>
            <w:r>
              <w:t>Repeated HTR and PWR construction campaigns and independent audit</w:t>
            </w:r>
          </w:p>
        </w:tc>
        <w:tc>
          <w:tcPr>
            <w:tcW w:w="937" w:type="dxa"/>
          </w:tcPr>
          <w:p w14:paraId="006255E6" w14:textId="77777777" w:rsidR="003A5A50" w:rsidRDefault="00CB4873">
            <w:pPr>
              <w:pStyle w:val="cTableBody"/>
              <w:spacing w:before="0" w:after="0"/>
            </w:pPr>
            <w:r>
              <w:t>$12M</w:t>
            </w:r>
          </w:p>
        </w:tc>
      </w:tr>
      <w:tr w:rsidR="003A5A50" w14:paraId="3AB18F25" w14:textId="77777777" w:rsidTr="003A5A50">
        <w:tc>
          <w:tcPr>
            <w:tcW w:w="1583" w:type="dxa"/>
          </w:tcPr>
          <w:p w14:paraId="4BC4E960" w14:textId="77777777" w:rsidR="003A5A50" w:rsidRDefault="00CB4873">
            <w:pPr>
              <w:pStyle w:val="cTableBody"/>
              <w:spacing w:before="0" w:after="0"/>
            </w:pPr>
            <w:r>
              <w:t>9F</w:t>
            </w:r>
          </w:p>
        </w:tc>
        <w:tc>
          <w:tcPr>
            <w:tcW w:w="7632" w:type="dxa"/>
          </w:tcPr>
          <w:p w14:paraId="5C39D4FA" w14:textId="77777777" w:rsidR="003A5A50" w:rsidRDefault="00CB4873">
            <w:pPr>
              <w:pStyle w:val="cTableBody"/>
              <w:spacing w:before="0" w:after="0"/>
            </w:pPr>
            <w:r>
              <w:t>Phase II readiness review and first-site handoff</w:t>
            </w:r>
          </w:p>
        </w:tc>
        <w:tc>
          <w:tcPr>
            <w:tcW w:w="937" w:type="dxa"/>
          </w:tcPr>
          <w:p w14:paraId="31AC5124" w14:textId="77777777" w:rsidR="003A5A50" w:rsidRDefault="00CB4873">
            <w:pPr>
              <w:pStyle w:val="cTableBody"/>
              <w:spacing w:before="0" w:after="0"/>
            </w:pPr>
            <w:r>
              <w:t>$5M</w:t>
            </w:r>
          </w:p>
        </w:tc>
      </w:tr>
    </w:tbl>
    <w:p w14:paraId="48CD59B4" w14:textId="59E8A18D" w:rsidR="003A5A50" w:rsidRPr="00EF2312" w:rsidRDefault="00DE3072" w:rsidP="00EF2312">
      <w:pPr>
        <w:pStyle w:val="Heading2"/>
      </w:pPr>
      <w:r>
        <w:t xml:space="preserve">Area </w:t>
      </w:r>
      <w:r w:rsidRPr="00EF2312">
        <w:t>10. Program management, nuclear QA, China licensing support, and independent review - $30 million</w:t>
      </w:r>
    </w:p>
    <w:p w14:paraId="08F73160" w14:textId="77777777" w:rsidR="003A5A50" w:rsidRDefault="00CB4873">
      <w:pPr>
        <w:spacing w:before="280" w:after="280"/>
      </w:pPr>
      <w:r>
        <w:t>Owner-side program office controlling the common platform, two reference designs, contracts, interfaces, cost, schedule, safety, quality, data rights, independent review, and transition.</w:t>
      </w:r>
    </w:p>
    <w:tbl>
      <w:tblPr>
        <w:tblStyle w:val="gswTableStyle"/>
        <w:tblW w:w="10152" w:type="dxa"/>
        <w:tblLayout w:type="fixed"/>
        <w:tblLook w:val="04A0" w:firstRow="1" w:lastRow="0" w:firstColumn="1" w:lastColumn="0" w:noHBand="0" w:noVBand="1"/>
      </w:tblPr>
      <w:tblGrid>
        <w:gridCol w:w="1583"/>
        <w:gridCol w:w="7632"/>
        <w:gridCol w:w="937"/>
      </w:tblGrid>
      <w:tr w:rsidR="003A5A50" w14:paraId="38D286E2" w14:textId="77777777" w:rsidTr="003A5A50">
        <w:trPr>
          <w:cnfStyle w:val="100000000000" w:firstRow="1" w:lastRow="0" w:firstColumn="0" w:lastColumn="0" w:oddVBand="0" w:evenVBand="0" w:oddHBand="0" w:evenHBand="0" w:firstRowFirstColumn="0" w:firstRowLastColumn="0" w:lastRowFirstColumn="0" w:lastRowLastColumn="0"/>
          <w:tblHeader/>
        </w:trPr>
        <w:tc>
          <w:tcPr>
            <w:tcW w:w="1583" w:type="dxa"/>
          </w:tcPr>
          <w:p w14:paraId="0E2DE155" w14:textId="77777777" w:rsidR="003A5A50" w:rsidRDefault="00CB4873" w:rsidP="00D15805">
            <w:pPr>
              <w:pStyle w:val="cTableHeader"/>
              <w:keepNext/>
              <w:spacing w:before="0" w:after="0"/>
            </w:pPr>
            <w:r>
              <w:lastRenderedPageBreak/>
              <w:t>Subphase</w:t>
            </w:r>
          </w:p>
        </w:tc>
        <w:tc>
          <w:tcPr>
            <w:tcW w:w="7632" w:type="dxa"/>
          </w:tcPr>
          <w:p w14:paraId="112A28DD" w14:textId="77777777" w:rsidR="003A5A50" w:rsidRDefault="00CB4873" w:rsidP="00D15805">
            <w:pPr>
              <w:pStyle w:val="cTableHeader"/>
              <w:keepNext/>
              <w:spacing w:before="0" w:after="0"/>
            </w:pPr>
            <w:r>
              <w:t>Principal activity and deliverable</w:t>
            </w:r>
          </w:p>
        </w:tc>
        <w:tc>
          <w:tcPr>
            <w:tcW w:w="937" w:type="dxa"/>
          </w:tcPr>
          <w:p w14:paraId="196E557E" w14:textId="77777777" w:rsidR="003A5A50" w:rsidRDefault="00CB4873" w:rsidP="00D15805">
            <w:pPr>
              <w:pStyle w:val="cTableHeader"/>
              <w:keepNext/>
              <w:spacing w:before="0" w:after="0"/>
            </w:pPr>
            <w:r>
              <w:t>Cost</w:t>
            </w:r>
          </w:p>
        </w:tc>
      </w:tr>
      <w:tr w:rsidR="003A5A50" w14:paraId="59383CCF" w14:textId="77777777" w:rsidTr="003A5A50">
        <w:tc>
          <w:tcPr>
            <w:tcW w:w="1583" w:type="dxa"/>
          </w:tcPr>
          <w:p w14:paraId="7F8D6A35" w14:textId="77777777" w:rsidR="003A5A50" w:rsidRDefault="00CB4873" w:rsidP="00D15805">
            <w:pPr>
              <w:pStyle w:val="cTableBody"/>
              <w:keepNext/>
              <w:spacing w:before="0" w:beforeAutospacing="0" w:after="0" w:afterAutospacing="0"/>
            </w:pPr>
            <w:r>
              <w:t>10A</w:t>
            </w:r>
          </w:p>
        </w:tc>
        <w:tc>
          <w:tcPr>
            <w:tcW w:w="7632" w:type="dxa"/>
          </w:tcPr>
          <w:p w14:paraId="6F3078D9" w14:textId="77777777" w:rsidR="003A5A50" w:rsidRDefault="00CB4873" w:rsidP="00D15805">
            <w:pPr>
              <w:pStyle w:val="cTableBody"/>
              <w:keepNext/>
              <w:spacing w:before="0" w:beforeAutospacing="0" w:after="0" w:afterAutospacing="0"/>
            </w:pPr>
            <w:r>
              <w:t>Program formation, governance, China implementation plan, and financial controls</w:t>
            </w:r>
          </w:p>
        </w:tc>
        <w:tc>
          <w:tcPr>
            <w:tcW w:w="937" w:type="dxa"/>
          </w:tcPr>
          <w:p w14:paraId="319917F1" w14:textId="77777777" w:rsidR="003A5A50" w:rsidRDefault="00CB4873" w:rsidP="00D15805">
            <w:pPr>
              <w:pStyle w:val="cTableBody"/>
              <w:keepNext/>
              <w:spacing w:before="0" w:beforeAutospacing="0" w:after="0" w:afterAutospacing="0"/>
            </w:pPr>
            <w:r>
              <w:t>$5M</w:t>
            </w:r>
          </w:p>
        </w:tc>
      </w:tr>
      <w:tr w:rsidR="003A5A50" w14:paraId="0A038412" w14:textId="77777777" w:rsidTr="003A5A50">
        <w:tc>
          <w:tcPr>
            <w:tcW w:w="1583" w:type="dxa"/>
          </w:tcPr>
          <w:p w14:paraId="5D81BD3F" w14:textId="77777777" w:rsidR="003A5A50" w:rsidRDefault="00CB4873" w:rsidP="00D15805">
            <w:pPr>
              <w:pStyle w:val="cTableBody"/>
              <w:keepNext/>
              <w:spacing w:before="0" w:beforeAutospacing="0" w:after="0" w:afterAutospacing="0"/>
            </w:pPr>
            <w:r>
              <w:t>10B</w:t>
            </w:r>
          </w:p>
        </w:tc>
        <w:tc>
          <w:tcPr>
            <w:tcW w:w="7632" w:type="dxa"/>
          </w:tcPr>
          <w:p w14:paraId="5545F0E1" w14:textId="77777777" w:rsidR="003A5A50" w:rsidRDefault="00CB4873" w:rsidP="00D15805">
            <w:pPr>
              <w:pStyle w:val="cTableBody"/>
              <w:keepNext/>
              <w:spacing w:before="0" w:beforeAutospacing="0" w:after="0" w:afterAutospacing="0"/>
            </w:pPr>
            <w:r>
              <w:t>Requirements, procurement, baseline, and dual-reference interface control</w:t>
            </w:r>
          </w:p>
        </w:tc>
        <w:tc>
          <w:tcPr>
            <w:tcW w:w="937" w:type="dxa"/>
          </w:tcPr>
          <w:p w14:paraId="7736BD27" w14:textId="77777777" w:rsidR="003A5A50" w:rsidRDefault="00CB4873" w:rsidP="00D15805">
            <w:pPr>
              <w:pStyle w:val="cTableBody"/>
              <w:keepNext/>
              <w:spacing w:before="0" w:beforeAutospacing="0" w:after="0" w:afterAutospacing="0"/>
            </w:pPr>
            <w:r>
              <w:t>$5M</w:t>
            </w:r>
          </w:p>
        </w:tc>
      </w:tr>
      <w:tr w:rsidR="003A5A50" w14:paraId="6B88BFBE" w14:textId="77777777" w:rsidTr="003A5A50">
        <w:tc>
          <w:tcPr>
            <w:tcW w:w="1583" w:type="dxa"/>
          </w:tcPr>
          <w:p w14:paraId="43EE669A" w14:textId="77777777" w:rsidR="003A5A50" w:rsidRDefault="00CB4873">
            <w:pPr>
              <w:pStyle w:val="cTableBody"/>
              <w:spacing w:before="0" w:after="0"/>
            </w:pPr>
            <w:r>
              <w:t>10C</w:t>
            </w:r>
          </w:p>
        </w:tc>
        <w:tc>
          <w:tcPr>
            <w:tcW w:w="7632" w:type="dxa"/>
          </w:tcPr>
          <w:p w14:paraId="2BE30766" w14:textId="77777777" w:rsidR="003A5A50" w:rsidRDefault="00CB4873">
            <w:pPr>
              <w:pStyle w:val="cTableBody"/>
              <w:spacing w:before="0" w:after="0"/>
            </w:pPr>
            <w:r>
              <w:t>Design, supplier, manufacturing, and nuclear QA oversight</w:t>
            </w:r>
          </w:p>
        </w:tc>
        <w:tc>
          <w:tcPr>
            <w:tcW w:w="937" w:type="dxa"/>
          </w:tcPr>
          <w:p w14:paraId="3F9FABA5" w14:textId="77777777" w:rsidR="003A5A50" w:rsidRDefault="00CB4873">
            <w:pPr>
              <w:pStyle w:val="cTableBody"/>
              <w:spacing w:before="0" w:after="0"/>
            </w:pPr>
            <w:r>
              <w:t>$6M</w:t>
            </w:r>
          </w:p>
        </w:tc>
      </w:tr>
      <w:tr w:rsidR="003A5A50" w14:paraId="50D79094" w14:textId="77777777" w:rsidTr="003A5A50">
        <w:tc>
          <w:tcPr>
            <w:tcW w:w="1583" w:type="dxa"/>
          </w:tcPr>
          <w:p w14:paraId="7830BDF4" w14:textId="77777777" w:rsidR="003A5A50" w:rsidRDefault="00CB4873">
            <w:pPr>
              <w:pStyle w:val="cTableBody"/>
              <w:spacing w:before="0" w:after="0"/>
            </w:pPr>
            <w:r>
              <w:t>10D</w:t>
            </w:r>
          </w:p>
        </w:tc>
        <w:tc>
          <w:tcPr>
            <w:tcW w:w="7632" w:type="dxa"/>
          </w:tcPr>
          <w:p w14:paraId="00F42312" w14:textId="77777777" w:rsidR="003A5A50" w:rsidRDefault="00CB4873">
            <w:pPr>
              <w:pStyle w:val="cTableBody"/>
              <w:spacing w:before="0" w:after="0"/>
            </w:pPr>
            <w:r>
              <w:t>Pilot safety, testing, environmental, security, and regulator engagement</w:t>
            </w:r>
          </w:p>
        </w:tc>
        <w:tc>
          <w:tcPr>
            <w:tcW w:w="937" w:type="dxa"/>
          </w:tcPr>
          <w:p w14:paraId="30F20C88" w14:textId="77777777" w:rsidR="003A5A50" w:rsidRDefault="00CB4873">
            <w:pPr>
              <w:pStyle w:val="cTableBody"/>
              <w:spacing w:before="0" w:after="0"/>
            </w:pPr>
            <w:r>
              <w:t>$7M</w:t>
            </w:r>
          </w:p>
        </w:tc>
      </w:tr>
      <w:tr w:rsidR="003A5A50" w14:paraId="710B8E5C" w14:textId="77777777" w:rsidTr="003A5A50">
        <w:tc>
          <w:tcPr>
            <w:tcW w:w="1583" w:type="dxa"/>
          </w:tcPr>
          <w:p w14:paraId="78D25491" w14:textId="77777777" w:rsidR="003A5A50" w:rsidRDefault="00CB4873">
            <w:pPr>
              <w:pStyle w:val="cTableBody"/>
              <w:spacing w:before="0" w:after="0"/>
            </w:pPr>
            <w:r>
              <w:t>10E</w:t>
            </w:r>
          </w:p>
        </w:tc>
        <w:tc>
          <w:tcPr>
            <w:tcW w:w="7632" w:type="dxa"/>
          </w:tcPr>
          <w:p w14:paraId="38033C42" w14:textId="77777777" w:rsidR="003A5A50" w:rsidRDefault="00CB4873">
            <w:pPr>
              <w:pStyle w:val="cTableBody"/>
              <w:spacing w:before="0" w:after="0"/>
            </w:pPr>
            <w:r>
              <w:t>Final audit, lifecycle economics, comparative technology assessment, and Phase II decision package</w:t>
            </w:r>
          </w:p>
        </w:tc>
        <w:tc>
          <w:tcPr>
            <w:tcW w:w="937" w:type="dxa"/>
          </w:tcPr>
          <w:p w14:paraId="6F2B73EF" w14:textId="77777777" w:rsidR="003A5A50" w:rsidRDefault="00CB4873">
            <w:pPr>
              <w:pStyle w:val="cTableBody"/>
              <w:spacing w:before="0" w:after="0"/>
            </w:pPr>
            <w:r>
              <w:t>$7M</w:t>
            </w:r>
          </w:p>
        </w:tc>
      </w:tr>
    </w:tbl>
    <w:p w14:paraId="6361470C" w14:textId="4C8A9535" w:rsidR="003A5A50" w:rsidRDefault="00DE3072">
      <w:pPr>
        <w:pStyle w:val="Heading2"/>
        <w:spacing w:before="100"/>
      </w:pPr>
      <w:r>
        <w:t>Area 11. Central contingency and risk reserve - $200 million</w:t>
      </w:r>
    </w:p>
    <w:p w14:paraId="25EF794B" w14:textId="77777777" w:rsidR="003A5A50" w:rsidRDefault="00CB4873">
      <w:pPr>
        <w:spacing w:before="280" w:after="280"/>
      </w:pPr>
      <w:r>
        <w:t>Reserve is held by the funding source and released only after a written problem statement, alternatives analysis, independent review, updated cost/schedule estimate, and conflict check.</w:t>
      </w:r>
    </w:p>
    <w:tbl>
      <w:tblPr>
        <w:tblStyle w:val="gswTableStyle"/>
        <w:tblW w:w="10116" w:type="dxa"/>
        <w:tblLayout w:type="fixed"/>
        <w:tblLook w:val="04A0" w:firstRow="1" w:lastRow="0" w:firstColumn="1" w:lastColumn="0" w:noHBand="0" w:noVBand="1"/>
      </w:tblPr>
      <w:tblGrid>
        <w:gridCol w:w="3023"/>
        <w:gridCol w:w="1152"/>
        <w:gridCol w:w="5941"/>
      </w:tblGrid>
      <w:tr w:rsidR="003A5A50" w14:paraId="4318FA0F" w14:textId="77777777" w:rsidTr="003A5A50">
        <w:trPr>
          <w:cnfStyle w:val="100000000000" w:firstRow="1" w:lastRow="0" w:firstColumn="0" w:lastColumn="0" w:oddVBand="0" w:evenVBand="0" w:oddHBand="0" w:evenHBand="0" w:firstRowFirstColumn="0" w:firstRowLastColumn="0" w:lastRowFirstColumn="0" w:lastRowLastColumn="0"/>
          <w:tblHeader/>
        </w:trPr>
        <w:tc>
          <w:tcPr>
            <w:tcW w:w="3023" w:type="dxa"/>
          </w:tcPr>
          <w:p w14:paraId="6F0CF53B" w14:textId="77777777" w:rsidR="003A5A50" w:rsidRDefault="00CB4873">
            <w:pPr>
              <w:pStyle w:val="cTableHeader"/>
              <w:spacing w:before="0" w:after="0"/>
            </w:pPr>
            <w:r>
              <w:t>Reserve stage</w:t>
            </w:r>
          </w:p>
        </w:tc>
        <w:tc>
          <w:tcPr>
            <w:tcW w:w="1152" w:type="dxa"/>
          </w:tcPr>
          <w:p w14:paraId="5F28C11B" w14:textId="77777777" w:rsidR="003A5A50" w:rsidRDefault="00CB4873">
            <w:pPr>
              <w:pStyle w:val="cTableHeader"/>
              <w:spacing w:before="0" w:after="0"/>
            </w:pPr>
            <w:r>
              <w:t>Max.</w:t>
            </w:r>
          </w:p>
        </w:tc>
        <w:tc>
          <w:tcPr>
            <w:tcW w:w="5941" w:type="dxa"/>
          </w:tcPr>
          <w:p w14:paraId="39851F92" w14:textId="77777777" w:rsidR="003A5A50" w:rsidRDefault="00CB4873">
            <w:pPr>
              <w:pStyle w:val="cTableHeader"/>
              <w:spacing w:before="0" w:after="0"/>
            </w:pPr>
            <w:r>
              <w:t>Examples</w:t>
            </w:r>
          </w:p>
        </w:tc>
      </w:tr>
      <w:tr w:rsidR="003A5A50" w14:paraId="68763291" w14:textId="77777777" w:rsidTr="003A5A50">
        <w:tc>
          <w:tcPr>
            <w:tcW w:w="3023" w:type="dxa"/>
          </w:tcPr>
          <w:p w14:paraId="303DD902" w14:textId="77777777" w:rsidR="003A5A50" w:rsidRDefault="00CB4873">
            <w:pPr>
              <w:pStyle w:val="cTableBody"/>
              <w:spacing w:before="0" w:after="0"/>
            </w:pPr>
            <w:r>
              <w:t>Requirements and reference design</w:t>
            </w:r>
          </w:p>
        </w:tc>
        <w:tc>
          <w:tcPr>
            <w:tcW w:w="1152" w:type="dxa"/>
          </w:tcPr>
          <w:p w14:paraId="4FBAE71C" w14:textId="77777777" w:rsidR="003A5A50" w:rsidRDefault="00CB4873">
            <w:pPr>
              <w:pStyle w:val="cTableBody"/>
              <w:spacing w:before="0" w:after="0"/>
            </w:pPr>
            <w:r>
              <w:t>$25M</w:t>
            </w:r>
          </w:p>
        </w:tc>
        <w:tc>
          <w:tcPr>
            <w:tcW w:w="5941" w:type="dxa"/>
          </w:tcPr>
          <w:p w14:paraId="5040FEA7" w14:textId="77777777" w:rsidR="003A5A50" w:rsidRDefault="00CB4873">
            <w:pPr>
              <w:pStyle w:val="cTableBody"/>
              <w:spacing w:before="0" w:after="0"/>
            </w:pPr>
            <w:r>
              <w:t>Unexpected limits on HTR or PWR design data; China licensing/code studies; alternative site or structural concepts; added baseline measurements.</w:t>
            </w:r>
          </w:p>
        </w:tc>
      </w:tr>
      <w:tr w:rsidR="003A5A50" w14:paraId="5EAF7F3D" w14:textId="77777777" w:rsidTr="003A5A50">
        <w:tc>
          <w:tcPr>
            <w:tcW w:w="3023" w:type="dxa"/>
          </w:tcPr>
          <w:p w14:paraId="197EE614" w14:textId="77777777" w:rsidR="003A5A50" w:rsidRDefault="00CB4873">
            <w:pPr>
              <w:pStyle w:val="cTableBody"/>
              <w:spacing w:before="0" w:after="0"/>
            </w:pPr>
            <w:r>
              <w:t>Prototype design</w:t>
            </w:r>
          </w:p>
        </w:tc>
        <w:tc>
          <w:tcPr>
            <w:tcW w:w="1152" w:type="dxa"/>
          </w:tcPr>
          <w:p w14:paraId="344D5B58" w14:textId="77777777" w:rsidR="003A5A50" w:rsidRDefault="00CB4873">
            <w:pPr>
              <w:pStyle w:val="cTableBody"/>
              <w:spacing w:before="0" w:after="0"/>
            </w:pPr>
            <w:r>
              <w:t>$35M</w:t>
            </w:r>
          </w:p>
        </w:tc>
        <w:tc>
          <w:tcPr>
            <w:tcW w:w="5941" w:type="dxa"/>
          </w:tcPr>
          <w:p w14:paraId="16B5FCCA" w14:textId="77777777" w:rsidR="003A5A50" w:rsidRDefault="00CB4873">
            <w:pPr>
              <w:pStyle w:val="cTableBody"/>
              <w:spacing w:before="0" w:after="0"/>
            </w:pPr>
            <w:r>
              <w:t>Second-source concepts, failed tool tests, structural redesign, controls or functional-safety changes, HTR/PWR interface divergence.</w:t>
            </w:r>
          </w:p>
        </w:tc>
      </w:tr>
      <w:tr w:rsidR="003A5A50" w14:paraId="447531A2" w14:textId="77777777" w:rsidTr="003A5A50">
        <w:tc>
          <w:tcPr>
            <w:tcW w:w="3023" w:type="dxa"/>
          </w:tcPr>
          <w:p w14:paraId="0DB1274C" w14:textId="77777777" w:rsidR="003A5A50" w:rsidRDefault="00CB4873">
            <w:pPr>
              <w:pStyle w:val="cTableBody"/>
              <w:spacing w:before="0" w:after="0"/>
            </w:pPr>
            <w:r>
              <w:t>Fabrication and pilot site</w:t>
            </w:r>
          </w:p>
        </w:tc>
        <w:tc>
          <w:tcPr>
            <w:tcW w:w="1152" w:type="dxa"/>
          </w:tcPr>
          <w:p w14:paraId="603D43CF" w14:textId="77777777" w:rsidR="003A5A50" w:rsidRDefault="00CB4873">
            <w:pPr>
              <w:pStyle w:val="cTableBody"/>
              <w:spacing w:before="0" w:after="0"/>
            </w:pPr>
            <w:r>
              <w:t>$55M</w:t>
            </w:r>
          </w:p>
        </w:tc>
        <w:tc>
          <w:tcPr>
            <w:tcW w:w="5941" w:type="dxa"/>
          </w:tcPr>
          <w:p w14:paraId="295F34B1" w14:textId="77777777" w:rsidR="003A5A50" w:rsidRDefault="00CB4873">
            <w:pPr>
              <w:pStyle w:val="cTableBody"/>
              <w:spacing w:before="0" w:after="0"/>
            </w:pPr>
            <w:r>
              <w:t>Supplier failure, long-lead material, rework, pilot-site changes, inflation, extraordinary heavy logistics, replacement mockups.</w:t>
            </w:r>
          </w:p>
        </w:tc>
      </w:tr>
      <w:tr w:rsidR="003A5A50" w14:paraId="43CB9FF2" w14:textId="77777777" w:rsidTr="003A5A50">
        <w:tc>
          <w:tcPr>
            <w:tcW w:w="3023" w:type="dxa"/>
          </w:tcPr>
          <w:p w14:paraId="5EFDEAB1" w14:textId="77777777" w:rsidR="003A5A50" w:rsidRDefault="00CB4873">
            <w:pPr>
              <w:pStyle w:val="cTableBody"/>
              <w:spacing w:before="0" w:after="0"/>
            </w:pPr>
            <w:r>
              <w:t>Integration and test</w:t>
            </w:r>
          </w:p>
        </w:tc>
        <w:tc>
          <w:tcPr>
            <w:tcW w:w="1152" w:type="dxa"/>
          </w:tcPr>
          <w:p w14:paraId="4E217625" w14:textId="77777777" w:rsidR="003A5A50" w:rsidRDefault="00CB4873">
            <w:pPr>
              <w:pStyle w:val="cTableBody"/>
              <w:spacing w:before="0" w:after="0"/>
            </w:pPr>
            <w:r>
              <w:t>$65M</w:t>
            </w:r>
          </w:p>
        </w:tc>
        <w:tc>
          <w:tcPr>
            <w:tcW w:w="5941" w:type="dxa"/>
          </w:tcPr>
          <w:p w14:paraId="74BE4E38" w14:textId="77777777" w:rsidR="003A5A50" w:rsidRDefault="00CB4873">
            <w:pPr>
              <w:pStyle w:val="cTableBody"/>
              <w:spacing w:before="0" w:after="0"/>
            </w:pPr>
            <w:r>
              <w:t>Damaged prototypes, failed dual-track tests, additional pilot cycles, hardware/software/interface redesign, failure investigation.</w:t>
            </w:r>
          </w:p>
        </w:tc>
      </w:tr>
      <w:tr w:rsidR="003A5A50" w14:paraId="783106D0" w14:textId="77777777" w:rsidTr="003A5A50">
        <w:tc>
          <w:tcPr>
            <w:tcW w:w="3023" w:type="dxa"/>
          </w:tcPr>
          <w:p w14:paraId="75C3EC70" w14:textId="77777777" w:rsidR="003A5A50" w:rsidRDefault="00CB4873">
            <w:pPr>
              <w:pStyle w:val="cTableBody"/>
              <w:spacing w:before="0" w:after="0"/>
            </w:pPr>
            <w:r>
              <w:t>Final readiness</w:t>
            </w:r>
          </w:p>
        </w:tc>
        <w:tc>
          <w:tcPr>
            <w:tcW w:w="1152" w:type="dxa"/>
          </w:tcPr>
          <w:p w14:paraId="7852899B" w14:textId="77777777" w:rsidR="003A5A50" w:rsidRDefault="00CB4873">
            <w:pPr>
              <w:pStyle w:val="cTableBody"/>
              <w:spacing w:before="0" w:after="0"/>
            </w:pPr>
            <w:r>
              <w:t>$20M</w:t>
            </w:r>
          </w:p>
        </w:tc>
        <w:tc>
          <w:tcPr>
            <w:tcW w:w="5941" w:type="dxa"/>
          </w:tcPr>
          <w:p w14:paraId="11760881" w14:textId="77777777" w:rsidR="003A5A50" w:rsidRDefault="00CB4873">
            <w:pPr>
              <w:pStyle w:val="cTableBody"/>
              <w:spacing w:before="0" w:after="0"/>
            </w:pPr>
            <w:r>
              <w:t>Additional reliability runs, final deficiencies, China licensing/QA documents, cost-model verification, schedule recovery.</w:t>
            </w:r>
          </w:p>
        </w:tc>
      </w:tr>
    </w:tbl>
    <w:p w14:paraId="0BDF647C" w14:textId="77777777" w:rsidR="003A5A50" w:rsidRDefault="00CB4873">
      <w:pPr>
        <w:spacing w:before="280" w:after="280"/>
      </w:pPr>
      <w:r>
        <w:br w:type="page"/>
      </w:r>
    </w:p>
    <w:p w14:paraId="141E9389" w14:textId="77777777" w:rsidR="00DB7BD3" w:rsidRDefault="00CB4873">
      <w:pPr>
        <w:pStyle w:val="Heading1"/>
      </w:pPr>
      <w:bookmarkStart w:id="19" w:name="_Toc238204706"/>
      <w:r>
        <w:lastRenderedPageBreak/>
        <w:t>Safety, QA, and Qualification</w:t>
      </w:r>
      <w:bookmarkEnd w:id="19"/>
    </w:p>
    <w:p w14:paraId="63BB61F5" w14:textId="77777777" w:rsidR="00DB7BD3" w:rsidRDefault="00CB4873">
      <w:r>
        <w:t>The five-year program is deliberately a non-nuclear construction R&amp;D and demonstration effort. Its safety case therefore focuses on full-scale construction hazards, nuclear-quality evidence, controlled reactor interfaces, automation behavior, and the qualification gap between a successful pilot and work allowed on a licensed nuclear site. Portfolio-wide safety, audit, conflict, procurement, open-data, and stop-work rules remain governed by the Common Framework.</w:t>
      </w:r>
    </w:p>
    <w:tbl>
      <w:tblPr>
        <w:tblStyle w:val="gswTableStyle"/>
        <w:tblW w:w="0" w:type="auto"/>
        <w:tblInd w:w="172" w:type="dxa"/>
        <w:tblLook w:val="04A0" w:firstRow="1" w:lastRow="0" w:firstColumn="1" w:lastColumn="0" w:noHBand="0" w:noVBand="1"/>
      </w:tblPr>
      <w:tblGrid>
        <w:gridCol w:w="2002"/>
        <w:gridCol w:w="4338"/>
        <w:gridCol w:w="3712"/>
      </w:tblGrid>
      <w:tr w:rsidR="00DB7BD3" w14:paraId="06547734" w14:textId="77777777" w:rsidTr="00DB7BD3">
        <w:trPr>
          <w:cnfStyle w:val="100000000000" w:firstRow="1" w:lastRow="0" w:firstColumn="0" w:lastColumn="0" w:oddVBand="0" w:evenVBand="0" w:oddHBand="0" w:evenHBand="0" w:firstRowFirstColumn="0" w:firstRowLastColumn="0" w:lastRowFirstColumn="0" w:lastRowLastColumn="0"/>
          <w:cantSplit/>
          <w:tblHeader/>
        </w:trPr>
        <w:tc>
          <w:tcPr>
            <w:tcW w:w="2015" w:type="dxa"/>
          </w:tcPr>
          <w:p w14:paraId="26A9EDC4" w14:textId="77777777" w:rsidR="00DB7BD3" w:rsidRDefault="00CB4873">
            <w:pPr>
              <w:pStyle w:val="cTableHeader"/>
            </w:pPr>
            <w:r>
              <w:t>Area</w:t>
            </w:r>
          </w:p>
        </w:tc>
        <w:tc>
          <w:tcPr>
            <w:tcW w:w="4392" w:type="dxa"/>
          </w:tcPr>
          <w:p w14:paraId="6013320C" w14:textId="77777777" w:rsidR="00DB7BD3" w:rsidRDefault="00CB4873">
            <w:pPr>
              <w:pStyle w:val="cTableHeader"/>
            </w:pPr>
            <w:r>
              <w:t>Initiative-specific requirement</w:t>
            </w:r>
          </w:p>
        </w:tc>
        <w:tc>
          <w:tcPr>
            <w:tcW w:w="3744" w:type="dxa"/>
          </w:tcPr>
          <w:p w14:paraId="5B73D8E4" w14:textId="77777777" w:rsidR="00DB7BD3" w:rsidRDefault="00CB4873">
            <w:pPr>
              <w:pStyle w:val="cTableHeader"/>
            </w:pPr>
            <w:r>
              <w:t>Five-year evidence / boundary</w:t>
            </w:r>
          </w:p>
        </w:tc>
      </w:tr>
      <w:tr w:rsidR="00DB7BD3" w14:paraId="5879795E" w14:textId="77777777" w:rsidTr="00DB7BD3">
        <w:trPr>
          <w:cantSplit/>
        </w:trPr>
        <w:tc>
          <w:tcPr>
            <w:tcW w:w="2015" w:type="dxa"/>
          </w:tcPr>
          <w:p w14:paraId="716DA73B" w14:textId="77777777" w:rsidR="00DB7BD3" w:rsidRDefault="00CB4873">
            <w:pPr>
              <w:pStyle w:val="cTableBody"/>
            </w:pPr>
            <w:r>
              <w:t>Non-nuclear pilot boundary</w:t>
            </w:r>
          </w:p>
        </w:tc>
        <w:tc>
          <w:tcPr>
            <w:tcW w:w="4392" w:type="dxa"/>
          </w:tcPr>
          <w:p w14:paraId="16B57C1F" w14:textId="77777777" w:rsidR="00DB7BD3" w:rsidRDefault="00CB4873">
            <w:pPr>
              <w:pStyle w:val="cTableBody"/>
            </w:pPr>
            <w:r>
              <w:t>Use representative structures, loads, simulators, tools, and data without nuclear fuel or reactor operation.</w:t>
            </w:r>
          </w:p>
        </w:tc>
        <w:tc>
          <w:tcPr>
            <w:tcW w:w="3744" w:type="dxa"/>
          </w:tcPr>
          <w:p w14:paraId="4B676423" w14:textId="77777777" w:rsidR="00DB7BD3" w:rsidRDefault="00CB4873">
            <w:pPr>
              <w:pStyle w:val="cTableBody"/>
            </w:pPr>
            <w:r>
              <w:t>No fuel qualification, primary-system operation, reactor operation, or electricity generation is authorized by this program.</w:t>
            </w:r>
          </w:p>
        </w:tc>
      </w:tr>
      <w:tr w:rsidR="00DB7BD3" w14:paraId="4C52ECBA" w14:textId="77777777" w:rsidTr="00DB7BD3">
        <w:trPr>
          <w:cantSplit/>
        </w:trPr>
        <w:tc>
          <w:tcPr>
            <w:tcW w:w="2015" w:type="dxa"/>
          </w:tcPr>
          <w:p w14:paraId="4731DF25" w14:textId="77777777" w:rsidR="00DB7BD3" w:rsidRDefault="00CB4873">
            <w:pPr>
              <w:pStyle w:val="cTableBody"/>
            </w:pPr>
            <w:r>
              <w:t>Reference design authority</w:t>
            </w:r>
          </w:p>
        </w:tc>
        <w:tc>
          <w:tcPr>
            <w:tcW w:w="4392" w:type="dxa"/>
          </w:tcPr>
          <w:p w14:paraId="5F4A59AB" w14:textId="77777777" w:rsidR="00DB7BD3" w:rsidRDefault="00CB4873">
            <w:pPr>
              <w:pStyle w:val="cTableBody"/>
            </w:pPr>
            <w:r>
              <w:t>Control HTR and PWR geometry, loads, tolerances, safety classifications, interfaces, and permitted design data.</w:t>
            </w:r>
          </w:p>
        </w:tc>
        <w:tc>
          <w:tcPr>
            <w:tcW w:w="3744" w:type="dxa"/>
          </w:tcPr>
          <w:p w14:paraId="425EDD0C" w14:textId="77777777" w:rsidR="00DB7BD3" w:rsidRDefault="00CB4873">
            <w:pPr>
              <w:pStyle w:val="cTableBody"/>
            </w:pPr>
            <w:r>
              <w:t>A machine or construction-process change may not silently alter a licensed/safety-significant reactor interface.</w:t>
            </w:r>
          </w:p>
        </w:tc>
      </w:tr>
      <w:tr w:rsidR="00DB7BD3" w14:paraId="3B6B5929" w14:textId="77777777" w:rsidTr="00DB7BD3">
        <w:trPr>
          <w:cantSplit/>
        </w:trPr>
        <w:tc>
          <w:tcPr>
            <w:tcW w:w="2015" w:type="dxa"/>
          </w:tcPr>
          <w:p w14:paraId="24506D78" w14:textId="77777777" w:rsidR="00DB7BD3" w:rsidRDefault="00CB4873">
            <w:pPr>
              <w:pStyle w:val="cTableBody"/>
            </w:pPr>
            <w:r>
              <w:t>Nuclear QA and traceability</w:t>
            </w:r>
          </w:p>
        </w:tc>
        <w:tc>
          <w:tcPr>
            <w:tcW w:w="4392" w:type="dxa"/>
          </w:tcPr>
          <w:p w14:paraId="3C845C87" w14:textId="77777777" w:rsidR="00DB7BD3" w:rsidRDefault="00CB4873">
            <w:pPr>
              <w:pStyle w:val="cTableBody"/>
            </w:pPr>
            <w:r>
              <w:t>Apply applicable Chinese nuclear-construction QA requirements to representative work, including configuration, material identity, records, nonconformance, and corrective action.</w:t>
            </w:r>
          </w:p>
        </w:tc>
        <w:tc>
          <w:tcPr>
            <w:tcW w:w="3744" w:type="dxa"/>
          </w:tcPr>
          <w:p w14:paraId="3CDE68E8" w14:textId="77777777" w:rsidR="00DB7BD3" w:rsidRDefault="00CB4873">
            <w:pPr>
              <w:pStyle w:val="cTableBody"/>
            </w:pPr>
            <w:r>
              <w:t>Acceptance packages must permit an independent reviewer to reconstruct what was built, with what material/configuration, by which process, and against which requirement.</w:t>
            </w:r>
          </w:p>
        </w:tc>
      </w:tr>
      <w:tr w:rsidR="00DB7BD3" w14:paraId="19C79C2C" w14:textId="77777777" w:rsidTr="00DB7BD3">
        <w:trPr>
          <w:cantSplit/>
        </w:trPr>
        <w:tc>
          <w:tcPr>
            <w:tcW w:w="2015" w:type="dxa"/>
          </w:tcPr>
          <w:p w14:paraId="20483B4F" w14:textId="77777777" w:rsidR="00DB7BD3" w:rsidRDefault="00CB4873">
            <w:pPr>
              <w:pStyle w:val="cTableBody"/>
            </w:pPr>
            <w:r>
              <w:t>Human-supervised automation</w:t>
            </w:r>
          </w:p>
        </w:tc>
        <w:tc>
          <w:tcPr>
            <w:tcW w:w="4392" w:type="dxa"/>
          </w:tcPr>
          <w:p w14:paraId="0E180F22" w14:textId="77777777" w:rsidR="00DB7BD3" w:rsidRDefault="00CB4873">
            <w:pPr>
              <w:pStyle w:val="cTableBody"/>
            </w:pPr>
            <w:r>
              <w:t>Define operating domains, authorization, geofencing, safe stop, intervention, fault recovery, logging, and maintenance states.</w:t>
            </w:r>
          </w:p>
        </w:tc>
        <w:tc>
          <w:tcPr>
            <w:tcW w:w="3744" w:type="dxa"/>
          </w:tcPr>
          <w:p w14:paraId="4C093F20" w14:textId="77777777" w:rsidR="00DB7BD3" w:rsidRDefault="00CB4873">
            <w:pPr>
              <w:pStyle w:val="cTableBody"/>
            </w:pPr>
            <w:r>
              <w:t>Unattended operation is not assumed as a five-year objective; automation advances only when failure behavior is understood and independently reviewed.</w:t>
            </w:r>
          </w:p>
        </w:tc>
      </w:tr>
      <w:tr w:rsidR="00DB7BD3" w14:paraId="35BFDAE6" w14:textId="77777777" w:rsidTr="00DB7BD3">
        <w:trPr>
          <w:cantSplit/>
        </w:trPr>
        <w:tc>
          <w:tcPr>
            <w:tcW w:w="2015" w:type="dxa"/>
          </w:tcPr>
          <w:p w14:paraId="19BF0CE4" w14:textId="77777777" w:rsidR="00DB7BD3" w:rsidRDefault="00CB4873">
            <w:pPr>
              <w:pStyle w:val="cTableBody"/>
            </w:pPr>
            <w:r>
              <w:t>Heavy lift and machine safety</w:t>
            </w:r>
          </w:p>
        </w:tc>
        <w:tc>
          <w:tcPr>
            <w:tcW w:w="4392" w:type="dxa"/>
          </w:tcPr>
          <w:p w14:paraId="515E568D" w14:textId="77777777" w:rsidR="00DB7BD3" w:rsidRDefault="00CB4873">
            <w:pPr>
              <w:pStyle w:val="cTableBody"/>
            </w:pPr>
            <w:r>
              <w:t>Use engineered load cases, proof tests, exclusion zones, redundant monitoring where appropriate, safe-failure logic, and independent witnessing.</w:t>
            </w:r>
          </w:p>
        </w:tc>
        <w:tc>
          <w:tcPr>
            <w:tcW w:w="3744" w:type="dxa"/>
          </w:tcPr>
          <w:p w14:paraId="2B2B4341" w14:textId="77777777" w:rsidR="00DB7BD3" w:rsidRDefault="00CB4873">
            <w:pPr>
              <w:pStyle w:val="cTableBody"/>
            </w:pPr>
            <w:r>
              <w:t>Repeated precision moves must demonstrate load control, positioning accuracy, recovery from faults, and no unacceptable degradation of lifted components or fixtures.</w:t>
            </w:r>
          </w:p>
        </w:tc>
      </w:tr>
      <w:tr w:rsidR="00DB7BD3" w14:paraId="617B142B" w14:textId="77777777" w:rsidTr="00DB7BD3">
        <w:trPr>
          <w:cantSplit/>
        </w:trPr>
        <w:tc>
          <w:tcPr>
            <w:tcW w:w="2015" w:type="dxa"/>
          </w:tcPr>
          <w:p w14:paraId="1C3D6B92" w14:textId="77777777" w:rsidR="00DB7BD3" w:rsidRDefault="00CB4873">
            <w:pPr>
              <w:pStyle w:val="cTableBody"/>
            </w:pPr>
            <w:r>
              <w:t>Civil structures and temporary works</w:t>
            </w:r>
          </w:p>
        </w:tc>
        <w:tc>
          <w:tcPr>
            <w:tcW w:w="4392" w:type="dxa"/>
          </w:tcPr>
          <w:p w14:paraId="7B54747C" w14:textId="77777777" w:rsidR="00DB7BD3" w:rsidRDefault="00CB4873">
            <w:pPr>
              <w:pStyle w:val="cTableBody"/>
            </w:pPr>
            <w:r>
              <w:t>Qualify representative concrete, rebar, liners, embeds, anchors, temporary works, curing, inspection, and dimensional control against applicable requirements.</w:t>
            </w:r>
          </w:p>
        </w:tc>
        <w:tc>
          <w:tcPr>
            <w:tcW w:w="3744" w:type="dxa"/>
          </w:tcPr>
          <w:p w14:paraId="7205BEF1" w14:textId="77777777" w:rsidR="00DB7BD3" w:rsidRDefault="00CB4873">
            <w:pPr>
              <w:pStyle w:val="cTableBody"/>
            </w:pPr>
            <w:r>
              <w:t>Full-scale or near-full-scale HTR and PWR test articles must show quality at least comparable to the conventional Chinese baseline.</w:t>
            </w:r>
          </w:p>
        </w:tc>
      </w:tr>
      <w:tr w:rsidR="00DB7BD3" w14:paraId="527C79B7" w14:textId="77777777" w:rsidTr="00DB7BD3">
        <w:trPr>
          <w:cantSplit/>
        </w:trPr>
        <w:tc>
          <w:tcPr>
            <w:tcW w:w="2015" w:type="dxa"/>
          </w:tcPr>
          <w:p w14:paraId="49C18FC2" w14:textId="77777777" w:rsidR="00DB7BD3" w:rsidRDefault="00CB4873">
            <w:pPr>
              <w:pStyle w:val="cTableBody"/>
            </w:pPr>
            <w:r>
              <w:t>Metrology and NDE</w:t>
            </w:r>
          </w:p>
        </w:tc>
        <w:tc>
          <w:tcPr>
            <w:tcW w:w="4392" w:type="dxa"/>
          </w:tcPr>
          <w:p w14:paraId="21B4F306" w14:textId="77777777" w:rsidR="00DB7BD3" w:rsidRDefault="00CB4873">
            <w:pPr>
              <w:pStyle w:val="cTableBody"/>
            </w:pPr>
            <w:r>
              <w:t>Use calibrated, traceable measurement and independent V&amp;V for critical dimensions, weld/connection quality, material traceability, and as-built verification.</w:t>
            </w:r>
          </w:p>
        </w:tc>
        <w:tc>
          <w:tcPr>
            <w:tcW w:w="3744" w:type="dxa"/>
          </w:tcPr>
          <w:p w14:paraId="35DBF616" w14:textId="77777777" w:rsidR="00DB7BD3" w:rsidRDefault="00CB4873">
            <w:pPr>
              <w:pStyle w:val="cTableBody"/>
            </w:pPr>
            <w:r>
              <w:t>Machine productivity is not accepted if it creates hidden inspection debt, unresolved nonconformance, or less reliable records.</w:t>
            </w:r>
          </w:p>
        </w:tc>
      </w:tr>
      <w:tr w:rsidR="00DB7BD3" w14:paraId="6F550FC6" w14:textId="77777777" w:rsidTr="00DB7BD3">
        <w:trPr>
          <w:cantSplit/>
        </w:trPr>
        <w:tc>
          <w:tcPr>
            <w:tcW w:w="2015" w:type="dxa"/>
          </w:tcPr>
          <w:p w14:paraId="0C564583" w14:textId="77777777" w:rsidR="00DB7BD3" w:rsidRDefault="00CB4873">
            <w:pPr>
              <w:pStyle w:val="cTableBody"/>
            </w:pPr>
            <w:r>
              <w:t>Cybersecurity and controlled information</w:t>
            </w:r>
          </w:p>
        </w:tc>
        <w:tc>
          <w:tcPr>
            <w:tcW w:w="4392" w:type="dxa"/>
          </w:tcPr>
          <w:p w14:paraId="64B578DF" w14:textId="77777777" w:rsidR="00DB7BD3" w:rsidRDefault="00CB4873">
            <w:pPr>
              <w:pStyle w:val="cTableBody"/>
            </w:pPr>
            <w:r>
              <w:t>Protect controlled reactor/vendor data while separating it from sponsor-funded machine foreground work and open test evidence.</w:t>
            </w:r>
          </w:p>
        </w:tc>
        <w:tc>
          <w:tcPr>
            <w:tcW w:w="3744" w:type="dxa"/>
          </w:tcPr>
          <w:p w14:paraId="20EAEB64" w14:textId="77777777" w:rsidR="00DB7BD3" w:rsidRDefault="00CB4873">
            <w:pPr>
              <w:pStyle w:val="cTableBody"/>
            </w:pPr>
            <w:r>
              <w:t>Release restrictions must be narrow and documented; the public machine/test package should remain reusable to the maximum lawful extent.</w:t>
            </w:r>
          </w:p>
        </w:tc>
      </w:tr>
      <w:tr w:rsidR="00DB7BD3" w14:paraId="12EBA091" w14:textId="77777777" w:rsidTr="00DB7BD3">
        <w:trPr>
          <w:cantSplit/>
        </w:trPr>
        <w:tc>
          <w:tcPr>
            <w:tcW w:w="2015" w:type="dxa"/>
          </w:tcPr>
          <w:p w14:paraId="2D4B24D4" w14:textId="77777777" w:rsidR="00DB7BD3" w:rsidRDefault="00CB4873">
            <w:pPr>
              <w:pStyle w:val="cTableBody"/>
            </w:pPr>
            <w:r>
              <w:lastRenderedPageBreak/>
              <w:t>Qualification gap to first licensed site</w:t>
            </w:r>
          </w:p>
        </w:tc>
        <w:tc>
          <w:tcPr>
            <w:tcW w:w="4392" w:type="dxa"/>
          </w:tcPr>
          <w:p w14:paraId="36D0A345" w14:textId="77777777" w:rsidR="00DB7BD3" w:rsidRDefault="00CB4873">
            <w:pPr>
              <w:pStyle w:val="cTableBody"/>
            </w:pPr>
            <w:r>
              <w:t>Maintain a living list of tests, codes, procedures, vendor approvals, regulator interactions, and site-specific qualification still required after the pilot.</w:t>
            </w:r>
          </w:p>
        </w:tc>
        <w:tc>
          <w:tcPr>
            <w:tcW w:w="3744" w:type="dxa"/>
          </w:tcPr>
          <w:p w14:paraId="7D146820" w14:textId="77777777" w:rsidR="00DB7BD3" w:rsidRDefault="00CB4873">
            <w:pPr>
              <w:pStyle w:val="cTableBody"/>
            </w:pPr>
            <w:r>
              <w:t>A successful pilot is evidence for a Phase II decision, not authorization to construct or license a commercial reactor.</w:t>
            </w:r>
          </w:p>
        </w:tc>
      </w:tr>
      <w:tr w:rsidR="00DB7BD3" w14:paraId="09BD9FB6" w14:textId="77777777" w:rsidTr="00DB7BD3">
        <w:trPr>
          <w:cantSplit/>
        </w:trPr>
        <w:tc>
          <w:tcPr>
            <w:tcW w:w="2015" w:type="dxa"/>
          </w:tcPr>
          <w:p w14:paraId="747BA7C6" w14:textId="77777777" w:rsidR="00DB7BD3" w:rsidRDefault="00CB4873">
            <w:pPr>
              <w:pStyle w:val="cTableBody"/>
            </w:pPr>
            <w:r>
              <w:t>Independent hold / stop authority</w:t>
            </w:r>
          </w:p>
        </w:tc>
        <w:tc>
          <w:tcPr>
            <w:tcW w:w="4392" w:type="dxa"/>
          </w:tcPr>
          <w:p w14:paraId="46E0539C" w14:textId="77777777" w:rsidR="00DB7BD3" w:rsidRDefault="00CB4873">
            <w:pPr>
              <w:pStyle w:val="cTableBody"/>
            </w:pPr>
            <w:r>
              <w:t>Provide independent QA, safety, and test authorities direct access and defined hold/stop rights.</w:t>
            </w:r>
          </w:p>
        </w:tc>
        <w:tc>
          <w:tcPr>
            <w:tcW w:w="3744" w:type="dxa"/>
          </w:tcPr>
          <w:p w14:paraId="26F46B1B" w14:textId="77777777" w:rsidR="00DB7BD3" w:rsidRDefault="00CB4873">
            <w:pPr>
              <w:pStyle w:val="cTableBody"/>
            </w:pPr>
            <w:r>
              <w:t>Serious safety, quality, cyber, or configuration findings can halt the affected work until disposition is approved.</w:t>
            </w:r>
          </w:p>
        </w:tc>
      </w:tr>
    </w:tbl>
    <w:p w14:paraId="4B5F4EE1" w14:textId="77777777" w:rsidR="00DB7BD3" w:rsidRDefault="00CB4873">
      <w:pPr>
        <w:pStyle w:val="Heading1"/>
      </w:pPr>
      <w:bookmarkStart w:id="20" w:name="_Toc238204707"/>
      <w:r>
        <w:lastRenderedPageBreak/>
        <w:t>Automated Construction Costs</w:t>
      </w:r>
      <w:bookmarkEnd w:id="20"/>
    </w:p>
    <w:p w14:paraId="2261E34F" w14:textId="77777777" w:rsidR="00DB7BD3" w:rsidRDefault="00CB4873">
      <w:pPr>
        <w:pStyle w:val="cUserPromptText"/>
      </w:pPr>
      <w:r>
        <w:rPr>
          <w:b/>
        </w:rPr>
        <w:t xml:space="preserve">Prompt to AI: </w:t>
      </w:r>
      <w:r>
        <w:t>Compare Automated China HTR, Automated China PWR, and conventional China PWR construction, but treat the automated cases as planning scenarios rather than demonstrated costs. Make the assumed construction-cost and schedule changes explicit and identify what the R&amp;D program must actually measure.</w:t>
      </w:r>
    </w:p>
    <w:p w14:paraId="205A11D0" w14:textId="77777777" w:rsidR="00DB7BD3" w:rsidRDefault="00CB4873">
      <w:pPr>
        <w:pStyle w:val="cSubject"/>
      </w:pPr>
      <w:r>
        <w:t>Response From AI:</w:t>
      </w:r>
    </w:p>
    <w:p w14:paraId="3A6A104F" w14:textId="77777777" w:rsidR="00DB7BD3" w:rsidRDefault="00CB4873">
      <w:r>
        <w:t>Purpose of this chapter. The automated HTR and PWR numbers in this proposal are not observed costs and should not be read as predictions. They are central planning scenarios used to test whether construction automation is economically important enough to justify the R&amp;D. The program should measure site-executed construction cost and schedule first, then independently reconstruct total plant CAPEX, financing exposure, LCOE, and useful-heat economics from those measurements.</w:t>
      </w:r>
    </w:p>
    <w:p w14:paraId="120085F0" w14:textId="77777777" w:rsidR="00DB7BD3" w:rsidRDefault="00CB4873">
      <w:pPr>
        <w:pStyle w:val="Heading2"/>
      </w:pPr>
      <w:r>
        <w:t>Central planning comparison</w:t>
      </w:r>
    </w:p>
    <w:tbl>
      <w:tblPr>
        <w:tblStyle w:val="gswTableStyle"/>
        <w:tblW w:w="10687" w:type="dxa"/>
        <w:tblInd w:w="172" w:type="dxa"/>
        <w:tblLook w:val="04A0" w:firstRow="1" w:lastRow="0" w:firstColumn="1" w:lastColumn="0" w:noHBand="0" w:noVBand="1"/>
      </w:tblPr>
      <w:tblGrid>
        <w:gridCol w:w="1991"/>
        <w:gridCol w:w="2535"/>
        <w:gridCol w:w="1080"/>
        <w:gridCol w:w="1273"/>
        <w:gridCol w:w="1365"/>
        <w:gridCol w:w="1208"/>
        <w:gridCol w:w="1235"/>
      </w:tblGrid>
      <w:tr w:rsidR="00DB7BD3" w14:paraId="7036FCDB" w14:textId="77777777" w:rsidTr="007C0766">
        <w:trPr>
          <w:cnfStyle w:val="100000000000" w:firstRow="1" w:lastRow="0" w:firstColumn="0" w:lastColumn="0" w:oddVBand="0" w:evenVBand="0" w:oddHBand="0" w:evenHBand="0" w:firstRowFirstColumn="0" w:firstRowLastColumn="0" w:lastRowFirstColumn="0" w:lastRowLastColumn="0"/>
          <w:cantSplit/>
          <w:tblHeader/>
        </w:trPr>
        <w:tc>
          <w:tcPr>
            <w:tcW w:w="1991" w:type="dxa"/>
          </w:tcPr>
          <w:p w14:paraId="391EF67E" w14:textId="77777777" w:rsidR="00DB7BD3" w:rsidRDefault="00CB4873">
            <w:pPr>
              <w:pStyle w:val="cTableHeader"/>
            </w:pPr>
            <w:r>
              <w:t>China case</w:t>
            </w:r>
          </w:p>
        </w:tc>
        <w:tc>
          <w:tcPr>
            <w:tcW w:w="2535" w:type="dxa"/>
          </w:tcPr>
          <w:p w14:paraId="73E3235A" w14:textId="77777777" w:rsidR="00DB7BD3" w:rsidRDefault="00CB4873">
            <w:pPr>
              <w:pStyle w:val="cTableHeader"/>
            </w:pPr>
            <w:r>
              <w:t>Status / interpretation</w:t>
            </w:r>
          </w:p>
        </w:tc>
        <w:tc>
          <w:tcPr>
            <w:tcW w:w="1080" w:type="dxa"/>
          </w:tcPr>
          <w:p w14:paraId="6BD01CE4" w14:textId="77777777" w:rsidR="00DB7BD3" w:rsidRDefault="00CB4873">
            <w:pPr>
              <w:pStyle w:val="cTableHeader"/>
            </w:pPr>
            <w:r>
              <w:t>Build time</w:t>
            </w:r>
          </w:p>
        </w:tc>
        <w:tc>
          <w:tcPr>
            <w:tcW w:w="1273" w:type="dxa"/>
          </w:tcPr>
          <w:p w14:paraId="29F157EE" w14:textId="76E43167" w:rsidR="00DB7BD3" w:rsidRDefault="007C0766">
            <w:pPr>
              <w:pStyle w:val="cTableHeader"/>
            </w:pPr>
            <w:r>
              <w:t>Overnight CAPEX ($/We)</w:t>
            </w:r>
          </w:p>
        </w:tc>
        <w:tc>
          <w:tcPr>
            <w:tcW w:w="1365" w:type="dxa"/>
          </w:tcPr>
          <w:p w14:paraId="2AC71E1A" w14:textId="35489C82" w:rsidR="00DB7BD3" w:rsidRDefault="00CB4873">
            <w:pPr>
              <w:pStyle w:val="cTableHeader"/>
            </w:pPr>
            <w:r>
              <w:t>Site-construction ($/We)</w:t>
            </w:r>
          </w:p>
        </w:tc>
        <w:tc>
          <w:tcPr>
            <w:tcW w:w="1208" w:type="dxa"/>
          </w:tcPr>
          <w:p w14:paraId="33DAA0B7" w14:textId="77777777" w:rsidR="00DB7BD3" w:rsidRDefault="00CB4873">
            <w:pPr>
              <w:pStyle w:val="cTableHeader"/>
            </w:pPr>
            <w:r>
              <w:t>Electricity LCOE ($/MWh)</w:t>
            </w:r>
          </w:p>
        </w:tc>
        <w:tc>
          <w:tcPr>
            <w:tcW w:w="1235" w:type="dxa"/>
          </w:tcPr>
          <w:p w14:paraId="65545B14" w14:textId="77777777" w:rsidR="00DB7BD3" w:rsidRDefault="00CB4873">
            <w:pPr>
              <w:pStyle w:val="cTableHeader"/>
            </w:pPr>
            <w:r>
              <w:t>Heat LCOE ($/MWhth)</w:t>
            </w:r>
          </w:p>
        </w:tc>
      </w:tr>
      <w:tr w:rsidR="00DB7BD3" w14:paraId="2FA79A4C" w14:textId="77777777" w:rsidTr="007C0766">
        <w:trPr>
          <w:cantSplit/>
        </w:trPr>
        <w:tc>
          <w:tcPr>
            <w:tcW w:w="1991" w:type="dxa"/>
          </w:tcPr>
          <w:p w14:paraId="088F61A9" w14:textId="164687B9" w:rsidR="00DB7BD3" w:rsidRDefault="00CB4873">
            <w:pPr>
              <w:pStyle w:val="cTableBody"/>
            </w:pPr>
            <w:r>
              <w:t>Hualong One-class PWR</w:t>
            </w:r>
          </w:p>
        </w:tc>
        <w:tc>
          <w:tcPr>
            <w:tcW w:w="2535" w:type="dxa"/>
          </w:tcPr>
          <w:p w14:paraId="7FA24CDC" w14:textId="77777777" w:rsidR="00DB7BD3" w:rsidRDefault="00CB4873">
            <w:pPr>
              <w:pStyle w:val="cTableBody"/>
            </w:pPr>
            <w:r>
              <w:t>Current planning baseline represented in this proposal</w:t>
            </w:r>
          </w:p>
        </w:tc>
        <w:tc>
          <w:tcPr>
            <w:tcW w:w="1080" w:type="dxa"/>
          </w:tcPr>
          <w:p w14:paraId="106B842B" w14:textId="0C8DD617" w:rsidR="00DB7BD3" w:rsidRDefault="00CB4873">
            <w:pPr>
              <w:pStyle w:val="cTableBody"/>
            </w:pPr>
            <w:r>
              <w:t>5–7 yr;</w:t>
            </w:r>
            <w:r w:rsidR="007C0766">
              <w:t xml:space="preserve"> </w:t>
            </w:r>
            <w:r w:rsidR="007C0766">
              <w:br/>
            </w:r>
            <w:r>
              <w:t>~6 yr typ</w:t>
            </w:r>
            <w:r w:rsidR="007C0766">
              <w:t>.</w:t>
            </w:r>
          </w:p>
        </w:tc>
        <w:tc>
          <w:tcPr>
            <w:tcW w:w="1273" w:type="dxa"/>
          </w:tcPr>
          <w:p w14:paraId="07BA1CFF" w14:textId="77777777" w:rsidR="00DB7BD3" w:rsidRDefault="00CB4873">
            <w:pPr>
              <w:pStyle w:val="cTableBody"/>
            </w:pPr>
            <w:r>
              <w:t>$2.00–$2.50</w:t>
            </w:r>
          </w:p>
        </w:tc>
        <w:tc>
          <w:tcPr>
            <w:tcW w:w="1365" w:type="dxa"/>
          </w:tcPr>
          <w:p w14:paraId="09F71F08" w14:textId="77777777" w:rsidR="00DB7BD3" w:rsidRDefault="00CB4873">
            <w:pPr>
              <w:pStyle w:val="cTableBody"/>
            </w:pPr>
            <w:r>
              <w:t>$0.75–$1.00</w:t>
            </w:r>
          </w:p>
        </w:tc>
        <w:tc>
          <w:tcPr>
            <w:tcW w:w="1208" w:type="dxa"/>
          </w:tcPr>
          <w:p w14:paraId="686E38D1" w14:textId="77777777" w:rsidR="00DB7BD3" w:rsidRDefault="00CB4873">
            <w:pPr>
              <w:pStyle w:val="cTableBody"/>
            </w:pPr>
            <w:r>
              <w:t>$34–$45</w:t>
            </w:r>
          </w:p>
        </w:tc>
        <w:tc>
          <w:tcPr>
            <w:tcW w:w="1235" w:type="dxa"/>
          </w:tcPr>
          <w:p w14:paraId="67868BA1" w14:textId="77777777" w:rsidR="00DB7BD3" w:rsidRDefault="00CB4873">
            <w:pPr>
              <w:pStyle w:val="cTableBody"/>
            </w:pPr>
            <w:r>
              <w:t>$11–$14</w:t>
            </w:r>
          </w:p>
        </w:tc>
      </w:tr>
      <w:tr w:rsidR="00DB7BD3" w14:paraId="720E6197" w14:textId="77777777" w:rsidTr="007C0766">
        <w:trPr>
          <w:cantSplit/>
        </w:trPr>
        <w:tc>
          <w:tcPr>
            <w:tcW w:w="1991" w:type="dxa"/>
          </w:tcPr>
          <w:p w14:paraId="4BD72449" w14:textId="77777777" w:rsidR="00DB7BD3" w:rsidRDefault="00CB4873">
            <w:pPr>
              <w:pStyle w:val="cTableBody"/>
            </w:pPr>
            <w:r>
              <w:t>Automated Hualong One-class PWR</w:t>
            </w:r>
          </w:p>
        </w:tc>
        <w:tc>
          <w:tcPr>
            <w:tcW w:w="2535" w:type="dxa"/>
          </w:tcPr>
          <w:p w14:paraId="1797D3B9" w14:textId="77777777" w:rsidR="00DB7BD3" w:rsidRDefault="00CB4873">
            <w:pPr>
              <w:pStyle w:val="cTableBody"/>
            </w:pPr>
            <w:r>
              <w:t>Modeled central scenario; not demonstrated</w:t>
            </w:r>
          </w:p>
        </w:tc>
        <w:tc>
          <w:tcPr>
            <w:tcW w:w="1080" w:type="dxa"/>
          </w:tcPr>
          <w:p w14:paraId="36A21375" w14:textId="77777777" w:rsidR="00DB7BD3" w:rsidRDefault="00CB4873">
            <w:pPr>
              <w:pStyle w:val="cTableBody"/>
            </w:pPr>
            <w:r>
              <w:t>3.5–4.5 yr</w:t>
            </w:r>
          </w:p>
        </w:tc>
        <w:tc>
          <w:tcPr>
            <w:tcW w:w="1273" w:type="dxa"/>
          </w:tcPr>
          <w:p w14:paraId="02D152A3" w14:textId="77777777" w:rsidR="00DB7BD3" w:rsidRDefault="00CB4873">
            <w:pPr>
              <w:pStyle w:val="cTableBody"/>
            </w:pPr>
            <w:r>
              <w:t>$1.45–$1.75</w:t>
            </w:r>
          </w:p>
        </w:tc>
        <w:tc>
          <w:tcPr>
            <w:tcW w:w="1365" w:type="dxa"/>
          </w:tcPr>
          <w:p w14:paraId="335BF69B" w14:textId="77777777" w:rsidR="00DB7BD3" w:rsidRDefault="00CB4873">
            <w:pPr>
              <w:pStyle w:val="cTableBody"/>
            </w:pPr>
            <w:r>
              <w:t>$0.35–$0.50</w:t>
            </w:r>
          </w:p>
        </w:tc>
        <w:tc>
          <w:tcPr>
            <w:tcW w:w="1208" w:type="dxa"/>
          </w:tcPr>
          <w:p w14:paraId="6A106569" w14:textId="77777777" w:rsidR="00DB7BD3" w:rsidRDefault="00CB4873">
            <w:pPr>
              <w:pStyle w:val="cTableBody"/>
            </w:pPr>
            <w:r>
              <w:t>$27–$34</w:t>
            </w:r>
          </w:p>
        </w:tc>
        <w:tc>
          <w:tcPr>
            <w:tcW w:w="1235" w:type="dxa"/>
          </w:tcPr>
          <w:p w14:paraId="120F5A78" w14:textId="77777777" w:rsidR="00DB7BD3" w:rsidRDefault="00CB4873">
            <w:pPr>
              <w:pStyle w:val="cTableBody"/>
            </w:pPr>
            <w:r>
              <w:t>$9–$11</w:t>
            </w:r>
          </w:p>
        </w:tc>
      </w:tr>
      <w:tr w:rsidR="00DB7BD3" w14:paraId="3A6ADD44" w14:textId="77777777" w:rsidTr="007C0766">
        <w:trPr>
          <w:cantSplit/>
        </w:trPr>
        <w:tc>
          <w:tcPr>
            <w:tcW w:w="1991" w:type="dxa"/>
          </w:tcPr>
          <w:p w14:paraId="2CC2E04F" w14:textId="77777777" w:rsidR="00DB7BD3" w:rsidRDefault="00CB4873">
            <w:pPr>
              <w:pStyle w:val="cTableBody"/>
            </w:pPr>
            <w:r>
              <w:t>Automated HTR-PM/HTR-PM600-type plant</w:t>
            </w:r>
          </w:p>
        </w:tc>
        <w:tc>
          <w:tcPr>
            <w:tcW w:w="2535" w:type="dxa"/>
          </w:tcPr>
          <w:p w14:paraId="4B23F351" w14:textId="77777777" w:rsidR="00DB7BD3" w:rsidRDefault="00CB4873">
            <w:pPr>
              <w:pStyle w:val="cTableBody"/>
            </w:pPr>
            <w:r>
              <w:t>Modeled mature multi-module scenario; not demonstrated</w:t>
            </w:r>
          </w:p>
        </w:tc>
        <w:tc>
          <w:tcPr>
            <w:tcW w:w="1080" w:type="dxa"/>
          </w:tcPr>
          <w:p w14:paraId="3D3A423E" w14:textId="77777777" w:rsidR="00DB7BD3" w:rsidRDefault="00CB4873">
            <w:pPr>
              <w:pStyle w:val="cTableBody"/>
            </w:pPr>
            <w:r>
              <w:t>3–4 yr</w:t>
            </w:r>
          </w:p>
        </w:tc>
        <w:tc>
          <w:tcPr>
            <w:tcW w:w="1273" w:type="dxa"/>
          </w:tcPr>
          <w:p w14:paraId="7F0C19DD" w14:textId="77777777" w:rsidR="00DB7BD3" w:rsidRDefault="00CB4873">
            <w:pPr>
              <w:pStyle w:val="cTableBody"/>
            </w:pPr>
            <w:r>
              <w:t>$1.70–$2.10</w:t>
            </w:r>
          </w:p>
        </w:tc>
        <w:tc>
          <w:tcPr>
            <w:tcW w:w="1365" w:type="dxa"/>
          </w:tcPr>
          <w:p w14:paraId="0E492F38" w14:textId="77777777" w:rsidR="00DB7BD3" w:rsidRDefault="00CB4873">
            <w:pPr>
              <w:pStyle w:val="cTableBody"/>
            </w:pPr>
            <w:r>
              <w:t>$0.30–$0.45</w:t>
            </w:r>
          </w:p>
        </w:tc>
        <w:tc>
          <w:tcPr>
            <w:tcW w:w="1208" w:type="dxa"/>
          </w:tcPr>
          <w:p w14:paraId="28A53B9B" w14:textId="77777777" w:rsidR="00DB7BD3" w:rsidRDefault="00CB4873">
            <w:pPr>
              <w:pStyle w:val="cTableBody"/>
            </w:pPr>
            <w:r>
              <w:t>$32–$41</w:t>
            </w:r>
          </w:p>
        </w:tc>
        <w:tc>
          <w:tcPr>
            <w:tcW w:w="1235" w:type="dxa"/>
          </w:tcPr>
          <w:p w14:paraId="65EC6EFD" w14:textId="77777777" w:rsidR="00DB7BD3" w:rsidRDefault="00CB4873">
            <w:pPr>
              <w:pStyle w:val="cTableBody"/>
            </w:pPr>
            <w:r>
              <w:t>$13–$17</w:t>
            </w:r>
          </w:p>
        </w:tc>
      </w:tr>
    </w:tbl>
    <w:p w14:paraId="30B74F1F" w14:textId="77777777" w:rsidR="00DB7BD3" w:rsidRDefault="00CB4873">
      <w:r>
        <w:t>Important qualification. The automated rows are hypotheses to be tested, not program promises or acceptance criteria. The HTR and PWR heat figures also measure energy quantity rather than heat quality: HTR-PM offers much higher-temperature steam than a PWR, so one MWhth is not economically interchangeable across the two reactor types.</w:t>
      </w:r>
    </w:p>
    <w:p w14:paraId="036334CD" w14:textId="77777777" w:rsidR="00DB7BD3" w:rsidRDefault="00CB4873">
      <w:pPr>
        <w:pStyle w:val="Heading2"/>
      </w:pPr>
      <w:r>
        <w:t>Economic sensitivity the program should actually test</w:t>
      </w:r>
    </w:p>
    <w:p w14:paraId="0FED5C77" w14:textId="77777777" w:rsidR="00DB7BD3" w:rsidRDefault="00CB4873">
      <w:r>
        <w:t>The most direct economic variable controlled by this initiative is site-executed construction cost. Using the proposal’s conventional-PWR site baseline of $0.75–$1.00/We, the following sensitivity shows what different measured automation outcomes would mean before making any claim about total plant CAPEX or LCOE.</w:t>
      </w:r>
    </w:p>
    <w:tbl>
      <w:tblPr>
        <w:tblStyle w:val="gswTableStyle"/>
        <w:tblW w:w="0" w:type="auto"/>
        <w:tblInd w:w="172" w:type="dxa"/>
        <w:tblLook w:val="04A0" w:firstRow="1" w:lastRow="0" w:firstColumn="1" w:lastColumn="0" w:noHBand="0" w:noVBand="1"/>
      </w:tblPr>
      <w:tblGrid>
        <w:gridCol w:w="3210"/>
        <w:gridCol w:w="3353"/>
        <w:gridCol w:w="3489"/>
      </w:tblGrid>
      <w:tr w:rsidR="00DB7BD3" w14:paraId="2F09D7B5" w14:textId="77777777" w:rsidTr="00DB7BD3">
        <w:trPr>
          <w:cnfStyle w:val="100000000000" w:firstRow="1" w:lastRow="0" w:firstColumn="0" w:lastColumn="0" w:oddVBand="0" w:evenVBand="0" w:oddHBand="0" w:evenHBand="0" w:firstRowFirstColumn="0" w:firstRowLastColumn="0" w:lastRowFirstColumn="0" w:lastRowLastColumn="0"/>
          <w:cantSplit/>
          <w:tblHeader/>
        </w:trPr>
        <w:tc>
          <w:tcPr>
            <w:tcW w:w="3240" w:type="dxa"/>
          </w:tcPr>
          <w:p w14:paraId="2000F95B" w14:textId="77777777" w:rsidR="00DB7BD3" w:rsidRDefault="00CB4873">
            <w:pPr>
              <w:pStyle w:val="cTableHeader"/>
            </w:pPr>
            <w:r>
              <w:lastRenderedPageBreak/>
              <w:t>PWR site-construction outcome</w:t>
            </w:r>
          </w:p>
        </w:tc>
        <w:tc>
          <w:tcPr>
            <w:tcW w:w="3384" w:type="dxa"/>
          </w:tcPr>
          <w:p w14:paraId="606ACD68" w14:textId="1AF69765" w:rsidR="00DB7BD3" w:rsidRDefault="00CB4873" w:rsidP="00B86AD4">
            <w:pPr>
              <w:pStyle w:val="cTableHeader"/>
            </w:pPr>
            <w:r>
              <w:t xml:space="preserve">Reduction versus conventional site </w:t>
            </w:r>
          </w:p>
        </w:tc>
        <w:tc>
          <w:tcPr>
            <w:tcW w:w="3528" w:type="dxa"/>
          </w:tcPr>
          <w:p w14:paraId="7C56F534" w14:textId="77777777" w:rsidR="00DB7BD3" w:rsidRDefault="00CB4873">
            <w:pPr>
              <w:pStyle w:val="cTableHeader"/>
            </w:pPr>
            <w:r>
              <w:t>Resulting site-executed target</w:t>
            </w:r>
          </w:p>
        </w:tc>
      </w:tr>
      <w:tr w:rsidR="00DB7BD3" w14:paraId="516C9CE5" w14:textId="77777777" w:rsidTr="00DB7BD3">
        <w:trPr>
          <w:cantSplit/>
        </w:trPr>
        <w:tc>
          <w:tcPr>
            <w:tcW w:w="3240" w:type="dxa"/>
          </w:tcPr>
          <w:p w14:paraId="27A5127F" w14:textId="77777777" w:rsidR="00DB7BD3" w:rsidRDefault="00CB4873">
            <w:pPr>
              <w:pStyle w:val="cTableBody"/>
            </w:pPr>
            <w:r>
              <w:t>Conventional baseline</w:t>
            </w:r>
          </w:p>
        </w:tc>
        <w:tc>
          <w:tcPr>
            <w:tcW w:w="3384" w:type="dxa"/>
          </w:tcPr>
          <w:p w14:paraId="02C36084" w14:textId="77777777" w:rsidR="00DB7BD3" w:rsidRDefault="00CB4873" w:rsidP="00B86AD4">
            <w:pPr>
              <w:pStyle w:val="cTableBody"/>
              <w:jc w:val="center"/>
            </w:pPr>
            <w:r>
              <w:t>0%</w:t>
            </w:r>
          </w:p>
        </w:tc>
        <w:tc>
          <w:tcPr>
            <w:tcW w:w="3528" w:type="dxa"/>
          </w:tcPr>
          <w:p w14:paraId="1C5A5B48" w14:textId="77777777" w:rsidR="00DB7BD3" w:rsidRDefault="00CB4873" w:rsidP="00B86AD4">
            <w:pPr>
              <w:pStyle w:val="cTableBody"/>
              <w:jc w:val="center"/>
            </w:pPr>
            <w:r>
              <w:t>$0.75–$1.00/We</w:t>
            </w:r>
          </w:p>
        </w:tc>
      </w:tr>
      <w:tr w:rsidR="00DB7BD3" w14:paraId="6EA30A46" w14:textId="77777777" w:rsidTr="00DB7BD3">
        <w:trPr>
          <w:cantSplit/>
        </w:trPr>
        <w:tc>
          <w:tcPr>
            <w:tcW w:w="3240" w:type="dxa"/>
          </w:tcPr>
          <w:p w14:paraId="4ECBCF76" w14:textId="77777777" w:rsidR="00DB7BD3" w:rsidRDefault="00CB4873">
            <w:pPr>
              <w:pStyle w:val="cTableBody"/>
            </w:pPr>
            <w:r>
              <w:t>Conservative automation case</w:t>
            </w:r>
          </w:p>
        </w:tc>
        <w:tc>
          <w:tcPr>
            <w:tcW w:w="3384" w:type="dxa"/>
          </w:tcPr>
          <w:p w14:paraId="7BE2CCA3" w14:textId="77777777" w:rsidR="00DB7BD3" w:rsidRDefault="00CB4873" w:rsidP="00B86AD4">
            <w:pPr>
              <w:pStyle w:val="cTableBody"/>
              <w:jc w:val="center"/>
            </w:pPr>
            <w:r>
              <w:t>25%</w:t>
            </w:r>
          </w:p>
        </w:tc>
        <w:tc>
          <w:tcPr>
            <w:tcW w:w="3528" w:type="dxa"/>
          </w:tcPr>
          <w:p w14:paraId="46D18333" w14:textId="77777777" w:rsidR="00DB7BD3" w:rsidRDefault="00CB4873" w:rsidP="00B86AD4">
            <w:pPr>
              <w:pStyle w:val="cTableBody"/>
              <w:jc w:val="center"/>
            </w:pPr>
            <w:r>
              <w:t>$0.56–$0.75/We</w:t>
            </w:r>
          </w:p>
        </w:tc>
      </w:tr>
      <w:tr w:rsidR="00DB7BD3" w14:paraId="4364C37B" w14:textId="77777777" w:rsidTr="00DB7BD3">
        <w:trPr>
          <w:cantSplit/>
        </w:trPr>
        <w:tc>
          <w:tcPr>
            <w:tcW w:w="3240" w:type="dxa"/>
          </w:tcPr>
          <w:p w14:paraId="7FCE1BF5" w14:textId="77777777" w:rsidR="00DB7BD3" w:rsidRDefault="00CB4873">
            <w:pPr>
              <w:pStyle w:val="cTableBody"/>
            </w:pPr>
            <w:r>
              <w:t>Central automation case</w:t>
            </w:r>
          </w:p>
        </w:tc>
        <w:tc>
          <w:tcPr>
            <w:tcW w:w="3384" w:type="dxa"/>
          </w:tcPr>
          <w:p w14:paraId="21138203" w14:textId="77777777" w:rsidR="00DB7BD3" w:rsidRDefault="00CB4873" w:rsidP="00B86AD4">
            <w:pPr>
              <w:pStyle w:val="cTableBody"/>
              <w:jc w:val="center"/>
            </w:pPr>
            <w:r>
              <w:t>50%</w:t>
            </w:r>
          </w:p>
        </w:tc>
        <w:tc>
          <w:tcPr>
            <w:tcW w:w="3528" w:type="dxa"/>
          </w:tcPr>
          <w:p w14:paraId="046F783F" w14:textId="77777777" w:rsidR="00DB7BD3" w:rsidRDefault="00CB4873" w:rsidP="00B86AD4">
            <w:pPr>
              <w:pStyle w:val="cTableBody"/>
              <w:jc w:val="center"/>
            </w:pPr>
            <w:r>
              <w:t>$0.38–$0.50/We</w:t>
            </w:r>
          </w:p>
        </w:tc>
      </w:tr>
      <w:tr w:rsidR="00DB7BD3" w14:paraId="152B6DAE" w14:textId="77777777" w:rsidTr="00DB7BD3">
        <w:trPr>
          <w:cantSplit/>
        </w:trPr>
        <w:tc>
          <w:tcPr>
            <w:tcW w:w="3240" w:type="dxa"/>
          </w:tcPr>
          <w:p w14:paraId="0BAC212D" w14:textId="77777777" w:rsidR="00DB7BD3" w:rsidRDefault="00CB4873">
            <w:pPr>
              <w:pStyle w:val="cTableBody"/>
            </w:pPr>
            <w:r>
              <w:t>Stretch automation case</w:t>
            </w:r>
          </w:p>
        </w:tc>
        <w:tc>
          <w:tcPr>
            <w:tcW w:w="3384" w:type="dxa"/>
          </w:tcPr>
          <w:p w14:paraId="65816681" w14:textId="77777777" w:rsidR="00DB7BD3" w:rsidRDefault="00CB4873" w:rsidP="00B86AD4">
            <w:pPr>
              <w:pStyle w:val="cTableBody"/>
              <w:jc w:val="center"/>
            </w:pPr>
            <w:r>
              <w:t>65%</w:t>
            </w:r>
          </w:p>
        </w:tc>
        <w:tc>
          <w:tcPr>
            <w:tcW w:w="3528" w:type="dxa"/>
          </w:tcPr>
          <w:p w14:paraId="304654AE" w14:textId="77777777" w:rsidR="00DB7BD3" w:rsidRDefault="00CB4873" w:rsidP="00B86AD4">
            <w:pPr>
              <w:pStyle w:val="cTableBody"/>
              <w:jc w:val="center"/>
            </w:pPr>
            <w:r>
              <w:t>$0.26–$0.35/We</w:t>
            </w:r>
          </w:p>
        </w:tc>
      </w:tr>
    </w:tbl>
    <w:p w14:paraId="3E1B7737" w14:textId="77777777" w:rsidR="00DB7BD3" w:rsidRDefault="00CB4873">
      <w:r>
        <w:t>These are mechanical sensitivity calculations applied to the supplied baseline. They do not establish total plant CAPEX or LCOE because factory equipment, engineering, owner cost, commissioning, financing, and schedule effects must be modeled separately and consistently.</w:t>
      </w:r>
    </w:p>
    <w:p w14:paraId="3EB94C00" w14:textId="77777777" w:rsidR="00DB7BD3" w:rsidRDefault="00CB4873">
      <w:pPr>
        <w:pStyle w:val="Heading2"/>
      </w:pPr>
      <w:r>
        <w:t>Required economic evidence</w:t>
      </w:r>
    </w:p>
    <w:p w14:paraId="65A57FBA" w14:textId="77777777" w:rsidR="00DB7BD3" w:rsidRDefault="00CB4873">
      <w:r>
        <w:t>At every major pilot campaign, report both conventional and automated values for labor hours, machine hours, cycle time, availability, material usage, rework, quality holds, schedule-critical-path effect, site-executed $/W, and uncertainty. Then report the independently reconstructed consequence for total overnight CAPEX, months to fuel load, financing exposure, plant-gate LCOE, delivered-electricity scenarios, and useful process heat.</w:t>
      </w:r>
    </w:p>
    <w:p w14:paraId="1921F9B6" w14:textId="77777777" w:rsidR="00DB7BD3" w:rsidRDefault="00CB4873">
      <w:r>
        <w:t>A strong result may be a NO. If a machine shifts cost from field labor into expensive fabrication, maintenance, inspection, or schedule risk without lowering lifecycle cost, the program should document that result and stop or redirect the concept rather than preserve a preselected cost target.</w:t>
      </w:r>
    </w:p>
    <w:p w14:paraId="47756740" w14:textId="77777777" w:rsidR="00DB7BD3" w:rsidRDefault="00CB4873">
      <w:pPr>
        <w:pStyle w:val="Heading2"/>
      </w:pPr>
      <w:r>
        <w:t>HTR / PWR strategic tradeoff</w:t>
      </w:r>
    </w:p>
    <w:p w14:paraId="7E06DB90" w14:textId="77777777" w:rsidR="00DB7BD3" w:rsidRDefault="00CB4873">
      <w:r>
        <w:t>The PWR track remains the stronger candidate for lowest-cost electricity because China already has a large standardized Hualong One supply chain and roughly 1.1 GWe from one reactor unit. The HTR track remains attractive where repetitive modular construction, passive/inherent safety characteristics, potential siting differences, or high-temperature industrial heat create system value that electricity-only LCOE misses. The program should therefore preserve both tracks through the early discriminating tests a</w:t>
      </w:r>
      <w:r>
        <w:t>nd allow the measured evidence to favor one, both, or neither.</w:t>
      </w:r>
    </w:p>
    <w:p w14:paraId="682210EE" w14:textId="77777777" w:rsidR="003A5A50" w:rsidRDefault="00CB4873">
      <w:pPr>
        <w:pStyle w:val="Heading1"/>
        <w:spacing w:before="280" w:after="280"/>
      </w:pPr>
      <w:bookmarkStart w:id="21" w:name="_Toc237866627"/>
      <w:bookmarkStart w:id="22" w:name="_Toc237987301"/>
      <w:bookmarkStart w:id="23" w:name="_Toc238204708"/>
      <w:r>
        <w:lastRenderedPageBreak/>
        <w:t>Cost Comparison: Electricity Generation Only</w:t>
      </w:r>
      <w:bookmarkEnd w:id="21"/>
      <w:bookmarkEnd w:id="22"/>
      <w:bookmarkEnd w:id="23"/>
    </w:p>
    <w:p w14:paraId="7DF070C5" w14:textId="77777777" w:rsidR="003A5A50" w:rsidRDefault="00CB4873">
      <w:pPr>
        <w:spacing w:beforeAutospacing="0" w:afterAutospacing="0"/>
        <w:rPr>
          <w:rStyle w:val="UserPromptTextChar"/>
        </w:rPr>
      </w:pPr>
      <w:r>
        <w:rPr>
          <w:rStyle w:val="UserPromptHeadingChar"/>
        </w:rPr>
        <w:t xml:space="preserve">Prompt to AI: </w:t>
      </w:r>
      <w:r>
        <w:rPr>
          <w:rStyle w:val="UserPromptTextChar"/>
        </w:rPr>
        <w:t xml:space="preserve">In China, what are costs for: (a) new coal fired power plant, (b) marginal cost for existing coal fired power plant, (c) solar farm, and (d) wind farm. In summary table, include: (a) electricity LCOE ($/MWh electricity), (b) heat LCOE ($/MWh heat), (c) construction capex ($/watt). Also, in summarize table, include: (a) new Automated China HTR, (b) new Automated China PWR, and (c) new conventional China PWR. In summary table, show values as a range (e.g. $24 to 32/MWh). After you produce that table, produce </w:t>
      </w:r>
      <w:r>
        <w:rPr>
          <w:rStyle w:val="UserPromptTextChar"/>
        </w:rPr>
        <w:t>another table that is similar yet do not show the range and instead show average value within range rounded off to nearest dollar.</w:t>
      </w:r>
    </w:p>
    <w:p w14:paraId="0C232E81" w14:textId="77777777" w:rsidR="003A5A50" w:rsidRDefault="003A5A50">
      <w:pPr>
        <w:spacing w:beforeAutospacing="0" w:afterAutospacing="0"/>
        <w:rPr>
          <w:rStyle w:val="UserPromptTextChar"/>
        </w:rPr>
      </w:pPr>
    </w:p>
    <w:p w14:paraId="3CBBC4EF" w14:textId="77777777" w:rsidR="003A5A50" w:rsidRDefault="00CB4873">
      <w:pPr>
        <w:spacing w:beforeAutospacing="0" w:afterAutospacing="0"/>
        <w:rPr>
          <w:color w:val="C0504D" w:themeColor="accent2"/>
        </w:rPr>
      </w:pPr>
      <w:r>
        <w:rPr>
          <w:rStyle w:val="UserPromptTextChar"/>
        </w:rPr>
        <w:t>We focus on China because it operates both PWR and HTR-PM reactors commercially and has a large nuclear manufacturing, supply-chain, and construction base capable of supporting rapid scale-up and repeated standardized builds.</w:t>
      </w:r>
    </w:p>
    <w:p w14:paraId="0A7ED5E6" w14:textId="77777777" w:rsidR="003A5A50" w:rsidRDefault="00CB4873">
      <w:pPr>
        <w:keepNext/>
        <w:spacing w:before="280" w:after="280"/>
        <w:rPr>
          <w:b/>
          <w:color w:val="4F81BD"/>
          <w:u w:val="single"/>
        </w:rPr>
      </w:pPr>
      <w:r>
        <w:rPr>
          <w:b/>
          <w:color w:val="4F81BD"/>
          <w:u w:val="single"/>
        </w:rPr>
        <w:t>Response From AI:</w:t>
      </w:r>
    </w:p>
    <w:p w14:paraId="3EE0A090" w14:textId="77777777" w:rsidR="003A5A50" w:rsidRDefault="00CB4873">
      <w:pPr>
        <w:keepNext/>
        <w:spacing w:before="280" w:after="280"/>
        <w:ind w:left="360"/>
      </w:pPr>
      <w:r>
        <w:rPr>
          <w:color w:val="4F81BD" w:themeColor="accent1"/>
        </w:rPr>
        <w:t>Links to References</w:t>
      </w:r>
      <w:r>
        <w:rPr>
          <w:color w:val="4F81BD" w:themeColor="accent1"/>
        </w:rPr>
        <w:br/>
      </w:r>
      <w:hyperlink r:id="rId41">
        <w:r w:rsidR="003A5A50">
          <w:rPr>
            <w:rFonts w:eastAsiaTheme="minorHAnsi"/>
            <w:color w:val="7F7F7F" w:themeColor="text1" w:themeTint="80"/>
            <w:u w:val="single"/>
          </w:rPr>
          <w:t>https://chatgpt.com/share/6a778d0b-5ee8-83ea-8792-db8fa4903a37</w:t>
        </w:r>
      </w:hyperlink>
    </w:p>
    <w:p w14:paraId="4A7C7D24" w14:textId="77777777" w:rsidR="003A5A50" w:rsidRDefault="00CB4873">
      <w:pPr>
        <w:spacing w:before="280" w:after="280"/>
        <w:rPr>
          <w:rFonts w:asciiTheme="majorHAnsi" w:eastAsia="Times New Roman" w:hAnsiTheme="majorHAnsi" w:cstheme="majorHAnsi"/>
          <w:szCs w:val="24"/>
        </w:rPr>
      </w:pPr>
      <w:r>
        <w:rPr>
          <w:rFonts w:eastAsia="Times New Roman" w:cstheme="majorHAnsi"/>
          <w:szCs w:val="24"/>
        </w:rPr>
        <w:t>For a China-only comparison, I would use the following as reasonable planning numbers. These are plant-gate costs in roughly 2025–2026 USD, with no 1,000-km transmission, battery storage, renewable firming, CCS, or explicit incremental carbon charge. For CAPEX, I am using total installed/overnight construction CAPEX per watt of electric nameplate capacity, because that is the most comparable measure across technologies.</w:t>
      </w:r>
    </w:p>
    <w:p w14:paraId="24D9BD33" w14:textId="77777777" w:rsidR="003A5A50" w:rsidRDefault="00CB4873">
      <w:pPr>
        <w:spacing w:before="280" w:after="280"/>
        <w:rPr>
          <w:rFonts w:asciiTheme="majorHAnsi" w:eastAsia="Times New Roman" w:hAnsiTheme="majorHAnsi" w:cstheme="majorHAnsi"/>
          <w:szCs w:val="24"/>
        </w:rPr>
      </w:pPr>
      <w:r>
        <w:rPr>
          <w:rFonts w:eastAsia="Times New Roman" w:cstheme="majorHAnsi"/>
          <w:szCs w:val="24"/>
        </w:rPr>
        <w:t xml:space="preserve">For renewables, IRENA's newest data put China's 2025 average LCOE at $36/MWh for solar PV and $27/MWh for onshore wind. Recent Chinese government project data show substantial project-to-project CAPEX variation for both solar and wind. </w:t>
      </w:r>
    </w:p>
    <w:p w14:paraId="503C0F50" w14:textId="77777777" w:rsidR="003A5A50" w:rsidRDefault="00CB4873" w:rsidP="00F53B70">
      <w:pPr>
        <w:pStyle w:val="Heading2"/>
      </w:pPr>
      <w:r>
        <w:lastRenderedPageBreak/>
        <w:t>Table 1 — Recommended ranges</w:t>
      </w:r>
    </w:p>
    <w:tbl>
      <w:tblPr>
        <w:tblStyle w:val="gswTableStyle"/>
        <w:tblW w:w="10463" w:type="dxa"/>
        <w:tblLayout w:type="fixed"/>
        <w:tblLook w:val="04A0" w:firstRow="1" w:lastRow="0" w:firstColumn="1" w:lastColumn="0" w:noHBand="0" w:noVBand="1"/>
      </w:tblPr>
      <w:tblGrid>
        <w:gridCol w:w="3276"/>
        <w:gridCol w:w="940"/>
        <w:gridCol w:w="1220"/>
        <w:gridCol w:w="1664"/>
        <w:gridCol w:w="1411"/>
        <w:gridCol w:w="1952"/>
      </w:tblGrid>
      <w:tr w:rsidR="003A5A50" w14:paraId="1D6075AC" w14:textId="77777777" w:rsidTr="003A5A50">
        <w:trPr>
          <w:cnfStyle w:val="100000000000" w:firstRow="1" w:lastRow="0" w:firstColumn="0" w:lastColumn="0" w:oddVBand="0" w:evenVBand="0" w:oddHBand="0" w:evenHBand="0" w:firstRowFirstColumn="0" w:firstRowLastColumn="0" w:lastRowFirstColumn="0" w:lastRowLastColumn="0"/>
        </w:trPr>
        <w:tc>
          <w:tcPr>
            <w:tcW w:w="3275" w:type="dxa"/>
          </w:tcPr>
          <w:p w14:paraId="2B245C56" w14:textId="77777777" w:rsidR="003A5A50" w:rsidRDefault="00CB4873">
            <w:pPr>
              <w:pStyle w:val="cTableHeader"/>
              <w:keepNext/>
            </w:pPr>
            <w:r>
              <w:t>China generation technology</w:t>
            </w:r>
          </w:p>
        </w:tc>
        <w:tc>
          <w:tcPr>
            <w:tcW w:w="940" w:type="dxa"/>
          </w:tcPr>
          <w:p w14:paraId="2CF714C7" w14:textId="77777777" w:rsidR="003A5A50" w:rsidRDefault="00CB4873">
            <w:pPr>
              <w:pStyle w:val="cTableHeader"/>
              <w:keepNext/>
            </w:pPr>
            <w:r>
              <w:t>Cost Type</w:t>
            </w:r>
          </w:p>
        </w:tc>
        <w:tc>
          <w:tcPr>
            <w:tcW w:w="1220" w:type="dxa"/>
          </w:tcPr>
          <w:p w14:paraId="1DE4DF5A" w14:textId="77777777" w:rsidR="003A5A50" w:rsidRDefault="00CB4873">
            <w:pPr>
              <w:pStyle w:val="cTableHeader"/>
              <w:keepNext/>
            </w:pPr>
            <w:r>
              <w:t>Fuel Type</w:t>
            </w:r>
          </w:p>
        </w:tc>
        <w:tc>
          <w:tcPr>
            <w:tcW w:w="1664" w:type="dxa"/>
          </w:tcPr>
          <w:p w14:paraId="705936FD" w14:textId="77777777" w:rsidR="003A5A50" w:rsidRDefault="00CB4873">
            <w:pPr>
              <w:pStyle w:val="cTableHeader"/>
              <w:keepNext/>
            </w:pPr>
            <w:r>
              <w:t>Electricity Cost ($/MWhₑ)</w:t>
            </w:r>
          </w:p>
        </w:tc>
        <w:tc>
          <w:tcPr>
            <w:tcW w:w="1411" w:type="dxa"/>
          </w:tcPr>
          <w:p w14:paraId="299F8A10" w14:textId="77777777" w:rsidR="003A5A50" w:rsidRDefault="00CB4873">
            <w:pPr>
              <w:pStyle w:val="cTableHeader"/>
              <w:keepNext/>
            </w:pPr>
            <w:r>
              <w:t>Heat Cost ($/MWh</w:t>
            </w:r>
            <w:r>
              <w:rPr>
                <w:rFonts w:ascii="Cambria Math" w:hAnsi="Cambria Math" w:cs="Cambria Math"/>
              </w:rPr>
              <w:t>ₜₕ</w:t>
            </w:r>
            <w:r>
              <w:t>)</w:t>
            </w:r>
          </w:p>
        </w:tc>
        <w:tc>
          <w:tcPr>
            <w:tcW w:w="1952" w:type="dxa"/>
          </w:tcPr>
          <w:p w14:paraId="68804EEB" w14:textId="77777777" w:rsidR="003A5A50" w:rsidRDefault="00CB4873">
            <w:pPr>
              <w:pStyle w:val="cTableHeader"/>
              <w:keepNext/>
            </w:pPr>
            <w:r>
              <w:t>Construction CAPEX ($/Wₑ)</w:t>
            </w:r>
          </w:p>
        </w:tc>
      </w:tr>
      <w:tr w:rsidR="003A5A50" w14:paraId="5A868CDD" w14:textId="77777777" w:rsidTr="003A5A50">
        <w:tc>
          <w:tcPr>
            <w:tcW w:w="3275" w:type="dxa"/>
          </w:tcPr>
          <w:p w14:paraId="188F1B55" w14:textId="77777777" w:rsidR="003A5A50" w:rsidRDefault="00CB4873">
            <w:pPr>
              <w:pStyle w:val="cTableBody"/>
              <w:keepNext/>
              <w:spacing w:before="0" w:after="0"/>
            </w:pPr>
            <w:r>
              <w:t>New coal plant — ultra-supercritical</w:t>
            </w:r>
          </w:p>
        </w:tc>
        <w:tc>
          <w:tcPr>
            <w:tcW w:w="940" w:type="dxa"/>
          </w:tcPr>
          <w:p w14:paraId="4518492C" w14:textId="77777777" w:rsidR="003A5A50" w:rsidRDefault="00CB4873">
            <w:pPr>
              <w:pStyle w:val="cTableBody"/>
              <w:keepNext/>
              <w:spacing w:before="0" w:after="0"/>
            </w:pPr>
            <w:r>
              <w:t>LCOE</w:t>
            </w:r>
          </w:p>
        </w:tc>
        <w:tc>
          <w:tcPr>
            <w:tcW w:w="1220" w:type="dxa"/>
          </w:tcPr>
          <w:p w14:paraId="4FBBE6CA" w14:textId="77777777" w:rsidR="003A5A50" w:rsidRDefault="00CB4873">
            <w:pPr>
              <w:pStyle w:val="cTableBody"/>
              <w:keepNext/>
              <w:spacing w:before="0" w:after="0"/>
            </w:pPr>
            <w:r>
              <w:t>Fossil fuel</w:t>
            </w:r>
          </w:p>
        </w:tc>
        <w:tc>
          <w:tcPr>
            <w:tcW w:w="1664" w:type="dxa"/>
          </w:tcPr>
          <w:p w14:paraId="7691A9FF" w14:textId="77777777" w:rsidR="003A5A50" w:rsidRDefault="00CB4873">
            <w:pPr>
              <w:pStyle w:val="cTableBody"/>
              <w:keepNext/>
              <w:spacing w:before="0" w:after="0"/>
            </w:pPr>
            <w:r>
              <w:t>$43 to $58</w:t>
            </w:r>
          </w:p>
        </w:tc>
        <w:tc>
          <w:tcPr>
            <w:tcW w:w="1411" w:type="dxa"/>
          </w:tcPr>
          <w:p w14:paraId="4D339AF0" w14:textId="77777777" w:rsidR="003A5A50" w:rsidRDefault="00CB4873">
            <w:pPr>
              <w:pStyle w:val="cTableBody"/>
              <w:keepNext/>
              <w:spacing w:before="0" w:after="0"/>
            </w:pPr>
            <w:r>
              <w:t>$18 to $24</w:t>
            </w:r>
          </w:p>
        </w:tc>
        <w:tc>
          <w:tcPr>
            <w:tcW w:w="1952" w:type="dxa"/>
          </w:tcPr>
          <w:p w14:paraId="4FCBDA67" w14:textId="77777777" w:rsidR="003A5A50" w:rsidRDefault="00CB4873">
            <w:pPr>
              <w:pStyle w:val="cTableBody"/>
              <w:keepNext/>
              <w:spacing w:before="0" w:after="0"/>
            </w:pPr>
            <w:r>
              <w:t>$0.50 to $0.70</w:t>
            </w:r>
          </w:p>
        </w:tc>
      </w:tr>
      <w:tr w:rsidR="003A5A50" w14:paraId="616844B1" w14:textId="77777777" w:rsidTr="003A5A50">
        <w:tc>
          <w:tcPr>
            <w:tcW w:w="3275" w:type="dxa"/>
          </w:tcPr>
          <w:p w14:paraId="76D6E641" w14:textId="77777777" w:rsidR="003A5A50" w:rsidRDefault="00CB4873">
            <w:pPr>
              <w:pStyle w:val="cTableBody"/>
              <w:keepNext/>
              <w:spacing w:before="0" w:after="0"/>
            </w:pPr>
            <w:r>
              <w:t>Existing coal plant — marginal cost</w:t>
            </w:r>
          </w:p>
        </w:tc>
        <w:tc>
          <w:tcPr>
            <w:tcW w:w="940" w:type="dxa"/>
          </w:tcPr>
          <w:p w14:paraId="2D4C4200" w14:textId="77777777" w:rsidR="003A5A50" w:rsidRDefault="00CB4873">
            <w:pPr>
              <w:pStyle w:val="cTableBody"/>
              <w:keepNext/>
              <w:spacing w:before="0" w:after="0"/>
            </w:pPr>
            <w:r>
              <w:t>Marginal</w:t>
            </w:r>
          </w:p>
        </w:tc>
        <w:tc>
          <w:tcPr>
            <w:tcW w:w="1220" w:type="dxa"/>
          </w:tcPr>
          <w:p w14:paraId="618CD38A" w14:textId="77777777" w:rsidR="003A5A50" w:rsidRDefault="00CB4873">
            <w:pPr>
              <w:pStyle w:val="cTableBody"/>
              <w:keepNext/>
              <w:spacing w:before="0" w:after="0"/>
            </w:pPr>
            <w:r>
              <w:t>Fossil Fuel</w:t>
            </w:r>
          </w:p>
        </w:tc>
        <w:tc>
          <w:tcPr>
            <w:tcW w:w="1664" w:type="dxa"/>
          </w:tcPr>
          <w:p w14:paraId="729C314B" w14:textId="77777777" w:rsidR="003A5A50" w:rsidRDefault="00CB4873">
            <w:pPr>
              <w:pStyle w:val="cTableBody"/>
              <w:keepNext/>
              <w:spacing w:before="0" w:after="0"/>
            </w:pPr>
            <w:r>
              <w:t>$35 to $45</w:t>
            </w:r>
          </w:p>
        </w:tc>
        <w:tc>
          <w:tcPr>
            <w:tcW w:w="1411" w:type="dxa"/>
          </w:tcPr>
          <w:p w14:paraId="6D1BF41E" w14:textId="77777777" w:rsidR="003A5A50" w:rsidRDefault="00CB4873">
            <w:pPr>
              <w:pStyle w:val="cTableBody"/>
              <w:keepNext/>
              <w:spacing w:before="0" w:after="0"/>
            </w:pPr>
            <w:r>
              <w:t>$16 to $20</w:t>
            </w:r>
          </w:p>
        </w:tc>
        <w:tc>
          <w:tcPr>
            <w:tcW w:w="1952" w:type="dxa"/>
          </w:tcPr>
          <w:p w14:paraId="64711610" w14:textId="77777777" w:rsidR="003A5A50" w:rsidRDefault="00CB4873">
            <w:pPr>
              <w:pStyle w:val="cTableBody"/>
              <w:keepNext/>
              <w:spacing w:before="0" w:after="0"/>
            </w:pPr>
            <w:r>
              <w:t>N/A — already sunk</w:t>
            </w:r>
          </w:p>
        </w:tc>
      </w:tr>
      <w:tr w:rsidR="003A5A50" w14:paraId="2B661B3F" w14:textId="77777777" w:rsidTr="003A5A50">
        <w:tc>
          <w:tcPr>
            <w:tcW w:w="3275" w:type="dxa"/>
          </w:tcPr>
          <w:p w14:paraId="7820352E" w14:textId="77777777" w:rsidR="003A5A50" w:rsidRDefault="00CB4873">
            <w:pPr>
              <w:pStyle w:val="cTableBody"/>
              <w:keepNext/>
              <w:spacing w:before="0" w:after="0"/>
            </w:pPr>
            <w:r>
              <w:t>New solar farm</w:t>
            </w:r>
          </w:p>
        </w:tc>
        <w:tc>
          <w:tcPr>
            <w:tcW w:w="940" w:type="dxa"/>
          </w:tcPr>
          <w:p w14:paraId="06A521B9" w14:textId="77777777" w:rsidR="003A5A50" w:rsidRDefault="00CB4873">
            <w:pPr>
              <w:pStyle w:val="cTableBody"/>
              <w:keepNext/>
              <w:spacing w:before="0" w:after="0"/>
            </w:pPr>
            <w:r>
              <w:t>LCOE</w:t>
            </w:r>
          </w:p>
        </w:tc>
        <w:tc>
          <w:tcPr>
            <w:tcW w:w="1220" w:type="dxa"/>
          </w:tcPr>
          <w:p w14:paraId="080B5B00" w14:textId="77777777" w:rsidR="003A5A50" w:rsidRDefault="00CB4873">
            <w:pPr>
              <w:pStyle w:val="cTableBody"/>
              <w:keepNext/>
              <w:spacing w:before="0" w:after="0"/>
            </w:pPr>
            <w:r>
              <w:t>Renewable</w:t>
            </w:r>
          </w:p>
        </w:tc>
        <w:tc>
          <w:tcPr>
            <w:tcW w:w="1664" w:type="dxa"/>
          </w:tcPr>
          <w:p w14:paraId="36AEC998" w14:textId="77777777" w:rsidR="003A5A50" w:rsidRDefault="00CB4873">
            <w:pPr>
              <w:pStyle w:val="cTableBody"/>
              <w:keepNext/>
              <w:spacing w:before="0" w:after="0"/>
            </w:pPr>
            <w:r>
              <w:t>$25 to $45</w:t>
            </w:r>
          </w:p>
        </w:tc>
        <w:tc>
          <w:tcPr>
            <w:tcW w:w="1411" w:type="dxa"/>
          </w:tcPr>
          <w:p w14:paraId="6A78A7B4" w14:textId="77777777" w:rsidR="003A5A50" w:rsidRDefault="00CB4873">
            <w:pPr>
              <w:pStyle w:val="cTableBody"/>
              <w:keepNext/>
              <w:spacing w:before="0" w:after="0"/>
            </w:pPr>
            <w:r>
              <w:t>$26 to $47 *</w:t>
            </w:r>
          </w:p>
        </w:tc>
        <w:tc>
          <w:tcPr>
            <w:tcW w:w="1952" w:type="dxa"/>
          </w:tcPr>
          <w:p w14:paraId="31C69C47" w14:textId="77777777" w:rsidR="003A5A50" w:rsidRDefault="00CB4873">
            <w:pPr>
              <w:pStyle w:val="cTableBody"/>
              <w:keepNext/>
              <w:spacing w:before="0" w:after="0"/>
            </w:pPr>
            <w:r>
              <w:t>$0.40 to $0.60</w:t>
            </w:r>
          </w:p>
        </w:tc>
      </w:tr>
      <w:tr w:rsidR="003A5A50" w14:paraId="55AF4E59" w14:textId="77777777" w:rsidTr="003A5A50">
        <w:tc>
          <w:tcPr>
            <w:tcW w:w="3275" w:type="dxa"/>
          </w:tcPr>
          <w:p w14:paraId="0730165C" w14:textId="77777777" w:rsidR="003A5A50" w:rsidRDefault="00CB4873">
            <w:pPr>
              <w:pStyle w:val="cTableBody"/>
              <w:keepNext/>
              <w:spacing w:before="0" w:after="0"/>
            </w:pPr>
            <w:r>
              <w:t>New onshore wind farm</w:t>
            </w:r>
          </w:p>
        </w:tc>
        <w:tc>
          <w:tcPr>
            <w:tcW w:w="940" w:type="dxa"/>
          </w:tcPr>
          <w:p w14:paraId="5AD66C0F" w14:textId="77777777" w:rsidR="003A5A50" w:rsidRDefault="00CB4873">
            <w:pPr>
              <w:pStyle w:val="cTableBody"/>
              <w:keepNext/>
              <w:spacing w:before="0" w:after="0"/>
            </w:pPr>
            <w:r>
              <w:t>LCOE</w:t>
            </w:r>
          </w:p>
        </w:tc>
        <w:tc>
          <w:tcPr>
            <w:tcW w:w="1220" w:type="dxa"/>
          </w:tcPr>
          <w:p w14:paraId="6EFC74D5" w14:textId="77777777" w:rsidR="003A5A50" w:rsidRDefault="00CB4873">
            <w:pPr>
              <w:pStyle w:val="cTableBody"/>
              <w:keepNext/>
              <w:spacing w:before="0" w:after="0"/>
            </w:pPr>
            <w:r>
              <w:t>Renewable</w:t>
            </w:r>
          </w:p>
        </w:tc>
        <w:tc>
          <w:tcPr>
            <w:tcW w:w="1664" w:type="dxa"/>
          </w:tcPr>
          <w:p w14:paraId="661AF31B" w14:textId="77777777" w:rsidR="003A5A50" w:rsidRDefault="00CB4873">
            <w:pPr>
              <w:pStyle w:val="cTableBody"/>
              <w:keepNext/>
              <w:spacing w:before="0" w:after="0"/>
            </w:pPr>
            <w:r>
              <w:t>$22 to $32</w:t>
            </w:r>
          </w:p>
        </w:tc>
        <w:tc>
          <w:tcPr>
            <w:tcW w:w="1411" w:type="dxa"/>
          </w:tcPr>
          <w:p w14:paraId="32ED4A05" w14:textId="77777777" w:rsidR="003A5A50" w:rsidRDefault="00CB4873">
            <w:pPr>
              <w:pStyle w:val="cTableBody"/>
              <w:keepNext/>
              <w:spacing w:before="0" w:after="0"/>
            </w:pPr>
            <w:r>
              <w:t>$23 to $34 *</w:t>
            </w:r>
          </w:p>
        </w:tc>
        <w:tc>
          <w:tcPr>
            <w:tcW w:w="1952" w:type="dxa"/>
          </w:tcPr>
          <w:p w14:paraId="543D7B48" w14:textId="77777777" w:rsidR="003A5A50" w:rsidRDefault="00CB4873">
            <w:pPr>
              <w:pStyle w:val="cTableBody"/>
              <w:keepNext/>
              <w:spacing w:before="0" w:after="0"/>
            </w:pPr>
            <w:r>
              <w:t>$0.65 to $1.00</w:t>
            </w:r>
          </w:p>
        </w:tc>
      </w:tr>
      <w:tr w:rsidR="003A5A50" w14:paraId="24A2CC18" w14:textId="77777777" w:rsidTr="003A5A50">
        <w:tc>
          <w:tcPr>
            <w:tcW w:w="3275" w:type="dxa"/>
          </w:tcPr>
          <w:p w14:paraId="415D9A54" w14:textId="77777777" w:rsidR="003A5A50" w:rsidRDefault="00CB4873">
            <w:pPr>
              <w:pStyle w:val="cTableBody"/>
              <w:keepNext/>
              <w:spacing w:before="0" w:after="0"/>
            </w:pPr>
            <w:r>
              <w:t>New Automated China HTR</w:t>
            </w:r>
          </w:p>
        </w:tc>
        <w:tc>
          <w:tcPr>
            <w:tcW w:w="940" w:type="dxa"/>
          </w:tcPr>
          <w:p w14:paraId="3EF654DE" w14:textId="77777777" w:rsidR="003A5A50" w:rsidRDefault="00CB4873">
            <w:pPr>
              <w:pStyle w:val="cTableBody"/>
              <w:keepNext/>
              <w:spacing w:before="0" w:after="0"/>
            </w:pPr>
            <w:r>
              <w:t>LCOE</w:t>
            </w:r>
          </w:p>
        </w:tc>
        <w:tc>
          <w:tcPr>
            <w:tcW w:w="1220" w:type="dxa"/>
          </w:tcPr>
          <w:p w14:paraId="0B22A603" w14:textId="77777777" w:rsidR="003A5A50" w:rsidRDefault="00CB4873">
            <w:pPr>
              <w:pStyle w:val="cTableBody"/>
              <w:keepNext/>
              <w:spacing w:before="0" w:after="0"/>
            </w:pPr>
            <w:r>
              <w:t>Nuclear</w:t>
            </w:r>
          </w:p>
        </w:tc>
        <w:tc>
          <w:tcPr>
            <w:tcW w:w="1664" w:type="dxa"/>
          </w:tcPr>
          <w:p w14:paraId="4B478101" w14:textId="77777777" w:rsidR="003A5A50" w:rsidRDefault="00CB4873">
            <w:pPr>
              <w:pStyle w:val="cTableBody"/>
              <w:keepNext/>
              <w:spacing w:before="0" w:after="0"/>
            </w:pPr>
            <w:r>
              <w:t>$32 to $41</w:t>
            </w:r>
          </w:p>
        </w:tc>
        <w:tc>
          <w:tcPr>
            <w:tcW w:w="1411" w:type="dxa"/>
          </w:tcPr>
          <w:p w14:paraId="112CDAE2" w14:textId="77777777" w:rsidR="003A5A50" w:rsidRDefault="00CB4873">
            <w:pPr>
              <w:pStyle w:val="cTableBody"/>
              <w:keepNext/>
              <w:spacing w:before="0" w:after="0"/>
            </w:pPr>
            <w:r>
              <w:t>$13 to $17 †</w:t>
            </w:r>
          </w:p>
        </w:tc>
        <w:tc>
          <w:tcPr>
            <w:tcW w:w="1952" w:type="dxa"/>
          </w:tcPr>
          <w:p w14:paraId="00D5C993" w14:textId="77777777" w:rsidR="003A5A50" w:rsidRDefault="00CB4873">
            <w:pPr>
              <w:pStyle w:val="cTableBody"/>
              <w:keepNext/>
              <w:spacing w:before="0" w:after="0"/>
            </w:pPr>
            <w:r>
              <w:t>$1.70 to $2.10</w:t>
            </w:r>
          </w:p>
        </w:tc>
      </w:tr>
      <w:tr w:rsidR="003A5A50" w14:paraId="4405CE9E" w14:textId="77777777" w:rsidTr="003A5A50">
        <w:tc>
          <w:tcPr>
            <w:tcW w:w="3275" w:type="dxa"/>
          </w:tcPr>
          <w:p w14:paraId="147C7756" w14:textId="77777777" w:rsidR="003A5A50" w:rsidRDefault="00CB4873">
            <w:pPr>
              <w:pStyle w:val="cTableBody"/>
              <w:keepNext/>
              <w:spacing w:before="0" w:after="0"/>
            </w:pPr>
            <w:r>
              <w:t>New Automated China PWR</w:t>
            </w:r>
          </w:p>
        </w:tc>
        <w:tc>
          <w:tcPr>
            <w:tcW w:w="940" w:type="dxa"/>
          </w:tcPr>
          <w:p w14:paraId="05FAC938" w14:textId="77777777" w:rsidR="003A5A50" w:rsidRDefault="00CB4873">
            <w:pPr>
              <w:pStyle w:val="cTableBody"/>
              <w:keepNext/>
              <w:spacing w:before="0" w:after="0"/>
            </w:pPr>
            <w:r>
              <w:t>LCOE</w:t>
            </w:r>
          </w:p>
        </w:tc>
        <w:tc>
          <w:tcPr>
            <w:tcW w:w="1220" w:type="dxa"/>
          </w:tcPr>
          <w:p w14:paraId="01061033" w14:textId="77777777" w:rsidR="003A5A50" w:rsidRDefault="00CB4873">
            <w:pPr>
              <w:pStyle w:val="cTableBody"/>
              <w:keepNext/>
              <w:spacing w:before="0" w:after="0"/>
            </w:pPr>
            <w:r>
              <w:t>Nuclear</w:t>
            </w:r>
          </w:p>
        </w:tc>
        <w:tc>
          <w:tcPr>
            <w:tcW w:w="1664" w:type="dxa"/>
          </w:tcPr>
          <w:p w14:paraId="60A81BC0" w14:textId="77777777" w:rsidR="003A5A50" w:rsidRDefault="00CB4873">
            <w:pPr>
              <w:pStyle w:val="cTableBody"/>
              <w:keepNext/>
              <w:spacing w:before="0" w:after="0"/>
            </w:pPr>
            <w:r>
              <w:t>$27 to $34</w:t>
            </w:r>
          </w:p>
        </w:tc>
        <w:tc>
          <w:tcPr>
            <w:tcW w:w="1411" w:type="dxa"/>
          </w:tcPr>
          <w:p w14:paraId="2C3D852F" w14:textId="77777777" w:rsidR="003A5A50" w:rsidRDefault="00CB4873">
            <w:pPr>
              <w:pStyle w:val="cTableBody"/>
              <w:keepNext/>
              <w:spacing w:before="0" w:after="0"/>
            </w:pPr>
            <w:r>
              <w:t>$9 to $11 †</w:t>
            </w:r>
          </w:p>
        </w:tc>
        <w:tc>
          <w:tcPr>
            <w:tcW w:w="1952" w:type="dxa"/>
          </w:tcPr>
          <w:p w14:paraId="4F2B1D09" w14:textId="77777777" w:rsidR="003A5A50" w:rsidRDefault="00CB4873">
            <w:pPr>
              <w:pStyle w:val="cTableBody"/>
              <w:keepNext/>
              <w:spacing w:before="0" w:after="0"/>
            </w:pPr>
            <w:r>
              <w:t>$1.45 to $1.75</w:t>
            </w:r>
          </w:p>
        </w:tc>
      </w:tr>
      <w:tr w:rsidR="003A5A50" w14:paraId="299517B6" w14:textId="77777777" w:rsidTr="003A5A50">
        <w:tc>
          <w:tcPr>
            <w:tcW w:w="3275" w:type="dxa"/>
          </w:tcPr>
          <w:p w14:paraId="2DD44FE7" w14:textId="77777777" w:rsidR="003A5A50" w:rsidRDefault="00CB4873">
            <w:pPr>
              <w:pStyle w:val="cTableBody"/>
              <w:spacing w:before="0" w:after="0"/>
            </w:pPr>
            <w:r>
              <w:t>New conventional China PWR</w:t>
            </w:r>
          </w:p>
        </w:tc>
        <w:tc>
          <w:tcPr>
            <w:tcW w:w="940" w:type="dxa"/>
          </w:tcPr>
          <w:p w14:paraId="450A15DA" w14:textId="77777777" w:rsidR="003A5A50" w:rsidRDefault="00CB4873">
            <w:pPr>
              <w:pStyle w:val="cTableBody"/>
              <w:spacing w:before="0" w:after="0"/>
            </w:pPr>
            <w:r>
              <w:t>LCOE</w:t>
            </w:r>
          </w:p>
        </w:tc>
        <w:tc>
          <w:tcPr>
            <w:tcW w:w="1220" w:type="dxa"/>
          </w:tcPr>
          <w:p w14:paraId="2EF52A3B" w14:textId="77777777" w:rsidR="003A5A50" w:rsidRDefault="00CB4873">
            <w:pPr>
              <w:pStyle w:val="cTableBody"/>
              <w:spacing w:before="0" w:after="0"/>
            </w:pPr>
            <w:r>
              <w:t>Nuclear</w:t>
            </w:r>
          </w:p>
        </w:tc>
        <w:tc>
          <w:tcPr>
            <w:tcW w:w="1664" w:type="dxa"/>
          </w:tcPr>
          <w:p w14:paraId="0E61F1B4" w14:textId="77777777" w:rsidR="003A5A50" w:rsidRDefault="00CB4873">
            <w:pPr>
              <w:pStyle w:val="cTableBody"/>
              <w:spacing w:before="0" w:after="0"/>
            </w:pPr>
            <w:r>
              <w:t>$34 to $45</w:t>
            </w:r>
          </w:p>
        </w:tc>
        <w:tc>
          <w:tcPr>
            <w:tcW w:w="1411" w:type="dxa"/>
          </w:tcPr>
          <w:p w14:paraId="5E8238D1" w14:textId="77777777" w:rsidR="003A5A50" w:rsidRDefault="00CB4873">
            <w:pPr>
              <w:pStyle w:val="cTableBody"/>
              <w:spacing w:before="0" w:after="0"/>
            </w:pPr>
            <w:r>
              <w:t>$11 to $14</w:t>
            </w:r>
          </w:p>
        </w:tc>
        <w:tc>
          <w:tcPr>
            <w:tcW w:w="1952" w:type="dxa"/>
          </w:tcPr>
          <w:p w14:paraId="44CA8D22" w14:textId="77777777" w:rsidR="003A5A50" w:rsidRDefault="00CB4873">
            <w:pPr>
              <w:pStyle w:val="cTableBody"/>
              <w:spacing w:before="0" w:after="0"/>
            </w:pPr>
            <w:r>
              <w:t>$2.00 to $2.50</w:t>
            </w:r>
          </w:p>
        </w:tc>
      </w:tr>
    </w:tbl>
    <w:p w14:paraId="57BB6A19" w14:textId="77777777" w:rsidR="003A5A50" w:rsidRDefault="00CB4873">
      <w:pPr>
        <w:spacing w:before="280" w:after="280"/>
        <w:rPr>
          <w:rFonts w:asciiTheme="majorHAnsi" w:eastAsia="Times New Roman" w:hAnsiTheme="majorHAnsi" w:cstheme="majorHAnsi"/>
          <w:color w:val="948A54" w:themeColor="background2" w:themeShade="80"/>
          <w:szCs w:val="24"/>
        </w:rPr>
      </w:pPr>
      <w:r>
        <w:rPr>
          <w:rFonts w:eastAsia="Times New Roman" w:cstheme="majorHAnsi"/>
          <w:color w:val="948A54" w:themeColor="background2" w:themeShade="80"/>
          <w:szCs w:val="24"/>
        </w:rPr>
        <w:t>† Modeled; not yet demonstrated.</w:t>
      </w:r>
    </w:p>
    <w:p w14:paraId="4BE217C6" w14:textId="77777777" w:rsidR="003A5A50" w:rsidRDefault="00CB4873">
      <w:pPr>
        <w:spacing w:before="280" w:after="280"/>
        <w:rPr>
          <w:rFonts w:asciiTheme="majorHAnsi" w:eastAsia="Times New Roman" w:hAnsiTheme="majorHAnsi" w:cstheme="majorHAnsi"/>
          <w:color w:val="948A54" w:themeColor="background2" w:themeShade="80"/>
          <w:szCs w:val="24"/>
        </w:rPr>
      </w:pPr>
      <w:r>
        <w:rPr>
          <w:rFonts w:eastAsia="Times New Roman" w:cstheme="majorHAnsi"/>
          <w:color w:val="948A54" w:themeColor="background2" w:themeShade="80"/>
          <w:szCs w:val="24"/>
        </w:rPr>
        <w:t>* Solar/wind heat requires an important qualification. I assumed the electricity is converted to heat with approximately 98% efficient electric resistance heating, with a small allowance for heater equipment. It does not include thermal storage, batteries, backup generation, or the cost imposed by intermittent operation. Thus $29/MWh of wind-derived heat is not equivalent operationally to $15/MWh of continuously available HTR-PM steam.</w:t>
      </w:r>
    </w:p>
    <w:p w14:paraId="3BB6E6D7" w14:textId="77777777" w:rsidR="003A5A50" w:rsidRDefault="00CB4873">
      <w:pPr>
        <w:spacing w:before="280" w:after="280"/>
        <w:rPr>
          <w:rFonts w:asciiTheme="majorHAnsi" w:eastAsia="Times New Roman" w:hAnsiTheme="majorHAnsi" w:cstheme="majorHAnsi"/>
          <w:szCs w:val="24"/>
        </w:rPr>
      </w:pPr>
      <w:r>
        <w:rPr>
          <w:rFonts w:eastAsia="Times New Roman" w:cstheme="majorHAnsi"/>
          <w:szCs w:val="24"/>
        </w:rPr>
        <w:t xml:space="preserve">The coal figures deserve a little explanation. A recent Chinese study estimated 2025 coal-fired LCOE in Gansu at about </w:t>
      </w:r>
      <w:r>
        <w:rPr>
          <w:rFonts w:eastAsia="Times New Roman" w:cstheme="majorHAnsi"/>
          <w:b/>
          <w:bCs/>
          <w:szCs w:val="24"/>
        </w:rPr>
        <w:t>$43/MWh</w:t>
      </w:r>
      <w:r>
        <w:rPr>
          <w:rFonts w:eastAsia="Times New Roman" w:cstheme="majorHAnsi"/>
          <w:szCs w:val="24"/>
        </w:rPr>
        <w:t>. Meanwhile, China's National Energy Administration reported March 2026 Qinhuangdao 5,500-kcal coal at RMB 682/tonne under long-term contracts and RMB 753/tonne spot. Modern new Chinese coal units are targeted below 270 grams of standard coal/kWh, while the fleet average target was below 300 g/kWh. Recent 2-GW ultra-supercritical projects also show extremely low Chinese construction costs—for example, a government project list gives RMB 8 billion for a 2,000-MW project, roughly RMB 4,000/kW. Taken together,</w:t>
      </w:r>
      <w:r>
        <w:rPr>
          <w:rFonts w:eastAsia="Times New Roman" w:cstheme="majorHAnsi"/>
          <w:szCs w:val="24"/>
        </w:rPr>
        <w:t xml:space="preserve"> those support roughly </w:t>
      </w:r>
      <w:r>
        <w:rPr>
          <w:rFonts w:eastAsia="Times New Roman" w:cstheme="majorHAnsi"/>
          <w:b/>
          <w:bCs/>
          <w:szCs w:val="24"/>
        </w:rPr>
        <w:t>$43–58/MWh for a new plant</w:t>
      </w:r>
      <w:r>
        <w:rPr>
          <w:rFonts w:eastAsia="Times New Roman" w:cstheme="majorHAnsi"/>
          <w:szCs w:val="24"/>
        </w:rPr>
        <w:t xml:space="preserve"> and </w:t>
      </w:r>
      <w:r>
        <w:rPr>
          <w:rFonts w:eastAsia="Times New Roman" w:cstheme="majorHAnsi"/>
          <w:b/>
          <w:bCs/>
          <w:szCs w:val="24"/>
        </w:rPr>
        <w:t>$35–45/MWh for the marginal operating cost of an existing plant</w:t>
      </w:r>
      <w:r>
        <w:rPr>
          <w:rFonts w:eastAsia="Times New Roman" w:cstheme="majorHAnsi"/>
          <w:szCs w:val="24"/>
        </w:rPr>
        <w:t>, with mine-mouth plants toward the low end and coastal coal purchasers toward the high end (</w:t>
      </w:r>
      <w:hyperlink r:id="rId42">
        <w:r w:rsidR="003A5A50">
          <w:rPr>
            <w:rFonts w:eastAsia="Times New Roman" w:cstheme="majorHAnsi"/>
            <w:color w:val="7F7F7F" w:themeColor="text1" w:themeTint="80"/>
            <w:szCs w:val="24"/>
            <w:u w:val="single"/>
          </w:rPr>
          <w:t>reference</w:t>
        </w:r>
      </w:hyperlink>
      <w:r>
        <w:rPr>
          <w:rFonts w:eastAsia="Times New Roman" w:cstheme="majorHAnsi"/>
          <w:szCs w:val="24"/>
        </w:rPr>
        <w:t>).</w:t>
      </w:r>
    </w:p>
    <w:p w14:paraId="72C28CC3" w14:textId="77777777" w:rsidR="003A5A50" w:rsidRDefault="00CB4873">
      <w:pPr>
        <w:spacing w:before="280" w:after="280"/>
        <w:rPr>
          <w:rFonts w:asciiTheme="majorHAnsi" w:eastAsia="Times New Roman" w:hAnsiTheme="majorHAnsi" w:cstheme="majorHAnsi"/>
          <w:szCs w:val="24"/>
        </w:rPr>
      </w:pPr>
      <w:r>
        <w:rPr>
          <w:rFonts w:eastAsia="Times New Roman" w:cstheme="majorHAnsi"/>
          <w:szCs w:val="24"/>
        </w:rPr>
        <w:t xml:space="preserve">For the three nuclear cases, I retained the assumptions from our previous comparison. They should be treated differently from the coal/wind/solar figures: </w:t>
      </w:r>
      <w:r>
        <w:rPr>
          <w:rFonts w:eastAsia="Times New Roman" w:cstheme="majorHAnsi"/>
          <w:b/>
          <w:bCs/>
          <w:szCs w:val="24"/>
        </w:rPr>
        <w:t>the two automated reactor designs do not exist yet at those costs</w:t>
      </w:r>
      <w:r>
        <w:rPr>
          <w:rFonts w:eastAsia="Times New Roman" w:cstheme="majorHAnsi"/>
          <w:szCs w:val="24"/>
        </w:rPr>
        <w:t xml:space="preserve">, so these are engineering target/scenario estimates. Your $1 billion proposal itself explicitly says that the program develops and demonstrates construction automation and does not guarantee a specific overnight capital cost or electricity price. As a reality check, published analysis has used about </w:t>
      </w:r>
      <w:r>
        <w:rPr>
          <w:rFonts w:eastAsia="Times New Roman" w:cstheme="majorHAnsi"/>
          <w:b/>
          <w:bCs/>
          <w:szCs w:val="24"/>
        </w:rPr>
        <w:t>$2,500/kW for a Chinese Hualong One</w:t>
      </w:r>
      <w:r>
        <w:rPr>
          <w:rFonts w:eastAsia="Times New Roman" w:cstheme="majorHAnsi"/>
          <w:szCs w:val="24"/>
        </w:rPr>
        <w:t xml:space="preserve">, while CNNC reports that the first Hualong One took 68.7 months to construct and that China now has a very large standardized supply chain behind it. </w:t>
      </w:r>
    </w:p>
    <w:p w14:paraId="2C9EF9B2" w14:textId="77777777" w:rsidR="003A5A50" w:rsidRDefault="00CB4873" w:rsidP="00F53B70">
      <w:pPr>
        <w:pStyle w:val="Heading2"/>
      </w:pPr>
      <w:r>
        <w:lastRenderedPageBreak/>
        <w:t>Table 2 — Midpoint of each range</w:t>
      </w:r>
    </w:p>
    <w:p w14:paraId="69DDE805" w14:textId="77777777" w:rsidR="003A5A50" w:rsidRDefault="00CB4873">
      <w:pPr>
        <w:keepNext/>
        <w:spacing w:before="280" w:after="280"/>
        <w:rPr>
          <w:rFonts w:asciiTheme="majorHAnsi" w:eastAsia="Times New Roman" w:hAnsiTheme="majorHAnsi" w:cstheme="majorHAnsi"/>
          <w:szCs w:val="24"/>
        </w:rPr>
      </w:pPr>
      <w:r>
        <w:rPr>
          <w:rFonts w:eastAsia="Times New Roman" w:cstheme="majorHAnsi"/>
          <w:szCs w:val="24"/>
        </w:rPr>
        <w:t xml:space="preserve">This is simply the </w:t>
      </w:r>
      <w:r>
        <w:rPr>
          <w:rFonts w:eastAsia="Times New Roman" w:cstheme="majorHAnsi"/>
          <w:b/>
          <w:bCs/>
          <w:szCs w:val="24"/>
        </w:rPr>
        <w:t>arithmetic midpoint</w:t>
      </w:r>
      <w:r>
        <w:rPr>
          <w:rFonts w:eastAsia="Times New Roman" w:cstheme="majorHAnsi"/>
          <w:szCs w:val="24"/>
        </w:rPr>
        <w:t xml:space="preserve"> of Table 1, not a claim that the midpoint is the actual national average. I rounded energy costs to the nearest $1/MWh and CAPEX to the nearest $0.01/W.</w:t>
      </w:r>
    </w:p>
    <w:tbl>
      <w:tblPr>
        <w:tblStyle w:val="gswTableStyle"/>
        <w:tblW w:w="9999" w:type="dxa"/>
        <w:tblLayout w:type="fixed"/>
        <w:tblLook w:val="04A0" w:firstRow="1" w:lastRow="0" w:firstColumn="1" w:lastColumn="0" w:noHBand="0" w:noVBand="1"/>
      </w:tblPr>
      <w:tblGrid>
        <w:gridCol w:w="3276"/>
        <w:gridCol w:w="1029"/>
        <w:gridCol w:w="1171"/>
        <w:gridCol w:w="1800"/>
        <w:gridCol w:w="1194"/>
        <w:gridCol w:w="1529"/>
      </w:tblGrid>
      <w:tr w:rsidR="003A5A50" w14:paraId="6A4E2D7C" w14:textId="77777777" w:rsidTr="003A5A50">
        <w:trPr>
          <w:cnfStyle w:val="100000000000" w:firstRow="1" w:lastRow="0" w:firstColumn="0" w:lastColumn="0" w:oddVBand="0" w:evenVBand="0" w:oddHBand="0" w:evenHBand="0" w:firstRowFirstColumn="0" w:firstRowLastColumn="0" w:lastRowFirstColumn="0" w:lastRowLastColumn="0"/>
        </w:trPr>
        <w:tc>
          <w:tcPr>
            <w:tcW w:w="3275" w:type="dxa"/>
          </w:tcPr>
          <w:p w14:paraId="011AF72A" w14:textId="77777777" w:rsidR="003A5A50" w:rsidRDefault="00CB4873">
            <w:pPr>
              <w:pStyle w:val="cTableHeader"/>
              <w:keepNext/>
            </w:pPr>
            <w:r>
              <w:t>China generation technology</w:t>
            </w:r>
          </w:p>
        </w:tc>
        <w:tc>
          <w:tcPr>
            <w:tcW w:w="1029" w:type="dxa"/>
          </w:tcPr>
          <w:p w14:paraId="0288B697" w14:textId="77777777" w:rsidR="003A5A50" w:rsidRDefault="00CB4873">
            <w:pPr>
              <w:pStyle w:val="cTableHeader"/>
              <w:keepNext/>
            </w:pPr>
            <w:r>
              <w:t>Cost Type</w:t>
            </w:r>
          </w:p>
        </w:tc>
        <w:tc>
          <w:tcPr>
            <w:tcW w:w="1171" w:type="dxa"/>
          </w:tcPr>
          <w:p w14:paraId="51D17867" w14:textId="77777777" w:rsidR="003A5A50" w:rsidRDefault="00CB4873">
            <w:pPr>
              <w:pStyle w:val="cTableHeader"/>
              <w:keepNext/>
            </w:pPr>
            <w:r>
              <w:t>Fuel Type</w:t>
            </w:r>
          </w:p>
        </w:tc>
        <w:tc>
          <w:tcPr>
            <w:tcW w:w="1800" w:type="dxa"/>
          </w:tcPr>
          <w:p w14:paraId="6C04D992" w14:textId="77777777" w:rsidR="003A5A50" w:rsidRDefault="00CB4873">
            <w:pPr>
              <w:pStyle w:val="cTableHeader"/>
              <w:keepNext/>
            </w:pPr>
            <w:r>
              <w:t>Electricity Cost ($/MWhₑ)</w:t>
            </w:r>
          </w:p>
        </w:tc>
        <w:tc>
          <w:tcPr>
            <w:tcW w:w="1194" w:type="dxa"/>
          </w:tcPr>
          <w:p w14:paraId="111BB8F1" w14:textId="77777777" w:rsidR="003A5A50" w:rsidRDefault="00CB4873">
            <w:pPr>
              <w:pStyle w:val="cTableHeader"/>
              <w:keepNext/>
            </w:pPr>
            <w:r>
              <w:t>Heat Cost ($/MWh</w:t>
            </w:r>
            <w:r>
              <w:rPr>
                <w:rFonts w:ascii="Cambria Math" w:hAnsi="Cambria Math" w:cs="Cambria Math"/>
              </w:rPr>
              <w:t>ₜₕ</w:t>
            </w:r>
            <w:r>
              <w:t>)</w:t>
            </w:r>
          </w:p>
        </w:tc>
        <w:tc>
          <w:tcPr>
            <w:tcW w:w="1529" w:type="dxa"/>
          </w:tcPr>
          <w:p w14:paraId="6F92B59D" w14:textId="77777777" w:rsidR="003A5A50" w:rsidRDefault="00CB4873">
            <w:pPr>
              <w:pStyle w:val="cTableHeader"/>
              <w:keepNext/>
            </w:pPr>
            <w:r>
              <w:t>Construction CAPEX ($/Wₑ)</w:t>
            </w:r>
          </w:p>
        </w:tc>
      </w:tr>
      <w:tr w:rsidR="003A5A50" w14:paraId="67744852" w14:textId="77777777" w:rsidTr="003A5A50">
        <w:tc>
          <w:tcPr>
            <w:tcW w:w="3275" w:type="dxa"/>
          </w:tcPr>
          <w:p w14:paraId="5433EC26" w14:textId="77777777" w:rsidR="003A5A50" w:rsidRDefault="00CB4873">
            <w:pPr>
              <w:pStyle w:val="cTableBody"/>
              <w:keepNext/>
              <w:spacing w:before="0" w:after="0"/>
            </w:pPr>
            <w:r>
              <w:t>New coal plant — ultra-supercritical</w:t>
            </w:r>
          </w:p>
        </w:tc>
        <w:tc>
          <w:tcPr>
            <w:tcW w:w="1029" w:type="dxa"/>
          </w:tcPr>
          <w:p w14:paraId="66F7628A" w14:textId="77777777" w:rsidR="003A5A50" w:rsidRDefault="00CB4873">
            <w:pPr>
              <w:pStyle w:val="cTableBody"/>
              <w:keepNext/>
              <w:spacing w:before="0" w:after="0"/>
            </w:pPr>
            <w:r>
              <w:t>LCOE</w:t>
            </w:r>
          </w:p>
        </w:tc>
        <w:tc>
          <w:tcPr>
            <w:tcW w:w="1171" w:type="dxa"/>
          </w:tcPr>
          <w:p w14:paraId="3B8C4830" w14:textId="77777777" w:rsidR="003A5A50" w:rsidRDefault="00CB4873">
            <w:pPr>
              <w:pStyle w:val="cTableBody"/>
              <w:keepNext/>
              <w:spacing w:before="0" w:after="0"/>
            </w:pPr>
            <w:r>
              <w:t>Fossil fuel</w:t>
            </w:r>
          </w:p>
        </w:tc>
        <w:tc>
          <w:tcPr>
            <w:tcW w:w="1800" w:type="dxa"/>
          </w:tcPr>
          <w:p w14:paraId="0FBA1D2D" w14:textId="77777777" w:rsidR="003A5A50" w:rsidRDefault="00CB4873">
            <w:pPr>
              <w:pStyle w:val="cTableBody"/>
              <w:keepNext/>
              <w:spacing w:before="0" w:after="0"/>
            </w:pPr>
            <w:r>
              <w:t>$51</w:t>
            </w:r>
          </w:p>
        </w:tc>
        <w:tc>
          <w:tcPr>
            <w:tcW w:w="1194" w:type="dxa"/>
          </w:tcPr>
          <w:p w14:paraId="71FE029D" w14:textId="77777777" w:rsidR="003A5A50" w:rsidRDefault="00CB4873">
            <w:pPr>
              <w:pStyle w:val="cTableBody"/>
              <w:keepNext/>
              <w:spacing w:before="0" w:after="0"/>
            </w:pPr>
            <w:r>
              <w:t>$21</w:t>
            </w:r>
          </w:p>
        </w:tc>
        <w:tc>
          <w:tcPr>
            <w:tcW w:w="1529" w:type="dxa"/>
          </w:tcPr>
          <w:p w14:paraId="38B734E0" w14:textId="77777777" w:rsidR="003A5A50" w:rsidRDefault="00CB4873">
            <w:pPr>
              <w:pStyle w:val="cTableBody"/>
              <w:keepNext/>
              <w:spacing w:before="0" w:after="0"/>
            </w:pPr>
            <w:r>
              <w:t>$0.60</w:t>
            </w:r>
          </w:p>
        </w:tc>
      </w:tr>
      <w:tr w:rsidR="003A5A50" w14:paraId="35B7A891" w14:textId="77777777" w:rsidTr="003A5A50">
        <w:tc>
          <w:tcPr>
            <w:tcW w:w="3275" w:type="dxa"/>
          </w:tcPr>
          <w:p w14:paraId="73074E8C" w14:textId="77777777" w:rsidR="003A5A50" w:rsidRDefault="00CB4873">
            <w:pPr>
              <w:pStyle w:val="cTableBody"/>
              <w:keepNext/>
              <w:spacing w:before="0" w:after="0"/>
            </w:pPr>
            <w:r>
              <w:t>Existing coal plant — marginal cost</w:t>
            </w:r>
          </w:p>
        </w:tc>
        <w:tc>
          <w:tcPr>
            <w:tcW w:w="1029" w:type="dxa"/>
          </w:tcPr>
          <w:p w14:paraId="7A5D4C1D" w14:textId="77777777" w:rsidR="003A5A50" w:rsidRDefault="00CB4873">
            <w:pPr>
              <w:pStyle w:val="cTableBody"/>
              <w:keepNext/>
              <w:spacing w:before="0" w:after="0"/>
            </w:pPr>
            <w:r>
              <w:t>Marginal</w:t>
            </w:r>
          </w:p>
        </w:tc>
        <w:tc>
          <w:tcPr>
            <w:tcW w:w="1171" w:type="dxa"/>
          </w:tcPr>
          <w:p w14:paraId="683DED18" w14:textId="77777777" w:rsidR="003A5A50" w:rsidRDefault="00CB4873">
            <w:pPr>
              <w:pStyle w:val="cTableBody"/>
              <w:keepNext/>
              <w:spacing w:before="0" w:after="0"/>
            </w:pPr>
            <w:r>
              <w:t>Fossil Fuel</w:t>
            </w:r>
          </w:p>
        </w:tc>
        <w:tc>
          <w:tcPr>
            <w:tcW w:w="1800" w:type="dxa"/>
          </w:tcPr>
          <w:p w14:paraId="2ABD959A" w14:textId="77777777" w:rsidR="003A5A50" w:rsidRDefault="00CB4873">
            <w:pPr>
              <w:pStyle w:val="cTableBody"/>
              <w:keepNext/>
              <w:spacing w:before="0" w:after="0"/>
            </w:pPr>
            <w:r>
              <w:t>$40</w:t>
            </w:r>
          </w:p>
        </w:tc>
        <w:tc>
          <w:tcPr>
            <w:tcW w:w="1194" w:type="dxa"/>
          </w:tcPr>
          <w:p w14:paraId="4620ED4B" w14:textId="77777777" w:rsidR="003A5A50" w:rsidRDefault="00CB4873">
            <w:pPr>
              <w:pStyle w:val="cTableBody"/>
              <w:keepNext/>
              <w:spacing w:before="0" w:after="0"/>
            </w:pPr>
            <w:r>
              <w:t>$18</w:t>
            </w:r>
          </w:p>
        </w:tc>
        <w:tc>
          <w:tcPr>
            <w:tcW w:w="1529" w:type="dxa"/>
          </w:tcPr>
          <w:p w14:paraId="783C207F" w14:textId="77777777" w:rsidR="003A5A50" w:rsidRDefault="00CB4873">
            <w:pPr>
              <w:pStyle w:val="cTableBody"/>
              <w:keepNext/>
              <w:spacing w:before="0" w:after="0"/>
            </w:pPr>
            <w:r>
              <w:t>N/A — sunk</w:t>
            </w:r>
          </w:p>
        </w:tc>
      </w:tr>
      <w:tr w:rsidR="003A5A50" w14:paraId="60CC5C9E" w14:textId="77777777" w:rsidTr="003A5A50">
        <w:tc>
          <w:tcPr>
            <w:tcW w:w="3275" w:type="dxa"/>
          </w:tcPr>
          <w:p w14:paraId="61CA830A" w14:textId="77777777" w:rsidR="003A5A50" w:rsidRDefault="00CB4873">
            <w:pPr>
              <w:pStyle w:val="cTableBody"/>
              <w:keepNext/>
              <w:spacing w:before="0" w:after="0"/>
            </w:pPr>
            <w:r>
              <w:t>New solar farm</w:t>
            </w:r>
          </w:p>
        </w:tc>
        <w:tc>
          <w:tcPr>
            <w:tcW w:w="1029" w:type="dxa"/>
          </w:tcPr>
          <w:p w14:paraId="3111F199" w14:textId="77777777" w:rsidR="003A5A50" w:rsidRDefault="00CB4873">
            <w:pPr>
              <w:pStyle w:val="cTableBody"/>
              <w:keepNext/>
              <w:spacing w:before="0" w:after="0"/>
            </w:pPr>
            <w:r>
              <w:t>LCOE</w:t>
            </w:r>
          </w:p>
        </w:tc>
        <w:tc>
          <w:tcPr>
            <w:tcW w:w="1171" w:type="dxa"/>
          </w:tcPr>
          <w:p w14:paraId="186E41B1" w14:textId="77777777" w:rsidR="003A5A50" w:rsidRDefault="00CB4873">
            <w:pPr>
              <w:pStyle w:val="cTableBody"/>
              <w:keepNext/>
              <w:spacing w:before="0" w:after="0"/>
            </w:pPr>
            <w:r>
              <w:t>Renewable</w:t>
            </w:r>
          </w:p>
        </w:tc>
        <w:tc>
          <w:tcPr>
            <w:tcW w:w="1800" w:type="dxa"/>
          </w:tcPr>
          <w:p w14:paraId="58DAE53D" w14:textId="77777777" w:rsidR="003A5A50" w:rsidRDefault="00CB4873">
            <w:pPr>
              <w:pStyle w:val="cTableBody"/>
              <w:keepNext/>
              <w:spacing w:before="0" w:after="0"/>
            </w:pPr>
            <w:r>
              <w:t>$35</w:t>
            </w:r>
          </w:p>
        </w:tc>
        <w:tc>
          <w:tcPr>
            <w:tcW w:w="1194" w:type="dxa"/>
          </w:tcPr>
          <w:p w14:paraId="60992901" w14:textId="77777777" w:rsidR="003A5A50" w:rsidRDefault="00CB4873">
            <w:pPr>
              <w:pStyle w:val="cTableBody"/>
              <w:keepNext/>
              <w:spacing w:before="0" w:after="0"/>
            </w:pPr>
            <w:r>
              <w:t>$37 *</w:t>
            </w:r>
          </w:p>
        </w:tc>
        <w:tc>
          <w:tcPr>
            <w:tcW w:w="1529" w:type="dxa"/>
          </w:tcPr>
          <w:p w14:paraId="6EC6EF04" w14:textId="77777777" w:rsidR="003A5A50" w:rsidRDefault="00CB4873">
            <w:pPr>
              <w:pStyle w:val="cTableBody"/>
              <w:keepNext/>
              <w:spacing w:before="0" w:after="0"/>
            </w:pPr>
            <w:r>
              <w:t>$0.50</w:t>
            </w:r>
          </w:p>
        </w:tc>
      </w:tr>
      <w:tr w:rsidR="003A5A50" w14:paraId="5B837200" w14:textId="77777777" w:rsidTr="003A5A50">
        <w:tc>
          <w:tcPr>
            <w:tcW w:w="3275" w:type="dxa"/>
          </w:tcPr>
          <w:p w14:paraId="1B0A1675" w14:textId="77777777" w:rsidR="003A5A50" w:rsidRDefault="00CB4873">
            <w:pPr>
              <w:pStyle w:val="cTableBody"/>
              <w:keepNext/>
              <w:spacing w:before="0" w:after="0"/>
            </w:pPr>
            <w:r>
              <w:t>New onshore wind farm</w:t>
            </w:r>
          </w:p>
        </w:tc>
        <w:tc>
          <w:tcPr>
            <w:tcW w:w="1029" w:type="dxa"/>
          </w:tcPr>
          <w:p w14:paraId="6D0C400C" w14:textId="77777777" w:rsidR="003A5A50" w:rsidRDefault="00CB4873">
            <w:pPr>
              <w:pStyle w:val="cTableBody"/>
              <w:keepNext/>
              <w:spacing w:before="0" w:after="0"/>
            </w:pPr>
            <w:r>
              <w:t>LCOE</w:t>
            </w:r>
          </w:p>
        </w:tc>
        <w:tc>
          <w:tcPr>
            <w:tcW w:w="1171" w:type="dxa"/>
          </w:tcPr>
          <w:p w14:paraId="0A01F962" w14:textId="77777777" w:rsidR="003A5A50" w:rsidRDefault="00CB4873">
            <w:pPr>
              <w:pStyle w:val="cTableBody"/>
              <w:keepNext/>
              <w:spacing w:before="0" w:after="0"/>
            </w:pPr>
            <w:r>
              <w:t>Renewable</w:t>
            </w:r>
          </w:p>
        </w:tc>
        <w:tc>
          <w:tcPr>
            <w:tcW w:w="1800" w:type="dxa"/>
          </w:tcPr>
          <w:p w14:paraId="08C8E32C" w14:textId="77777777" w:rsidR="003A5A50" w:rsidRDefault="00CB4873">
            <w:pPr>
              <w:pStyle w:val="cTableBody"/>
              <w:keepNext/>
              <w:spacing w:before="0" w:after="0"/>
            </w:pPr>
            <w:r>
              <w:t>$27</w:t>
            </w:r>
          </w:p>
        </w:tc>
        <w:tc>
          <w:tcPr>
            <w:tcW w:w="1194" w:type="dxa"/>
          </w:tcPr>
          <w:p w14:paraId="1DBFB5CD" w14:textId="77777777" w:rsidR="003A5A50" w:rsidRDefault="00CB4873">
            <w:pPr>
              <w:pStyle w:val="cTableBody"/>
              <w:keepNext/>
              <w:spacing w:before="0" w:after="0"/>
            </w:pPr>
            <w:r>
              <w:t>$29 *</w:t>
            </w:r>
          </w:p>
        </w:tc>
        <w:tc>
          <w:tcPr>
            <w:tcW w:w="1529" w:type="dxa"/>
          </w:tcPr>
          <w:p w14:paraId="5EAE3065" w14:textId="77777777" w:rsidR="003A5A50" w:rsidRDefault="00CB4873">
            <w:pPr>
              <w:pStyle w:val="cTableBody"/>
              <w:keepNext/>
              <w:spacing w:before="0" w:after="0"/>
            </w:pPr>
            <w:r>
              <w:t>$0.83</w:t>
            </w:r>
          </w:p>
        </w:tc>
      </w:tr>
      <w:tr w:rsidR="003A5A50" w14:paraId="5DAE5BF2" w14:textId="77777777" w:rsidTr="003A5A50">
        <w:tc>
          <w:tcPr>
            <w:tcW w:w="3275" w:type="dxa"/>
          </w:tcPr>
          <w:p w14:paraId="5CB945A3" w14:textId="77777777" w:rsidR="003A5A50" w:rsidRDefault="00CB4873">
            <w:pPr>
              <w:pStyle w:val="cTableBody"/>
              <w:keepNext/>
              <w:spacing w:before="0" w:after="0"/>
            </w:pPr>
            <w:r>
              <w:t>New Automated China HTR</w:t>
            </w:r>
          </w:p>
        </w:tc>
        <w:tc>
          <w:tcPr>
            <w:tcW w:w="1029" w:type="dxa"/>
          </w:tcPr>
          <w:p w14:paraId="4AB15DAC" w14:textId="77777777" w:rsidR="003A5A50" w:rsidRDefault="00CB4873">
            <w:pPr>
              <w:pStyle w:val="cTableBody"/>
              <w:keepNext/>
              <w:spacing w:before="0" w:after="0"/>
            </w:pPr>
            <w:r>
              <w:t>LCOE</w:t>
            </w:r>
          </w:p>
        </w:tc>
        <w:tc>
          <w:tcPr>
            <w:tcW w:w="1171" w:type="dxa"/>
          </w:tcPr>
          <w:p w14:paraId="11637910" w14:textId="77777777" w:rsidR="003A5A50" w:rsidRDefault="00CB4873">
            <w:pPr>
              <w:pStyle w:val="cTableBody"/>
              <w:keepNext/>
              <w:spacing w:before="0" w:after="0"/>
            </w:pPr>
            <w:r>
              <w:t>Nuclear</w:t>
            </w:r>
          </w:p>
        </w:tc>
        <w:tc>
          <w:tcPr>
            <w:tcW w:w="1800" w:type="dxa"/>
          </w:tcPr>
          <w:p w14:paraId="30280BAB" w14:textId="77777777" w:rsidR="003A5A50" w:rsidRDefault="00CB4873">
            <w:pPr>
              <w:pStyle w:val="cTableBody"/>
              <w:keepNext/>
              <w:spacing w:before="0" w:after="0"/>
            </w:pPr>
            <w:r>
              <w:t>$37</w:t>
            </w:r>
          </w:p>
        </w:tc>
        <w:tc>
          <w:tcPr>
            <w:tcW w:w="1194" w:type="dxa"/>
          </w:tcPr>
          <w:p w14:paraId="0B546316" w14:textId="77777777" w:rsidR="003A5A50" w:rsidRDefault="00CB4873">
            <w:pPr>
              <w:pStyle w:val="cTableBody"/>
              <w:keepNext/>
              <w:spacing w:before="0" w:after="0"/>
            </w:pPr>
            <w:r>
              <w:t>$15 †</w:t>
            </w:r>
          </w:p>
        </w:tc>
        <w:tc>
          <w:tcPr>
            <w:tcW w:w="1529" w:type="dxa"/>
          </w:tcPr>
          <w:p w14:paraId="3F69ECCD" w14:textId="77777777" w:rsidR="003A5A50" w:rsidRDefault="00CB4873">
            <w:pPr>
              <w:pStyle w:val="cTableBody"/>
              <w:keepNext/>
              <w:spacing w:before="0" w:after="0"/>
            </w:pPr>
            <w:r>
              <w:t>$1.90</w:t>
            </w:r>
          </w:p>
        </w:tc>
      </w:tr>
      <w:tr w:rsidR="003A5A50" w14:paraId="1D6B4446" w14:textId="77777777" w:rsidTr="003A5A50">
        <w:tc>
          <w:tcPr>
            <w:tcW w:w="3275" w:type="dxa"/>
          </w:tcPr>
          <w:p w14:paraId="050A4D33" w14:textId="77777777" w:rsidR="003A5A50" w:rsidRDefault="00CB4873">
            <w:pPr>
              <w:pStyle w:val="cTableBody"/>
              <w:keepNext/>
              <w:spacing w:before="0" w:after="0"/>
            </w:pPr>
            <w:r>
              <w:t>New Automated China PWR</w:t>
            </w:r>
          </w:p>
        </w:tc>
        <w:tc>
          <w:tcPr>
            <w:tcW w:w="1029" w:type="dxa"/>
          </w:tcPr>
          <w:p w14:paraId="774061C9" w14:textId="77777777" w:rsidR="003A5A50" w:rsidRDefault="00CB4873">
            <w:pPr>
              <w:pStyle w:val="cTableBody"/>
              <w:keepNext/>
              <w:spacing w:before="0" w:after="0"/>
            </w:pPr>
            <w:r>
              <w:t>LCOE</w:t>
            </w:r>
          </w:p>
        </w:tc>
        <w:tc>
          <w:tcPr>
            <w:tcW w:w="1171" w:type="dxa"/>
          </w:tcPr>
          <w:p w14:paraId="7BF44810" w14:textId="77777777" w:rsidR="003A5A50" w:rsidRDefault="00CB4873">
            <w:pPr>
              <w:pStyle w:val="cTableBody"/>
              <w:keepNext/>
              <w:spacing w:before="0" w:after="0"/>
            </w:pPr>
            <w:r>
              <w:t>Nuclear</w:t>
            </w:r>
          </w:p>
        </w:tc>
        <w:tc>
          <w:tcPr>
            <w:tcW w:w="1800" w:type="dxa"/>
          </w:tcPr>
          <w:p w14:paraId="657D8B51" w14:textId="77777777" w:rsidR="003A5A50" w:rsidRDefault="00CB4873">
            <w:pPr>
              <w:pStyle w:val="cTableBody"/>
              <w:keepNext/>
              <w:spacing w:before="0" w:after="0"/>
            </w:pPr>
            <w:r>
              <w:t>$31</w:t>
            </w:r>
          </w:p>
        </w:tc>
        <w:tc>
          <w:tcPr>
            <w:tcW w:w="1194" w:type="dxa"/>
          </w:tcPr>
          <w:p w14:paraId="1C5685DC" w14:textId="77777777" w:rsidR="003A5A50" w:rsidRDefault="00CB4873">
            <w:pPr>
              <w:pStyle w:val="cTableBody"/>
              <w:keepNext/>
              <w:spacing w:before="0" w:after="0"/>
            </w:pPr>
            <w:r>
              <w:t>$10 †</w:t>
            </w:r>
          </w:p>
        </w:tc>
        <w:tc>
          <w:tcPr>
            <w:tcW w:w="1529" w:type="dxa"/>
          </w:tcPr>
          <w:p w14:paraId="3E59FDD2" w14:textId="77777777" w:rsidR="003A5A50" w:rsidRDefault="00CB4873">
            <w:pPr>
              <w:pStyle w:val="cTableBody"/>
              <w:keepNext/>
              <w:spacing w:before="0" w:after="0"/>
            </w:pPr>
            <w:r>
              <w:t>$1.60</w:t>
            </w:r>
          </w:p>
        </w:tc>
      </w:tr>
      <w:tr w:rsidR="003A5A50" w14:paraId="79F39ECE" w14:textId="77777777" w:rsidTr="003A5A50">
        <w:tc>
          <w:tcPr>
            <w:tcW w:w="3275" w:type="dxa"/>
          </w:tcPr>
          <w:p w14:paraId="3726E2E2" w14:textId="77777777" w:rsidR="003A5A50" w:rsidRDefault="00CB4873">
            <w:pPr>
              <w:pStyle w:val="cTableBody"/>
              <w:spacing w:before="0" w:after="0"/>
            </w:pPr>
            <w:r>
              <w:t>New conventional China PWR</w:t>
            </w:r>
          </w:p>
        </w:tc>
        <w:tc>
          <w:tcPr>
            <w:tcW w:w="1029" w:type="dxa"/>
          </w:tcPr>
          <w:p w14:paraId="69DACD71" w14:textId="77777777" w:rsidR="003A5A50" w:rsidRDefault="00CB4873">
            <w:pPr>
              <w:pStyle w:val="cTableBody"/>
              <w:spacing w:before="0" w:after="0"/>
            </w:pPr>
            <w:r>
              <w:t>LCOE</w:t>
            </w:r>
          </w:p>
        </w:tc>
        <w:tc>
          <w:tcPr>
            <w:tcW w:w="1171" w:type="dxa"/>
          </w:tcPr>
          <w:p w14:paraId="0A0863FC" w14:textId="77777777" w:rsidR="003A5A50" w:rsidRDefault="00CB4873">
            <w:pPr>
              <w:pStyle w:val="cTableBody"/>
              <w:spacing w:before="0" w:after="0"/>
            </w:pPr>
            <w:r>
              <w:t>Nuclear</w:t>
            </w:r>
          </w:p>
        </w:tc>
        <w:tc>
          <w:tcPr>
            <w:tcW w:w="1800" w:type="dxa"/>
          </w:tcPr>
          <w:p w14:paraId="7EF07EA7" w14:textId="77777777" w:rsidR="003A5A50" w:rsidRDefault="00CB4873">
            <w:pPr>
              <w:pStyle w:val="cTableBody"/>
              <w:spacing w:before="0" w:after="0"/>
            </w:pPr>
            <w:r>
              <w:t>$40</w:t>
            </w:r>
          </w:p>
        </w:tc>
        <w:tc>
          <w:tcPr>
            <w:tcW w:w="1194" w:type="dxa"/>
          </w:tcPr>
          <w:p w14:paraId="6B37D124" w14:textId="77777777" w:rsidR="003A5A50" w:rsidRDefault="00CB4873">
            <w:pPr>
              <w:pStyle w:val="cTableBody"/>
              <w:spacing w:before="0" w:after="0"/>
            </w:pPr>
            <w:r>
              <w:t>$13</w:t>
            </w:r>
          </w:p>
        </w:tc>
        <w:tc>
          <w:tcPr>
            <w:tcW w:w="1529" w:type="dxa"/>
          </w:tcPr>
          <w:p w14:paraId="575F3150" w14:textId="77777777" w:rsidR="003A5A50" w:rsidRDefault="00CB4873">
            <w:pPr>
              <w:pStyle w:val="cTableBody"/>
              <w:spacing w:before="0" w:after="0"/>
            </w:pPr>
            <w:r>
              <w:t>$2.25</w:t>
            </w:r>
          </w:p>
        </w:tc>
      </w:tr>
    </w:tbl>
    <w:p w14:paraId="12202F63" w14:textId="77777777" w:rsidR="003A5A50" w:rsidRDefault="00CB4873" w:rsidP="00457360">
      <w:pPr>
        <w:rPr>
          <w:rFonts w:asciiTheme="majorHAnsi" w:eastAsia="Times New Roman" w:hAnsiTheme="majorHAnsi" w:cstheme="majorHAnsi"/>
          <w:szCs w:val="24"/>
        </w:rPr>
      </w:pPr>
      <w:r>
        <w:rPr>
          <w:rFonts w:eastAsia="Times New Roman" w:cstheme="majorHAnsi"/>
          <w:szCs w:val="24"/>
        </w:rPr>
        <w:t xml:space="preserve">There is also a major </w:t>
      </w:r>
      <w:r>
        <w:rPr>
          <w:rFonts w:eastAsia="Times New Roman" w:cstheme="majorHAnsi"/>
          <w:b/>
          <w:bCs/>
          <w:szCs w:val="24"/>
        </w:rPr>
        <w:t>heat-quality difference</w:t>
      </w:r>
      <w:r>
        <w:rPr>
          <w:rFonts w:eastAsia="Times New Roman" w:cstheme="majorHAnsi"/>
          <w:szCs w:val="24"/>
        </w:rPr>
        <w:t xml:space="preserve"> hidden in the table. HTR-PM currently produces steam at approximately </w:t>
      </w:r>
      <w:r>
        <w:rPr>
          <w:rFonts w:eastAsia="Times New Roman" w:cstheme="majorHAnsi"/>
          <w:b/>
          <w:bCs/>
          <w:szCs w:val="24"/>
        </w:rPr>
        <w:t>520°C</w:t>
      </w:r>
      <w:r>
        <w:rPr>
          <w:rFonts w:eastAsia="Times New Roman" w:cstheme="majorHAnsi"/>
          <w:szCs w:val="24"/>
        </w:rPr>
        <w:t xml:space="preserve">, whereas Hualong-One-class PWR steam is below </w:t>
      </w:r>
      <w:r>
        <w:rPr>
          <w:rFonts w:eastAsia="Times New Roman" w:cstheme="majorHAnsi"/>
          <w:b/>
          <w:bCs/>
          <w:szCs w:val="24"/>
        </w:rPr>
        <w:t>300°C</w:t>
      </w:r>
      <w:r>
        <w:rPr>
          <w:rFonts w:eastAsia="Times New Roman" w:cstheme="majorHAnsi"/>
          <w:szCs w:val="24"/>
        </w:rPr>
        <w:t xml:space="preserve">. The HTR-PM researchers specifically identify industrial process heat as one of the architecture's advantages; they also report that today's demonstration HTR-PM electricity costs about 20% more than standard commercial PWR power. </w:t>
      </w:r>
    </w:p>
    <w:p w14:paraId="77C6A7D4" w14:textId="77777777" w:rsidR="003A5A50" w:rsidRDefault="00CB4873">
      <w:pPr>
        <w:spacing w:before="280" w:after="280"/>
        <w:rPr>
          <w:rFonts w:asciiTheme="majorHAnsi" w:eastAsia="Times New Roman" w:hAnsiTheme="majorHAnsi" w:cstheme="majorHAnsi"/>
          <w:szCs w:val="24"/>
        </w:rPr>
      </w:pPr>
      <w:r>
        <w:rPr>
          <w:rFonts w:eastAsia="Times New Roman" w:cstheme="majorHAnsi"/>
          <w:szCs w:val="24"/>
        </w:rPr>
        <w:t>So, for the particular climate/industrial strategy we have been examining, Table 2 highlights the central tradeoff very clearly:</w:t>
      </w:r>
    </w:p>
    <w:p w14:paraId="1B215911" w14:textId="77777777" w:rsidR="003A5A50" w:rsidRDefault="00CB4873" w:rsidP="00B86AD4">
      <w:pPr>
        <w:tabs>
          <w:tab w:val="left" w:pos="5760"/>
        </w:tabs>
        <w:spacing w:before="40" w:beforeAutospacing="0" w:after="40" w:afterAutospacing="0"/>
        <w:ind w:left="360" w:right="-72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 xml:space="preserve">Cheapest intermittent electricity: </w:t>
      </w:r>
      <w:r>
        <w:rPr>
          <w:rFonts w:ascii="Courier New" w:eastAsia="Times New Roman" w:hAnsi="Courier New" w:cs="Courier New"/>
          <w:color w:val="4F81BD" w:themeColor="accent1"/>
          <w:sz w:val="22"/>
        </w:rPr>
        <w:tab/>
        <w:t>≈ $27/MWh (Onshore Wind)</w:t>
      </w:r>
    </w:p>
    <w:p w14:paraId="6962AE20" w14:textId="77777777" w:rsidR="003A5A50" w:rsidRDefault="00CB4873" w:rsidP="00B86AD4">
      <w:pPr>
        <w:tabs>
          <w:tab w:val="left" w:pos="5760"/>
        </w:tabs>
        <w:spacing w:before="40" w:beforeAutospacing="0" w:after="40" w:afterAutospacing="0"/>
        <w:ind w:left="360" w:right="-72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 xml:space="preserve">Cheapest hypothesized 24/7 power: </w:t>
      </w:r>
      <w:r>
        <w:rPr>
          <w:rFonts w:ascii="Courier New" w:eastAsia="Times New Roman" w:hAnsi="Courier New" w:cs="Courier New"/>
          <w:color w:val="4F81BD" w:themeColor="accent1"/>
          <w:sz w:val="22"/>
        </w:rPr>
        <w:tab/>
        <w:t>≈ $31/MWh (Automated PWR)</w:t>
      </w:r>
    </w:p>
    <w:p w14:paraId="09BEF05F" w14:textId="77777777" w:rsidR="003A5A50" w:rsidRDefault="00CB4873" w:rsidP="00B86AD4">
      <w:pPr>
        <w:tabs>
          <w:tab w:val="left" w:pos="5760"/>
        </w:tabs>
        <w:spacing w:before="40" w:beforeAutospacing="0" w:after="40" w:afterAutospacing="0"/>
        <w:ind w:left="360" w:right="-72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 xml:space="preserve">Solar Farm: </w:t>
      </w:r>
      <w:r>
        <w:rPr>
          <w:rFonts w:ascii="Courier New" w:eastAsia="Times New Roman" w:hAnsi="Courier New" w:cs="Courier New"/>
          <w:color w:val="4F81BD" w:themeColor="accent1"/>
          <w:sz w:val="22"/>
        </w:rPr>
        <w:tab/>
        <w:t xml:space="preserve">≈ $35/MWh </w:t>
      </w:r>
    </w:p>
    <w:p w14:paraId="7D1831D1" w14:textId="2172DAAD" w:rsidR="003A5A50" w:rsidRDefault="00CB4873" w:rsidP="00B86AD4">
      <w:pPr>
        <w:tabs>
          <w:tab w:val="left" w:pos="5760"/>
        </w:tabs>
        <w:spacing w:before="40" w:beforeAutospacing="0" w:after="40" w:afterAutospacing="0"/>
        <w:ind w:left="360" w:right="-72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 xml:space="preserve">Automated HTR </w:t>
      </w:r>
      <w:r w:rsidR="00B86AD4">
        <w:rPr>
          <w:rFonts w:ascii="Courier New" w:eastAsia="Times New Roman" w:hAnsi="Courier New" w:cs="Courier New"/>
          <w:color w:val="4F81BD" w:themeColor="accent1"/>
          <w:sz w:val="22"/>
        </w:rPr>
        <w:t>(</w:t>
      </w:r>
      <w:r>
        <w:rPr>
          <w:rFonts w:ascii="Courier New" w:eastAsia="Times New Roman" w:hAnsi="Courier New" w:cs="Courier New"/>
          <w:color w:val="4F81BD" w:themeColor="accent1"/>
          <w:sz w:val="22"/>
        </w:rPr>
        <w:t>valuable ~520°C heat):</w:t>
      </w:r>
      <w:r>
        <w:rPr>
          <w:rFonts w:ascii="Courier New" w:eastAsia="Times New Roman" w:hAnsi="Courier New" w:cs="Courier New"/>
          <w:color w:val="4F81BD" w:themeColor="accent1"/>
          <w:sz w:val="22"/>
        </w:rPr>
        <w:tab/>
        <w:t>≈ $37/MWh</w:t>
      </w:r>
    </w:p>
    <w:p w14:paraId="243C1FCE" w14:textId="77777777" w:rsidR="003A5A50" w:rsidRDefault="00CB4873" w:rsidP="00B86AD4">
      <w:pPr>
        <w:tabs>
          <w:tab w:val="left" w:pos="5760"/>
        </w:tabs>
        <w:spacing w:before="40" w:beforeAutospacing="0" w:after="40" w:afterAutospacing="0"/>
        <w:ind w:left="360" w:right="-72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 xml:space="preserve">Existing coal marginal generation: </w:t>
      </w:r>
      <w:r>
        <w:rPr>
          <w:rFonts w:ascii="Courier New" w:eastAsia="Times New Roman" w:hAnsi="Courier New" w:cs="Courier New"/>
          <w:color w:val="4F81BD" w:themeColor="accent1"/>
          <w:sz w:val="22"/>
        </w:rPr>
        <w:tab/>
        <w:t xml:space="preserve">≈ $40/MWh </w:t>
      </w:r>
    </w:p>
    <w:p w14:paraId="319CE57F" w14:textId="77777777" w:rsidR="003A5A50" w:rsidRDefault="00CB4873" w:rsidP="00B86AD4">
      <w:pPr>
        <w:tabs>
          <w:tab w:val="left" w:pos="5760"/>
        </w:tabs>
        <w:spacing w:before="40" w:beforeAutospacing="0" w:after="40" w:afterAutospacing="0"/>
        <w:ind w:left="360" w:right="-72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 xml:space="preserve">Conventional new Chinese PWR: </w:t>
      </w:r>
      <w:r>
        <w:rPr>
          <w:rFonts w:ascii="Courier New" w:eastAsia="Times New Roman" w:hAnsi="Courier New" w:cs="Courier New"/>
          <w:color w:val="4F81BD" w:themeColor="accent1"/>
          <w:sz w:val="22"/>
        </w:rPr>
        <w:tab/>
        <w:t xml:space="preserve">≈ $40/MWh </w:t>
      </w:r>
    </w:p>
    <w:p w14:paraId="6B1D13CC" w14:textId="77777777" w:rsidR="003A5A50" w:rsidRDefault="00CB4873" w:rsidP="00B86AD4">
      <w:pPr>
        <w:tabs>
          <w:tab w:val="left" w:pos="5760"/>
        </w:tabs>
        <w:spacing w:before="40" w:beforeAutospacing="0" w:after="40" w:afterAutospacing="0"/>
        <w:ind w:left="360" w:right="-72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 xml:space="preserve">New coal: </w:t>
      </w:r>
      <w:r>
        <w:rPr>
          <w:rFonts w:ascii="Courier New" w:eastAsia="Times New Roman" w:hAnsi="Courier New" w:cs="Courier New"/>
          <w:color w:val="4F81BD" w:themeColor="accent1"/>
          <w:sz w:val="22"/>
        </w:rPr>
        <w:tab/>
        <w:t xml:space="preserve">≈ $51/MWh </w:t>
      </w:r>
    </w:p>
    <w:p w14:paraId="558D7112" w14:textId="77777777" w:rsidR="003A5A50" w:rsidRDefault="00CB4873">
      <w:pPr>
        <w:spacing w:before="280" w:after="280"/>
        <w:rPr>
          <w:rFonts w:asciiTheme="majorHAnsi" w:eastAsia="Times New Roman" w:hAnsiTheme="majorHAnsi" w:cstheme="majorHAnsi"/>
          <w:szCs w:val="24"/>
        </w:rPr>
      </w:pPr>
      <w:r>
        <w:rPr>
          <w:rFonts w:eastAsia="Times New Roman" w:cstheme="majorHAnsi"/>
          <w:szCs w:val="24"/>
        </w:rPr>
        <w:t xml:space="preserve">That last comparison is potentially quite important for your proposal: if the automated-PWR assumptions can actually be achieved, building a new automated PWR would cost less per MWh than merely burning coal in many existing Chinese coal plants. That is a much stronger economic claim than simply saying nuclear competes with </w:t>
      </w:r>
      <w:r>
        <w:rPr>
          <w:rFonts w:eastAsia="Times New Roman" w:cstheme="majorHAnsi"/>
          <w:i/>
          <w:iCs/>
          <w:szCs w:val="24"/>
        </w:rPr>
        <w:t>new</w:t>
      </w:r>
      <w:r>
        <w:rPr>
          <w:rFonts w:eastAsia="Times New Roman" w:cstheme="majorHAnsi"/>
          <w:szCs w:val="24"/>
        </w:rPr>
        <w:t xml:space="preserve"> coal, although it is also the claim that most needs to be demonstrated experimentally.</w:t>
      </w:r>
    </w:p>
    <w:p w14:paraId="2E379209" w14:textId="77777777" w:rsidR="003A5A50" w:rsidRDefault="00CB4873" w:rsidP="00F53B70">
      <w:pPr>
        <w:pStyle w:val="Heading2"/>
      </w:pPr>
      <w:r>
        <w:lastRenderedPageBreak/>
        <w:t>Community Acceptance and Siting Scenario</w:t>
      </w:r>
    </w:p>
    <w:p w14:paraId="24EA3C96" w14:textId="77777777" w:rsidR="00DB7BD3" w:rsidRDefault="00CB4873">
      <w:r>
        <w:t>HTR-PM passive/inherent safety characteristics justify testing whether siting, emergency-planning assumptions, industrial co-location, or community acceptance could differ from a conventional PWR. This proposal does not assume that local governments, regulators, or communities will prefer HTR, and it does not assume a regulatory minimum distance for either reactor type. The economic model should therefore run multiple siting and transmission scenarios for both tracks and treat any HTR advantage as contingen</w:t>
      </w:r>
      <w:r>
        <w:t>t on regulator-credible evidence, site-specific analysis, and local acceptance.</w:t>
      </w:r>
    </w:p>
    <w:p w14:paraId="49230DC0" w14:textId="77777777" w:rsidR="003A5A50" w:rsidRDefault="00CB4873">
      <w:pPr>
        <w:pStyle w:val="Heading1"/>
        <w:spacing w:before="280" w:after="280"/>
        <w:ind w:right="-342"/>
      </w:pPr>
      <w:bookmarkStart w:id="24" w:name="_Toc237866628"/>
      <w:bookmarkStart w:id="25" w:name="_Toc237987302"/>
      <w:bookmarkStart w:id="26" w:name="_Toc238204709"/>
      <w:r>
        <w:lastRenderedPageBreak/>
        <w:t>Cost Comparison: Electricity Generation + Transmission</w:t>
      </w:r>
      <w:bookmarkEnd w:id="24"/>
      <w:bookmarkEnd w:id="25"/>
      <w:bookmarkEnd w:id="26"/>
    </w:p>
    <w:p w14:paraId="60D34E9F" w14:textId="77777777" w:rsidR="003A5A50" w:rsidRDefault="00CB4873">
      <w:pPr>
        <w:pStyle w:val="cUserPromptText"/>
        <w:spacing w:before="280" w:after="280"/>
      </w:pPr>
      <w:r>
        <w:rPr>
          <w:rStyle w:val="UserPromptHeadingChar"/>
        </w:rPr>
        <w:t>Prompt to AI:</w:t>
      </w:r>
      <w:r>
        <w:t xml:space="preserve"> HTR-PM has passive/inherent safety characteristics that may create a potential siting advantage relative to a PWR and therefore potentially reduce transmission costs. Please evaluate this as a scenario rather than assume a regulatory minimum distance. Redo the previous table and only show 3 columns: (a) LCOE electricity cost at gate of power plant, (b) LCOE cost for transmission lines, and (c) total LCOE (i.e. sum of column ‘a’ and ‘b’). All numbers shown would be $/MWh for electricity.</w:t>
      </w:r>
    </w:p>
    <w:p w14:paraId="257C1BBB" w14:textId="77777777" w:rsidR="003A5A50" w:rsidRDefault="00CB4873">
      <w:pPr>
        <w:keepNext/>
        <w:spacing w:before="280" w:after="280"/>
      </w:pPr>
      <w:r>
        <w:rPr>
          <w:b/>
          <w:color w:val="4F81BD"/>
          <w:u w:val="single"/>
        </w:rPr>
        <w:t>Response From AI:</w:t>
      </w:r>
    </w:p>
    <w:p w14:paraId="254092FA" w14:textId="77777777" w:rsidR="003A5A50" w:rsidRDefault="00CB4873">
      <w:pPr>
        <w:spacing w:before="280" w:after="280"/>
        <w:rPr>
          <w:rFonts w:asciiTheme="majorHAnsi" w:eastAsia="Times New Roman" w:hAnsiTheme="majorHAnsi" w:cstheme="majorHAnsi"/>
          <w:szCs w:val="24"/>
        </w:rPr>
      </w:pPr>
      <w:r>
        <w:rPr>
          <w:rFonts w:eastAsia="Times New Roman" w:cstheme="majorHAnsi"/>
          <w:szCs w:val="24"/>
        </w:rPr>
        <w:t>Yes. If we explicitly model a siting advantage for the HTR track, using HTR-PM's passive/inherent safety characteristics as the initial reference, the comparison changes.</w:t>
      </w:r>
    </w:p>
    <w:p w14:paraId="39534395" w14:textId="19711F24" w:rsidR="003A5A50" w:rsidRDefault="00CB4873">
      <w:pPr>
        <w:spacing w:before="280" w:after="280"/>
        <w:rPr>
          <w:rFonts w:asciiTheme="majorHAnsi" w:eastAsia="Times New Roman" w:hAnsiTheme="majorHAnsi" w:cstheme="majorHAnsi"/>
          <w:szCs w:val="24"/>
        </w:rPr>
      </w:pPr>
      <w:r>
        <w:rPr>
          <w:rFonts w:eastAsia="Times New Roman" w:cstheme="majorHAnsi"/>
          <w:szCs w:val="24"/>
        </w:rPr>
        <w:t>I would use the following representative siting assumptions: HTR 50 km;</w:t>
      </w:r>
      <w:r w:rsidR="00B86AD4">
        <w:rPr>
          <w:rFonts w:eastAsia="Times New Roman" w:cstheme="majorHAnsi"/>
          <w:szCs w:val="24"/>
        </w:rPr>
        <w:t xml:space="preserve"> </w:t>
      </w:r>
      <w:r>
        <w:rPr>
          <w:rFonts w:eastAsia="Times New Roman" w:cstheme="majorHAnsi"/>
          <w:b/>
          <w:bCs/>
          <w:szCs w:val="24"/>
        </w:rPr>
        <w:t>PWR 300 km; new coal 300 km; remote wind/solar 1,000 km</w:t>
      </w:r>
      <w:r>
        <w:rPr>
          <w:rFonts w:eastAsia="Times New Roman" w:cstheme="majorHAnsi"/>
          <w:szCs w:val="24"/>
        </w:rPr>
        <w:t xml:space="preserve">. These are scenario assumptions, not Chinese regulatory minimum distances. The initial HTR-PM reference is attractive partly because loss of active cooling does not lead to fuel melting. </w:t>
      </w:r>
    </w:p>
    <w:p w14:paraId="4A547EE6" w14:textId="77777777" w:rsidR="003A5A50" w:rsidRDefault="00CB4873" w:rsidP="00F53B70">
      <w:pPr>
        <w:pStyle w:val="Heading2"/>
      </w:pPr>
      <w:r>
        <w:t>Table 1 — Electricity delivered to metropolitan area</w:t>
      </w:r>
    </w:p>
    <w:tbl>
      <w:tblPr>
        <w:tblStyle w:val="gswTableStyle"/>
        <w:tblW w:w="10476" w:type="dxa"/>
        <w:tblLayout w:type="fixed"/>
        <w:tblLook w:val="04A0" w:firstRow="1" w:lastRow="0" w:firstColumn="1" w:lastColumn="0" w:noHBand="0" w:noVBand="1"/>
      </w:tblPr>
      <w:tblGrid>
        <w:gridCol w:w="4627"/>
        <w:gridCol w:w="2247"/>
        <w:gridCol w:w="1654"/>
        <w:gridCol w:w="1948"/>
      </w:tblGrid>
      <w:tr w:rsidR="003A5A50" w14:paraId="2F760354" w14:textId="77777777" w:rsidTr="003A5A50">
        <w:trPr>
          <w:cnfStyle w:val="100000000000" w:firstRow="1" w:lastRow="0" w:firstColumn="0" w:lastColumn="0" w:oddVBand="0" w:evenVBand="0" w:oddHBand="0" w:evenHBand="0" w:firstRowFirstColumn="0" w:firstRowLastColumn="0" w:lastRowFirstColumn="0" w:lastRowLastColumn="0"/>
        </w:trPr>
        <w:tc>
          <w:tcPr>
            <w:tcW w:w="4626" w:type="dxa"/>
          </w:tcPr>
          <w:p w14:paraId="26951A3E" w14:textId="77777777" w:rsidR="003A5A50" w:rsidRDefault="00CB4873">
            <w:pPr>
              <w:pStyle w:val="cTableHeader"/>
              <w:rPr>
                <w:sz w:val="24"/>
                <w:szCs w:val="24"/>
              </w:rPr>
            </w:pPr>
            <w:r>
              <w:rPr>
                <w:sz w:val="24"/>
                <w:szCs w:val="24"/>
              </w:rPr>
              <w:t>China generation technology</w:t>
            </w:r>
          </w:p>
        </w:tc>
        <w:tc>
          <w:tcPr>
            <w:tcW w:w="2247" w:type="dxa"/>
          </w:tcPr>
          <w:p w14:paraId="411C8A73" w14:textId="77777777" w:rsidR="003A5A50" w:rsidRDefault="00CB4873">
            <w:pPr>
              <w:pStyle w:val="cTableHeader"/>
              <w:rPr>
                <w:sz w:val="24"/>
                <w:szCs w:val="24"/>
              </w:rPr>
            </w:pPr>
            <w:r>
              <w:rPr>
                <w:sz w:val="24"/>
                <w:szCs w:val="24"/>
              </w:rPr>
              <w:t>LCOE at power-plant gate ($/MWh</w:t>
            </w:r>
            <w:r>
              <w:rPr>
                <w:sz w:val="24"/>
                <w:szCs w:val="24"/>
                <w:vertAlign w:val="subscript"/>
              </w:rPr>
              <w:t>e</w:t>
            </w:r>
            <w:r>
              <w:rPr>
                <w:sz w:val="24"/>
                <w:szCs w:val="24"/>
              </w:rPr>
              <w:t>)</w:t>
            </w:r>
          </w:p>
        </w:tc>
        <w:tc>
          <w:tcPr>
            <w:tcW w:w="1654" w:type="dxa"/>
          </w:tcPr>
          <w:p w14:paraId="7EF83404" w14:textId="77777777" w:rsidR="003A5A50" w:rsidRDefault="00CB4873">
            <w:pPr>
              <w:pStyle w:val="cTableHeader"/>
              <w:rPr>
                <w:sz w:val="24"/>
                <w:szCs w:val="24"/>
              </w:rPr>
            </w:pPr>
            <w:r>
              <w:rPr>
                <w:sz w:val="24"/>
                <w:szCs w:val="24"/>
              </w:rPr>
              <w:t>Transmission ($/MWh</w:t>
            </w:r>
            <w:r>
              <w:rPr>
                <w:sz w:val="24"/>
                <w:szCs w:val="24"/>
                <w:vertAlign w:val="subscript"/>
              </w:rPr>
              <w:t>e</w:t>
            </w:r>
            <w:r>
              <w:rPr>
                <w:sz w:val="24"/>
                <w:szCs w:val="24"/>
              </w:rPr>
              <w:t>)</w:t>
            </w:r>
          </w:p>
        </w:tc>
        <w:tc>
          <w:tcPr>
            <w:tcW w:w="1948" w:type="dxa"/>
          </w:tcPr>
          <w:p w14:paraId="12F08048" w14:textId="77777777" w:rsidR="003A5A50" w:rsidRDefault="00CB4873">
            <w:pPr>
              <w:pStyle w:val="cTableHeader"/>
              <w:rPr>
                <w:sz w:val="24"/>
                <w:szCs w:val="24"/>
              </w:rPr>
            </w:pPr>
            <w:r>
              <w:rPr>
                <w:sz w:val="24"/>
                <w:szCs w:val="24"/>
              </w:rPr>
              <w:t>Total delivered LCOE ($/MWh</w:t>
            </w:r>
            <w:r>
              <w:rPr>
                <w:sz w:val="24"/>
                <w:szCs w:val="24"/>
                <w:vertAlign w:val="subscript"/>
              </w:rPr>
              <w:t>e</w:t>
            </w:r>
            <w:r>
              <w:rPr>
                <w:sz w:val="24"/>
                <w:szCs w:val="24"/>
              </w:rPr>
              <w:t>)</w:t>
            </w:r>
          </w:p>
        </w:tc>
      </w:tr>
      <w:tr w:rsidR="003A5A50" w14:paraId="785298DE" w14:textId="77777777" w:rsidTr="003A5A50">
        <w:tc>
          <w:tcPr>
            <w:tcW w:w="4626" w:type="dxa"/>
          </w:tcPr>
          <w:p w14:paraId="5D6A77B1" w14:textId="77777777" w:rsidR="003A5A50" w:rsidRDefault="00CB4873">
            <w:pPr>
              <w:pStyle w:val="cTableBody"/>
              <w:spacing w:before="0" w:after="0"/>
            </w:pPr>
            <w:r>
              <w:t>New coal — ultra-supercritical</w:t>
            </w:r>
          </w:p>
        </w:tc>
        <w:tc>
          <w:tcPr>
            <w:tcW w:w="2247" w:type="dxa"/>
          </w:tcPr>
          <w:p w14:paraId="587EBAC2" w14:textId="77777777" w:rsidR="003A5A50" w:rsidRDefault="00CB4873">
            <w:pPr>
              <w:pStyle w:val="cTableBody"/>
              <w:spacing w:before="0" w:after="0"/>
              <w:jc w:val="center"/>
            </w:pPr>
            <w:r>
              <w:t>$51</w:t>
            </w:r>
          </w:p>
        </w:tc>
        <w:tc>
          <w:tcPr>
            <w:tcW w:w="1654" w:type="dxa"/>
          </w:tcPr>
          <w:p w14:paraId="10CF8F2D" w14:textId="77777777" w:rsidR="003A5A50" w:rsidRDefault="00CB4873">
            <w:pPr>
              <w:pStyle w:val="cTableBody"/>
              <w:spacing w:before="0" w:after="0"/>
              <w:jc w:val="center"/>
            </w:pPr>
            <w:r>
              <w:t>$3</w:t>
            </w:r>
          </w:p>
        </w:tc>
        <w:tc>
          <w:tcPr>
            <w:tcW w:w="1948" w:type="dxa"/>
          </w:tcPr>
          <w:p w14:paraId="05B47E01" w14:textId="77777777" w:rsidR="003A5A50" w:rsidRDefault="00CB4873">
            <w:pPr>
              <w:pStyle w:val="cTableBody"/>
              <w:spacing w:before="0" w:after="0"/>
              <w:jc w:val="center"/>
            </w:pPr>
            <w:r>
              <w:t>$54</w:t>
            </w:r>
          </w:p>
        </w:tc>
      </w:tr>
      <w:tr w:rsidR="003A5A50" w14:paraId="6083D4F3" w14:textId="77777777" w:rsidTr="003A5A50">
        <w:tc>
          <w:tcPr>
            <w:tcW w:w="4626" w:type="dxa"/>
          </w:tcPr>
          <w:p w14:paraId="13BF78CF" w14:textId="77777777" w:rsidR="003A5A50" w:rsidRDefault="00CB4873">
            <w:pPr>
              <w:pStyle w:val="cTableBody"/>
              <w:spacing w:before="0" w:after="0"/>
            </w:pPr>
            <w:r>
              <w:t>Existing coal — marginal cost</w:t>
            </w:r>
          </w:p>
        </w:tc>
        <w:tc>
          <w:tcPr>
            <w:tcW w:w="2247" w:type="dxa"/>
          </w:tcPr>
          <w:p w14:paraId="338A4FED" w14:textId="77777777" w:rsidR="003A5A50" w:rsidRDefault="00CB4873">
            <w:pPr>
              <w:pStyle w:val="cTableBody"/>
              <w:spacing w:before="0" w:after="0"/>
              <w:jc w:val="center"/>
            </w:pPr>
            <w:r>
              <w:t>$40</w:t>
            </w:r>
          </w:p>
        </w:tc>
        <w:tc>
          <w:tcPr>
            <w:tcW w:w="1654" w:type="dxa"/>
          </w:tcPr>
          <w:p w14:paraId="5C290FD0" w14:textId="77777777" w:rsidR="003A5A50" w:rsidRDefault="00CB4873">
            <w:pPr>
              <w:pStyle w:val="cTableBody"/>
              <w:spacing w:before="0" w:after="0"/>
              <w:jc w:val="center"/>
            </w:pPr>
            <w:r>
              <w:t>$1 ‡</w:t>
            </w:r>
          </w:p>
        </w:tc>
        <w:tc>
          <w:tcPr>
            <w:tcW w:w="1948" w:type="dxa"/>
          </w:tcPr>
          <w:p w14:paraId="2E507ACD" w14:textId="77777777" w:rsidR="003A5A50" w:rsidRDefault="00CB4873">
            <w:pPr>
              <w:pStyle w:val="cTableBody"/>
              <w:spacing w:before="0" w:after="0"/>
              <w:jc w:val="center"/>
            </w:pPr>
            <w:r>
              <w:t>$41</w:t>
            </w:r>
          </w:p>
        </w:tc>
      </w:tr>
      <w:tr w:rsidR="003A5A50" w14:paraId="179D7F40" w14:textId="77777777" w:rsidTr="003A5A50">
        <w:tc>
          <w:tcPr>
            <w:tcW w:w="4626" w:type="dxa"/>
          </w:tcPr>
          <w:p w14:paraId="3C8D5D3F" w14:textId="77777777" w:rsidR="003A5A50" w:rsidRDefault="00CB4873">
            <w:pPr>
              <w:pStyle w:val="cTableBody"/>
              <w:spacing w:before="0" w:after="0"/>
            </w:pPr>
            <w:r>
              <w:t>New solar farm — 1,000 km away</w:t>
            </w:r>
          </w:p>
        </w:tc>
        <w:tc>
          <w:tcPr>
            <w:tcW w:w="2247" w:type="dxa"/>
          </w:tcPr>
          <w:p w14:paraId="163F141A" w14:textId="77777777" w:rsidR="003A5A50" w:rsidRDefault="00CB4873">
            <w:pPr>
              <w:pStyle w:val="cTableBody"/>
              <w:spacing w:before="0" w:after="0"/>
              <w:jc w:val="center"/>
            </w:pPr>
            <w:r>
              <w:t>$35</w:t>
            </w:r>
          </w:p>
        </w:tc>
        <w:tc>
          <w:tcPr>
            <w:tcW w:w="1654" w:type="dxa"/>
          </w:tcPr>
          <w:p w14:paraId="0CF2F799" w14:textId="77777777" w:rsidR="003A5A50" w:rsidRDefault="00CB4873">
            <w:pPr>
              <w:pStyle w:val="cTableBody"/>
              <w:spacing w:before="0" w:after="0"/>
              <w:jc w:val="center"/>
            </w:pPr>
            <w:r>
              <w:t>$9</w:t>
            </w:r>
          </w:p>
        </w:tc>
        <w:tc>
          <w:tcPr>
            <w:tcW w:w="1948" w:type="dxa"/>
          </w:tcPr>
          <w:p w14:paraId="60116D5D" w14:textId="77777777" w:rsidR="003A5A50" w:rsidRDefault="00CB4873">
            <w:pPr>
              <w:pStyle w:val="cTableBody"/>
              <w:spacing w:before="0" w:after="0"/>
              <w:jc w:val="center"/>
            </w:pPr>
            <w:r>
              <w:t>$44</w:t>
            </w:r>
          </w:p>
        </w:tc>
      </w:tr>
      <w:tr w:rsidR="003A5A50" w14:paraId="7FD59976" w14:textId="77777777" w:rsidTr="003A5A50">
        <w:tc>
          <w:tcPr>
            <w:tcW w:w="4626" w:type="dxa"/>
          </w:tcPr>
          <w:p w14:paraId="10277466" w14:textId="77777777" w:rsidR="003A5A50" w:rsidRDefault="00CB4873">
            <w:pPr>
              <w:pStyle w:val="cTableBody"/>
              <w:spacing w:before="0" w:after="0"/>
            </w:pPr>
            <w:r>
              <w:t>New onshore wind — 1,000 km away</w:t>
            </w:r>
          </w:p>
        </w:tc>
        <w:tc>
          <w:tcPr>
            <w:tcW w:w="2247" w:type="dxa"/>
          </w:tcPr>
          <w:p w14:paraId="54A91EBB" w14:textId="77777777" w:rsidR="003A5A50" w:rsidRDefault="00CB4873">
            <w:pPr>
              <w:pStyle w:val="cTableBody"/>
              <w:spacing w:before="0" w:after="0"/>
              <w:jc w:val="center"/>
            </w:pPr>
            <w:r>
              <w:t>$27</w:t>
            </w:r>
          </w:p>
        </w:tc>
        <w:tc>
          <w:tcPr>
            <w:tcW w:w="1654" w:type="dxa"/>
          </w:tcPr>
          <w:p w14:paraId="770CD62E" w14:textId="77777777" w:rsidR="003A5A50" w:rsidRDefault="00CB4873">
            <w:pPr>
              <w:pStyle w:val="cTableBody"/>
              <w:spacing w:before="0" w:after="0"/>
              <w:jc w:val="center"/>
            </w:pPr>
            <w:r>
              <w:t>$9</w:t>
            </w:r>
          </w:p>
        </w:tc>
        <w:tc>
          <w:tcPr>
            <w:tcW w:w="1948" w:type="dxa"/>
          </w:tcPr>
          <w:p w14:paraId="42819248" w14:textId="77777777" w:rsidR="003A5A50" w:rsidRDefault="00CB4873">
            <w:pPr>
              <w:pStyle w:val="cTableBody"/>
              <w:spacing w:before="0" w:after="0"/>
              <w:jc w:val="center"/>
            </w:pPr>
            <w:r>
              <w:t>$36</w:t>
            </w:r>
          </w:p>
        </w:tc>
      </w:tr>
      <w:tr w:rsidR="003A5A50" w14:paraId="26D3B1B7" w14:textId="77777777" w:rsidTr="003A5A50">
        <w:tc>
          <w:tcPr>
            <w:tcW w:w="4626" w:type="dxa"/>
          </w:tcPr>
          <w:p w14:paraId="406D44BF" w14:textId="77777777" w:rsidR="003A5A50" w:rsidRDefault="00CB4873">
            <w:pPr>
              <w:pStyle w:val="cTableBody"/>
              <w:spacing w:before="0" w:after="0"/>
            </w:pPr>
            <w:r>
              <w:t>New Automated China HTR — ~50 km away</w:t>
            </w:r>
          </w:p>
        </w:tc>
        <w:tc>
          <w:tcPr>
            <w:tcW w:w="2247" w:type="dxa"/>
          </w:tcPr>
          <w:p w14:paraId="3AF3170C" w14:textId="77777777" w:rsidR="003A5A50" w:rsidRDefault="00CB4873">
            <w:pPr>
              <w:pStyle w:val="cTableBody"/>
              <w:spacing w:before="0" w:after="0"/>
              <w:jc w:val="center"/>
            </w:pPr>
            <w:r>
              <w:t>$37</w:t>
            </w:r>
          </w:p>
        </w:tc>
        <w:tc>
          <w:tcPr>
            <w:tcW w:w="1654" w:type="dxa"/>
          </w:tcPr>
          <w:p w14:paraId="1AC80206" w14:textId="77777777" w:rsidR="003A5A50" w:rsidRDefault="00CB4873">
            <w:pPr>
              <w:pStyle w:val="cTableBody"/>
              <w:spacing w:before="0" w:after="0"/>
              <w:jc w:val="center"/>
            </w:pPr>
            <w:r>
              <w:t>$1 †</w:t>
            </w:r>
          </w:p>
        </w:tc>
        <w:tc>
          <w:tcPr>
            <w:tcW w:w="1948" w:type="dxa"/>
          </w:tcPr>
          <w:p w14:paraId="060271C8" w14:textId="77777777" w:rsidR="003A5A50" w:rsidRDefault="00CB4873">
            <w:pPr>
              <w:pStyle w:val="cTableBody"/>
              <w:spacing w:before="0" w:after="0"/>
              <w:jc w:val="center"/>
            </w:pPr>
            <w:r>
              <w:t>$38</w:t>
            </w:r>
          </w:p>
        </w:tc>
      </w:tr>
      <w:tr w:rsidR="003A5A50" w14:paraId="42E371BE" w14:textId="77777777" w:rsidTr="003A5A50">
        <w:tc>
          <w:tcPr>
            <w:tcW w:w="4626" w:type="dxa"/>
          </w:tcPr>
          <w:p w14:paraId="22558BD4" w14:textId="77777777" w:rsidR="003A5A50" w:rsidRDefault="00CB4873">
            <w:pPr>
              <w:pStyle w:val="cTableBody"/>
              <w:spacing w:before="0" w:after="0"/>
            </w:pPr>
            <w:r>
              <w:t>New Automated China PWR — ~300 km away</w:t>
            </w:r>
          </w:p>
        </w:tc>
        <w:tc>
          <w:tcPr>
            <w:tcW w:w="2247" w:type="dxa"/>
          </w:tcPr>
          <w:p w14:paraId="46E20F65" w14:textId="77777777" w:rsidR="003A5A50" w:rsidRDefault="00CB4873">
            <w:pPr>
              <w:pStyle w:val="cTableBody"/>
              <w:spacing w:before="0" w:after="0"/>
              <w:jc w:val="center"/>
            </w:pPr>
            <w:r>
              <w:t>$31</w:t>
            </w:r>
          </w:p>
        </w:tc>
        <w:tc>
          <w:tcPr>
            <w:tcW w:w="1654" w:type="dxa"/>
          </w:tcPr>
          <w:p w14:paraId="69756530" w14:textId="77777777" w:rsidR="003A5A50" w:rsidRDefault="00CB4873">
            <w:pPr>
              <w:pStyle w:val="cTableBody"/>
              <w:spacing w:before="0" w:after="0"/>
              <w:jc w:val="center"/>
            </w:pPr>
            <w:r>
              <w:t>$3 †</w:t>
            </w:r>
          </w:p>
        </w:tc>
        <w:tc>
          <w:tcPr>
            <w:tcW w:w="1948" w:type="dxa"/>
          </w:tcPr>
          <w:p w14:paraId="57B7D7ED" w14:textId="77777777" w:rsidR="003A5A50" w:rsidRDefault="00CB4873">
            <w:pPr>
              <w:pStyle w:val="cTableBody"/>
              <w:spacing w:before="0" w:after="0"/>
              <w:jc w:val="center"/>
            </w:pPr>
            <w:r>
              <w:t>$34</w:t>
            </w:r>
          </w:p>
        </w:tc>
      </w:tr>
      <w:tr w:rsidR="003A5A50" w14:paraId="538A142C" w14:textId="77777777" w:rsidTr="003A5A50">
        <w:tc>
          <w:tcPr>
            <w:tcW w:w="4626" w:type="dxa"/>
          </w:tcPr>
          <w:p w14:paraId="2A8F6D47" w14:textId="77777777" w:rsidR="003A5A50" w:rsidRDefault="00CB4873">
            <w:pPr>
              <w:pStyle w:val="cTableBody"/>
              <w:spacing w:before="0" w:after="0"/>
            </w:pPr>
            <w:r>
              <w:t>New conventional China PWR — ~300 km away</w:t>
            </w:r>
          </w:p>
        </w:tc>
        <w:tc>
          <w:tcPr>
            <w:tcW w:w="2247" w:type="dxa"/>
          </w:tcPr>
          <w:p w14:paraId="5B5FFBCE" w14:textId="77777777" w:rsidR="003A5A50" w:rsidRDefault="00CB4873">
            <w:pPr>
              <w:pStyle w:val="cTableBody"/>
              <w:spacing w:before="0" w:after="0"/>
              <w:jc w:val="center"/>
            </w:pPr>
            <w:r>
              <w:t>$40</w:t>
            </w:r>
          </w:p>
        </w:tc>
        <w:tc>
          <w:tcPr>
            <w:tcW w:w="1654" w:type="dxa"/>
          </w:tcPr>
          <w:p w14:paraId="0C4C04D3" w14:textId="77777777" w:rsidR="003A5A50" w:rsidRDefault="00CB4873">
            <w:pPr>
              <w:pStyle w:val="cTableBody"/>
              <w:spacing w:before="0" w:after="0"/>
              <w:jc w:val="center"/>
            </w:pPr>
            <w:r>
              <w:t>$3</w:t>
            </w:r>
          </w:p>
        </w:tc>
        <w:tc>
          <w:tcPr>
            <w:tcW w:w="1948" w:type="dxa"/>
          </w:tcPr>
          <w:p w14:paraId="5B61D736" w14:textId="77777777" w:rsidR="003A5A50" w:rsidRDefault="00CB4873">
            <w:pPr>
              <w:pStyle w:val="cTableBody"/>
              <w:spacing w:before="0" w:after="0"/>
              <w:jc w:val="center"/>
            </w:pPr>
            <w:r>
              <w:t>$43</w:t>
            </w:r>
          </w:p>
        </w:tc>
      </w:tr>
    </w:tbl>
    <w:p w14:paraId="7334C8DA" w14:textId="77777777" w:rsidR="003A5A50" w:rsidRDefault="00CB4873">
      <w:pPr>
        <w:spacing w:before="280" w:after="280"/>
        <w:rPr>
          <w:rFonts w:asciiTheme="majorHAnsi" w:eastAsia="Times New Roman" w:hAnsiTheme="majorHAnsi" w:cstheme="majorHAnsi"/>
          <w:color w:val="948A54" w:themeColor="background2" w:themeShade="80"/>
          <w:szCs w:val="24"/>
        </w:rPr>
      </w:pPr>
      <w:r>
        <w:rPr>
          <w:rFonts w:eastAsia="Times New Roman" w:cstheme="majorHAnsi"/>
          <w:color w:val="948A54" w:themeColor="background2" w:themeShade="80"/>
          <w:szCs w:val="24"/>
        </w:rPr>
        <w:t>† Modeled; not yet demonstrated.</w:t>
      </w:r>
    </w:p>
    <w:p w14:paraId="4B0A507A" w14:textId="77777777" w:rsidR="003A5A50" w:rsidRDefault="00CB4873">
      <w:pPr>
        <w:spacing w:before="280" w:after="280"/>
        <w:rPr>
          <w:rFonts w:asciiTheme="majorHAnsi" w:eastAsia="Times New Roman" w:hAnsiTheme="majorHAnsi" w:cstheme="majorHAnsi"/>
          <w:color w:val="948A54" w:themeColor="background2" w:themeShade="80"/>
          <w:szCs w:val="24"/>
        </w:rPr>
      </w:pPr>
      <w:r>
        <w:rPr>
          <w:rFonts w:eastAsia="Times New Roman" w:cstheme="majorHAnsi"/>
          <w:color w:val="948A54" w:themeColor="background2" w:themeShade="80"/>
          <w:szCs w:val="24"/>
        </w:rPr>
        <w:t>‡ For existing coal, I am treating the transmission infrastructure as largely sunk and assigning about $1/MWh for incremental transmission O&amp;M/loss effects rather than constructing a new dedicated transmission system.</w:t>
      </w:r>
    </w:p>
    <w:p w14:paraId="65BE26C5" w14:textId="77777777" w:rsidR="003A5A50" w:rsidRDefault="00CB4873">
      <w:pPr>
        <w:spacing w:before="280" w:after="280"/>
        <w:rPr>
          <w:rFonts w:asciiTheme="majorHAnsi" w:eastAsia="Times New Roman" w:hAnsiTheme="majorHAnsi" w:cstheme="majorHAnsi"/>
          <w:szCs w:val="24"/>
        </w:rPr>
      </w:pPr>
      <w:r>
        <w:rPr>
          <w:rFonts w:eastAsia="Times New Roman" w:cstheme="majorHAnsi"/>
          <w:szCs w:val="24"/>
        </w:rPr>
        <w:t xml:space="preserve">The </w:t>
      </w:r>
      <w:r>
        <w:rPr>
          <w:rFonts w:eastAsia="Times New Roman" w:cstheme="majorHAnsi"/>
          <w:b/>
          <w:bCs/>
          <w:szCs w:val="24"/>
        </w:rPr>
        <w:t>$9/MWh assumption for ~1,000 km transmission</w:t>
      </w:r>
      <w:r>
        <w:rPr>
          <w:rFonts w:eastAsia="Times New Roman" w:cstheme="majorHAnsi"/>
          <w:szCs w:val="24"/>
        </w:rPr>
        <w:t xml:space="preserve"> is reasonable for China. As a useful real-world benchmark, the Gansu–Shandong ±800-kV UHVDC line spans about </w:t>
      </w:r>
      <w:r>
        <w:rPr>
          <w:rFonts w:eastAsia="Times New Roman" w:cstheme="majorHAnsi"/>
          <w:b/>
          <w:bCs/>
          <w:szCs w:val="24"/>
        </w:rPr>
        <w:t>915 km</w:t>
      </w:r>
      <w:r>
        <w:rPr>
          <w:rFonts w:eastAsia="Times New Roman" w:cstheme="majorHAnsi"/>
          <w:szCs w:val="24"/>
        </w:rPr>
        <w:t xml:space="preserve">, cost about </w:t>
      </w:r>
      <w:r>
        <w:rPr>
          <w:rFonts w:eastAsia="Times New Roman" w:cstheme="majorHAnsi"/>
          <w:b/>
          <w:bCs/>
          <w:szCs w:val="24"/>
        </w:rPr>
        <w:t xml:space="preserve">RMB 20.2 </w:t>
      </w:r>
      <w:r>
        <w:rPr>
          <w:rFonts w:eastAsia="Times New Roman" w:cstheme="majorHAnsi"/>
          <w:b/>
          <w:bCs/>
          <w:szCs w:val="24"/>
        </w:rPr>
        <w:lastRenderedPageBreak/>
        <w:t>billion</w:t>
      </w:r>
      <w:r>
        <w:rPr>
          <w:rFonts w:eastAsia="Times New Roman" w:cstheme="majorHAnsi"/>
          <w:szCs w:val="24"/>
        </w:rPr>
        <w:t>, and transmitted 28.8 TWh in its first year of operation. China's newer Gansu–Zhejiang line is 2,370 km, costs about RMB 35.3 billion and is designed to transmit more than 36 TWh/year. I therefore use roughly $9/MWh as an all-in planning estimate for a heavily utilized 1,000-km UHV transmission system, including an allowance for losses.</w:t>
      </w:r>
    </w:p>
    <w:p w14:paraId="4AE23439" w14:textId="77777777" w:rsidR="003A5A50" w:rsidRDefault="00CB4873" w:rsidP="00F53B70">
      <w:pPr>
        <w:pStyle w:val="Heading2"/>
      </w:pPr>
      <w:r>
        <w:t>The important result</w:t>
      </w:r>
    </w:p>
    <w:p w14:paraId="62FA54AF" w14:textId="77777777" w:rsidR="003A5A50" w:rsidRDefault="00CB4873">
      <w:pPr>
        <w:spacing w:before="280" w:after="280"/>
        <w:rPr>
          <w:rFonts w:asciiTheme="majorHAnsi" w:eastAsia="Times New Roman" w:hAnsiTheme="majorHAnsi" w:cstheme="majorHAnsi"/>
          <w:szCs w:val="24"/>
        </w:rPr>
      </w:pPr>
      <w:r>
        <w:rPr>
          <w:rFonts w:eastAsia="Times New Roman" w:cstheme="majorHAnsi"/>
          <w:szCs w:val="24"/>
        </w:rPr>
        <w:t>Once transmission is included, the ranking becomes:</w:t>
      </w:r>
    </w:p>
    <w:p w14:paraId="388F9F95" w14:textId="77777777" w:rsidR="003A5A50" w:rsidRDefault="00CB4873">
      <w:pPr>
        <w:tabs>
          <w:tab w:val="left" w:pos="4140"/>
        </w:tabs>
        <w:spacing w:before="80" w:beforeAutospacing="0" w:after="80" w:afterAutospacing="0"/>
        <w:ind w:left="36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 xml:space="preserve">Automated PWR: </w:t>
      </w:r>
      <w:r>
        <w:rPr>
          <w:rFonts w:ascii="Courier New" w:eastAsia="Times New Roman" w:hAnsi="Courier New" w:cs="Courier New"/>
          <w:color w:val="4F81BD" w:themeColor="accent1"/>
          <w:sz w:val="22"/>
        </w:rPr>
        <w:tab/>
        <w:t>$34/MWh</w:t>
      </w:r>
      <w:r>
        <w:rPr>
          <w:rFonts w:ascii="Courier New" w:eastAsia="Times New Roman" w:hAnsi="Courier New" w:cs="Courier New"/>
          <w:color w:val="4F81BD" w:themeColor="accent1"/>
          <w:sz w:val="22"/>
          <w:vertAlign w:val="subscript"/>
        </w:rPr>
        <w:t>e</w:t>
      </w:r>
    </w:p>
    <w:p w14:paraId="78E9E114" w14:textId="77777777" w:rsidR="003A5A50" w:rsidRDefault="00CB4873">
      <w:pPr>
        <w:tabs>
          <w:tab w:val="left" w:pos="4140"/>
        </w:tabs>
        <w:spacing w:before="80" w:beforeAutospacing="0" w:after="80" w:afterAutospacing="0"/>
        <w:ind w:left="36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 xml:space="preserve">Wind at 1,000 km: </w:t>
      </w:r>
      <w:r>
        <w:rPr>
          <w:rFonts w:ascii="Courier New" w:eastAsia="Times New Roman" w:hAnsi="Courier New" w:cs="Courier New"/>
          <w:color w:val="4F81BD" w:themeColor="accent1"/>
          <w:sz w:val="22"/>
        </w:rPr>
        <w:tab/>
        <w:t>$36/MWh</w:t>
      </w:r>
      <w:r>
        <w:rPr>
          <w:rFonts w:ascii="Courier New" w:eastAsia="Times New Roman" w:hAnsi="Courier New" w:cs="Courier New"/>
          <w:color w:val="4F81BD" w:themeColor="accent1"/>
          <w:sz w:val="22"/>
          <w:vertAlign w:val="subscript"/>
        </w:rPr>
        <w:t>e</w:t>
      </w:r>
    </w:p>
    <w:p w14:paraId="3F6CC72F" w14:textId="77777777" w:rsidR="003A5A50" w:rsidRDefault="00CB4873">
      <w:pPr>
        <w:tabs>
          <w:tab w:val="left" w:pos="4140"/>
        </w:tabs>
        <w:spacing w:before="80" w:beforeAutospacing="0" w:after="80" w:afterAutospacing="0"/>
        <w:ind w:left="36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 xml:space="preserve">Automated HTR near city: </w:t>
      </w:r>
      <w:r>
        <w:rPr>
          <w:rFonts w:ascii="Courier New" w:eastAsia="Times New Roman" w:hAnsi="Courier New" w:cs="Courier New"/>
          <w:color w:val="4F81BD" w:themeColor="accent1"/>
          <w:sz w:val="22"/>
        </w:rPr>
        <w:tab/>
        <w:t>$38/MWh</w:t>
      </w:r>
      <w:r>
        <w:rPr>
          <w:rFonts w:ascii="Courier New" w:eastAsia="Times New Roman" w:hAnsi="Courier New" w:cs="Courier New"/>
          <w:color w:val="4F81BD" w:themeColor="accent1"/>
          <w:sz w:val="22"/>
          <w:vertAlign w:val="subscript"/>
        </w:rPr>
        <w:t>e</w:t>
      </w:r>
    </w:p>
    <w:p w14:paraId="4B2226EC" w14:textId="77777777" w:rsidR="003A5A50" w:rsidRDefault="00CB4873">
      <w:pPr>
        <w:tabs>
          <w:tab w:val="left" w:pos="4140"/>
        </w:tabs>
        <w:spacing w:before="80" w:beforeAutospacing="0" w:after="80" w:afterAutospacing="0"/>
        <w:ind w:left="36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 xml:space="preserve">Existing coal marginal: </w:t>
      </w:r>
      <w:r>
        <w:rPr>
          <w:rFonts w:ascii="Courier New" w:eastAsia="Times New Roman" w:hAnsi="Courier New" w:cs="Courier New"/>
          <w:color w:val="4F81BD" w:themeColor="accent1"/>
          <w:sz w:val="22"/>
        </w:rPr>
        <w:tab/>
        <w:t>$41/MWh</w:t>
      </w:r>
      <w:r>
        <w:rPr>
          <w:rFonts w:ascii="Courier New" w:eastAsia="Times New Roman" w:hAnsi="Courier New" w:cs="Courier New"/>
          <w:color w:val="4F81BD" w:themeColor="accent1"/>
          <w:sz w:val="22"/>
          <w:vertAlign w:val="subscript"/>
        </w:rPr>
        <w:t>e</w:t>
      </w:r>
    </w:p>
    <w:p w14:paraId="783C0532" w14:textId="77777777" w:rsidR="003A5A50" w:rsidRDefault="00CB4873">
      <w:pPr>
        <w:tabs>
          <w:tab w:val="left" w:pos="4140"/>
        </w:tabs>
        <w:spacing w:before="80" w:beforeAutospacing="0" w:after="80" w:afterAutospacing="0"/>
        <w:ind w:left="36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 xml:space="preserve">Conventional PWR: </w:t>
      </w:r>
      <w:r>
        <w:rPr>
          <w:rFonts w:ascii="Courier New" w:eastAsia="Times New Roman" w:hAnsi="Courier New" w:cs="Courier New"/>
          <w:color w:val="4F81BD" w:themeColor="accent1"/>
          <w:sz w:val="22"/>
        </w:rPr>
        <w:tab/>
        <w:t>$43/MWh</w:t>
      </w:r>
      <w:r>
        <w:rPr>
          <w:rFonts w:ascii="Courier New" w:eastAsia="Times New Roman" w:hAnsi="Courier New" w:cs="Courier New"/>
          <w:color w:val="4F81BD" w:themeColor="accent1"/>
          <w:sz w:val="22"/>
          <w:vertAlign w:val="subscript"/>
        </w:rPr>
        <w:t>e</w:t>
      </w:r>
    </w:p>
    <w:p w14:paraId="31A04AB9" w14:textId="77777777" w:rsidR="003A5A50" w:rsidRDefault="00CB4873">
      <w:pPr>
        <w:tabs>
          <w:tab w:val="left" w:pos="4140"/>
        </w:tabs>
        <w:spacing w:before="80" w:beforeAutospacing="0" w:after="80" w:afterAutospacing="0"/>
        <w:ind w:left="36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 xml:space="preserve">Solar at 1,000 km: </w:t>
      </w:r>
      <w:r>
        <w:rPr>
          <w:rFonts w:ascii="Courier New" w:eastAsia="Times New Roman" w:hAnsi="Courier New" w:cs="Courier New"/>
          <w:color w:val="4F81BD" w:themeColor="accent1"/>
          <w:sz w:val="22"/>
        </w:rPr>
        <w:tab/>
        <w:t>$44/MWh</w:t>
      </w:r>
      <w:r>
        <w:rPr>
          <w:rFonts w:ascii="Courier New" w:eastAsia="Times New Roman" w:hAnsi="Courier New" w:cs="Courier New"/>
          <w:color w:val="4F81BD" w:themeColor="accent1"/>
          <w:sz w:val="22"/>
          <w:vertAlign w:val="subscript"/>
        </w:rPr>
        <w:t>e</w:t>
      </w:r>
    </w:p>
    <w:p w14:paraId="6D5F62E9" w14:textId="77777777" w:rsidR="003A5A50" w:rsidRDefault="00CB4873">
      <w:pPr>
        <w:tabs>
          <w:tab w:val="left" w:pos="4140"/>
        </w:tabs>
        <w:spacing w:before="80" w:beforeAutospacing="0" w:after="80" w:afterAutospacing="0"/>
        <w:ind w:left="360"/>
        <w:rPr>
          <w:rFonts w:ascii="Courier New" w:eastAsia="Times New Roman" w:hAnsi="Courier New" w:cs="Courier New"/>
          <w:color w:val="4F81BD" w:themeColor="accent1"/>
          <w:sz w:val="22"/>
        </w:rPr>
      </w:pPr>
      <w:r>
        <w:rPr>
          <w:rFonts w:ascii="Courier New" w:eastAsia="Times New Roman" w:hAnsi="Courier New" w:cs="Courier New"/>
          <w:color w:val="4F81BD" w:themeColor="accent1"/>
          <w:sz w:val="22"/>
        </w:rPr>
        <w:t xml:space="preserve">New coal: </w:t>
      </w:r>
      <w:r>
        <w:rPr>
          <w:rFonts w:ascii="Courier New" w:eastAsia="Times New Roman" w:hAnsi="Courier New" w:cs="Courier New"/>
          <w:color w:val="4F81BD" w:themeColor="accent1"/>
          <w:sz w:val="22"/>
        </w:rPr>
        <w:tab/>
        <w:t>$54/MWh</w:t>
      </w:r>
      <w:r>
        <w:rPr>
          <w:rFonts w:ascii="Courier New" w:eastAsia="Times New Roman" w:hAnsi="Courier New" w:cs="Courier New"/>
          <w:color w:val="4F81BD" w:themeColor="accent1"/>
          <w:sz w:val="22"/>
          <w:vertAlign w:val="subscript"/>
        </w:rPr>
        <w:t>e</w:t>
      </w:r>
    </w:p>
    <w:p w14:paraId="7F627E53" w14:textId="77777777" w:rsidR="003A5A50" w:rsidRDefault="00CB4873">
      <w:pPr>
        <w:spacing w:before="280" w:after="280"/>
        <w:rPr>
          <w:rFonts w:asciiTheme="majorHAnsi" w:eastAsia="Times New Roman" w:hAnsiTheme="majorHAnsi" w:cstheme="majorHAnsi"/>
          <w:szCs w:val="24"/>
        </w:rPr>
      </w:pPr>
      <w:r>
        <w:rPr>
          <w:rFonts w:eastAsia="Times New Roman" w:cstheme="majorHAnsi"/>
          <w:szCs w:val="24"/>
        </w:rPr>
        <w:t xml:space="preserve">There is an important implication for the HTR strategy: its electricity-generation disadvantage versus an automated PWR shrinks from about </w:t>
      </w:r>
      <w:r>
        <w:rPr>
          <w:rFonts w:eastAsia="Times New Roman" w:cstheme="majorHAnsi"/>
          <w:b/>
          <w:bCs/>
          <w:szCs w:val="24"/>
        </w:rPr>
        <w:t>$6/MWh at the plant gate ($37 vs. $31)</w:t>
      </w:r>
      <w:r>
        <w:rPr>
          <w:rFonts w:eastAsia="Times New Roman" w:cstheme="majorHAnsi"/>
          <w:szCs w:val="24"/>
        </w:rPr>
        <w:t xml:space="preserve"> to about </w:t>
      </w:r>
      <w:r>
        <w:rPr>
          <w:rFonts w:eastAsia="Times New Roman" w:cstheme="majorHAnsi"/>
          <w:b/>
          <w:bCs/>
          <w:szCs w:val="24"/>
        </w:rPr>
        <w:t>$4/MWh delivered ($38 vs. $34)</w:t>
      </w:r>
      <w:r>
        <w:rPr>
          <w:rFonts w:eastAsia="Times New Roman" w:cstheme="majorHAnsi"/>
          <w:szCs w:val="24"/>
        </w:rPr>
        <w:t xml:space="preserve"> under these siting assumptions.</w:t>
      </w:r>
    </w:p>
    <w:p w14:paraId="009535C2" w14:textId="77777777" w:rsidR="003A5A50" w:rsidRDefault="00CB4873">
      <w:pPr>
        <w:spacing w:before="280" w:after="280"/>
        <w:rPr>
          <w:rFonts w:asciiTheme="majorHAnsi" w:eastAsia="Times New Roman" w:hAnsiTheme="majorHAnsi" w:cstheme="majorHAnsi"/>
          <w:szCs w:val="24"/>
        </w:rPr>
      </w:pPr>
      <w:r>
        <w:rPr>
          <w:rFonts w:eastAsia="Times New Roman" w:cstheme="majorHAnsi"/>
          <w:szCs w:val="24"/>
        </w:rPr>
        <w:t xml:space="preserve">And the HTR track still has something the PWR does not: </w:t>
      </w:r>
      <w:r>
        <w:rPr>
          <w:rFonts w:eastAsia="Times New Roman" w:cstheme="majorHAnsi"/>
          <w:b/>
          <w:bCs/>
          <w:szCs w:val="24"/>
        </w:rPr>
        <w:t>high-temperature process heat</w:t>
      </w:r>
      <w:r>
        <w:rPr>
          <w:rFonts w:eastAsia="Times New Roman" w:cstheme="majorHAnsi"/>
          <w:szCs w:val="24"/>
        </w:rPr>
        <w:t>. So, for a metropolitan/industrial complex that needs both electricity and steam, the HTR could potentially become the lower-total-system-cost option even though its electricity-only LCOE remains modestly higher.</w:t>
      </w:r>
    </w:p>
    <w:p w14:paraId="773C13D6" w14:textId="77777777" w:rsidR="003A5A50" w:rsidRDefault="00CB4873">
      <w:pPr>
        <w:spacing w:before="280" w:after="280"/>
        <w:rPr>
          <w:rFonts w:asciiTheme="majorHAnsi" w:eastAsia="Times New Roman" w:hAnsiTheme="majorHAnsi" w:cstheme="majorHAnsi"/>
          <w:szCs w:val="24"/>
        </w:rPr>
      </w:pPr>
      <w:r>
        <w:rPr>
          <w:rFonts w:eastAsia="Times New Roman" w:cstheme="majorHAnsi"/>
          <w:szCs w:val="24"/>
        </w:rPr>
        <w:t xml:space="preserve">One caution: </w:t>
      </w:r>
      <w:r>
        <w:rPr>
          <w:rFonts w:eastAsia="Times New Roman" w:cstheme="majorHAnsi"/>
          <w:b/>
          <w:bCs/>
          <w:szCs w:val="24"/>
        </w:rPr>
        <w:t>300 km is not a physical or regulatory requirement for a Chinese PWR.</w:t>
      </w:r>
      <w:r>
        <w:rPr>
          <w:rFonts w:eastAsia="Times New Roman" w:cstheme="majorHAnsi"/>
          <w:szCs w:val="24"/>
        </w:rPr>
        <w:t xml:space="preserve"> Some Chinese PWRs can and do sit much closer to population centers. So, the transmission advantage should be modeled as an HTR siting hypothesis to test, rather than assuming every PWR necessarily needs hundreds of kilometers of transmission.</w:t>
      </w:r>
    </w:p>
    <w:p w14:paraId="56D1FA12" w14:textId="77777777" w:rsidR="003A5A50" w:rsidRDefault="003A5A50">
      <w:pPr>
        <w:spacing w:before="280" w:after="280"/>
        <w:rPr>
          <w:rFonts w:asciiTheme="majorHAnsi" w:eastAsia="Times New Roman" w:hAnsiTheme="majorHAnsi" w:cstheme="majorHAnsi"/>
          <w:szCs w:val="24"/>
        </w:rPr>
      </w:pPr>
    </w:p>
    <w:p w14:paraId="5073572F" w14:textId="77777777" w:rsidR="003A5A50" w:rsidRDefault="003A5A50">
      <w:pPr>
        <w:spacing w:before="280" w:after="280"/>
      </w:pPr>
    </w:p>
    <w:p w14:paraId="73E48D53" w14:textId="77777777" w:rsidR="003A5A50" w:rsidRDefault="003A5A50">
      <w:pPr>
        <w:spacing w:beforeAutospacing="0" w:after="200" w:afterAutospacing="0"/>
        <w:rPr>
          <w:rFonts w:asciiTheme="minorHAnsi" w:eastAsiaTheme="minorEastAsia" w:hAnsiTheme="minorHAnsi"/>
          <w:sz w:val="22"/>
        </w:rPr>
      </w:pPr>
    </w:p>
    <w:p w14:paraId="220E8E88" w14:textId="77777777" w:rsidR="003A5A50" w:rsidRDefault="003A5A50">
      <w:pPr>
        <w:spacing w:before="280" w:after="280"/>
      </w:pPr>
    </w:p>
    <w:p w14:paraId="237EC81B" w14:textId="77777777" w:rsidR="00DB7BD3" w:rsidRDefault="00CB4873">
      <w:pPr>
        <w:pStyle w:val="Heading1"/>
      </w:pPr>
      <w:bookmarkStart w:id="27" w:name="_Toc238204710"/>
      <w:r>
        <w:lastRenderedPageBreak/>
        <w:t>Purchase Orders</w:t>
      </w:r>
      <w:bookmarkEnd w:id="27"/>
    </w:p>
    <w:p w14:paraId="51CF7F56" w14:textId="77777777" w:rsidR="00DB7BD3" w:rsidRDefault="00CB4873">
      <w:pPr>
        <w:pStyle w:val="cUserPromptText"/>
      </w:pPr>
      <w:r>
        <w:rPr>
          <w:b/>
        </w:rPr>
        <w:t xml:space="preserve">Prompt to AI: </w:t>
      </w:r>
      <w:r>
        <w:t>For each phase of each dual-reference budget item, list illustrative purchase orders, amounts, recipients, and acceptance logic. Treat “purchase order” as a procurement package that may be a contract, grant, cooperative agreement, reimbursable agreement, or task order. Assume the primary implementation and pilot work occurs in China.</w:t>
      </w:r>
    </w:p>
    <w:p w14:paraId="2054E3AE" w14:textId="77777777" w:rsidR="00DB7BD3" w:rsidRDefault="00CB4873">
      <w:pPr>
        <w:pStyle w:val="cSubject"/>
      </w:pPr>
      <w:r>
        <w:t>Response From AI:</w:t>
      </w:r>
    </w:p>
    <w:p w14:paraId="73AF5117" w14:textId="77777777" w:rsidR="00DB7BD3" w:rsidRDefault="00CB4873">
      <w:r>
        <w:t>To avoid repeating generic contracting boilerplate already governed by the Common Framework, each subphase below is one illustrative procurement package. The package may be split among lead engineering, specialty performers, fabrication/test organizations, and an owner-direct independent reviewer. The table therefore keeps only the initiative-specific deliverable, amount, recipient class, and concise technical acceptance logic.</w:t>
      </w:r>
    </w:p>
    <w:p w14:paraId="27C6D91E" w14:textId="274E55D7" w:rsidR="00DB7BD3" w:rsidRDefault="000119DA">
      <w:pPr>
        <w:pStyle w:val="Heading2"/>
      </w:pPr>
      <w:r>
        <w:t>Area 1. Dual-reference plant, site, and construction-system design - $90 million</w:t>
      </w:r>
    </w:p>
    <w:p w14:paraId="12840DD2" w14:textId="77777777" w:rsidR="00DB7BD3" w:rsidRDefault="00CB4873">
      <w:r>
        <w:t>Illustrative recipients: Dual-reference design authorities / China execution team; specialty engineering; owner-direct independent reviewer.</w:t>
      </w:r>
    </w:p>
    <w:tbl>
      <w:tblPr>
        <w:tblStyle w:val="gswTableStyle"/>
        <w:tblW w:w="10437" w:type="dxa"/>
        <w:tblInd w:w="172" w:type="dxa"/>
        <w:tblLook w:val="04A0" w:firstRow="1" w:lastRow="0" w:firstColumn="1" w:lastColumn="0" w:noHBand="0" w:noVBand="1"/>
      </w:tblPr>
      <w:tblGrid>
        <w:gridCol w:w="784"/>
        <w:gridCol w:w="5272"/>
        <w:gridCol w:w="940"/>
        <w:gridCol w:w="3441"/>
      </w:tblGrid>
      <w:tr w:rsidR="00DB7BD3" w14:paraId="1AE22CBA" w14:textId="77777777" w:rsidTr="00B86AD4">
        <w:trPr>
          <w:cnfStyle w:val="100000000000" w:firstRow="1" w:lastRow="0" w:firstColumn="0" w:lastColumn="0" w:oddVBand="0" w:evenVBand="0" w:oddHBand="0" w:evenHBand="0" w:firstRowFirstColumn="0" w:firstRowLastColumn="0" w:lastRowFirstColumn="0" w:lastRowLastColumn="0"/>
          <w:cantSplit/>
          <w:tblHeader/>
        </w:trPr>
        <w:tc>
          <w:tcPr>
            <w:tcW w:w="784" w:type="dxa"/>
          </w:tcPr>
          <w:p w14:paraId="6F12F46C" w14:textId="77777777" w:rsidR="00DB7BD3" w:rsidRDefault="00CB4873">
            <w:pPr>
              <w:pStyle w:val="cTableHeader"/>
            </w:pPr>
            <w:r>
              <w:t>PO</w:t>
            </w:r>
          </w:p>
        </w:tc>
        <w:tc>
          <w:tcPr>
            <w:tcW w:w="5272" w:type="dxa"/>
          </w:tcPr>
          <w:p w14:paraId="4537C9D9" w14:textId="77777777" w:rsidR="00DB7BD3" w:rsidRDefault="00CB4873">
            <w:pPr>
              <w:pStyle w:val="cTableHeader"/>
            </w:pPr>
            <w:r>
              <w:t>Illustrative procurement / deliverable</w:t>
            </w:r>
          </w:p>
        </w:tc>
        <w:tc>
          <w:tcPr>
            <w:tcW w:w="940" w:type="dxa"/>
          </w:tcPr>
          <w:p w14:paraId="084751FE" w14:textId="77777777" w:rsidR="00DB7BD3" w:rsidRDefault="00CB4873">
            <w:pPr>
              <w:pStyle w:val="cTableHeader"/>
            </w:pPr>
            <w:r>
              <w:t>Amount</w:t>
            </w:r>
          </w:p>
        </w:tc>
        <w:tc>
          <w:tcPr>
            <w:tcW w:w="3441" w:type="dxa"/>
          </w:tcPr>
          <w:p w14:paraId="33212DAE" w14:textId="77777777" w:rsidR="00DB7BD3" w:rsidRDefault="00CB4873">
            <w:pPr>
              <w:pStyle w:val="cTableHeader"/>
            </w:pPr>
            <w:r>
              <w:t>Technical acceptance</w:t>
            </w:r>
          </w:p>
        </w:tc>
      </w:tr>
      <w:tr w:rsidR="00DB7BD3" w14:paraId="2D634E6D" w14:textId="77777777" w:rsidTr="00B86AD4">
        <w:trPr>
          <w:cantSplit/>
        </w:trPr>
        <w:tc>
          <w:tcPr>
            <w:tcW w:w="784" w:type="dxa"/>
          </w:tcPr>
          <w:p w14:paraId="71DA9E1B" w14:textId="77777777" w:rsidR="00DB7BD3" w:rsidRDefault="00CB4873">
            <w:pPr>
              <w:pStyle w:val="cTableBody"/>
            </w:pPr>
            <w:r>
              <w:t>1A</w:t>
            </w:r>
          </w:p>
        </w:tc>
        <w:tc>
          <w:tcPr>
            <w:tcW w:w="5272" w:type="dxa"/>
          </w:tcPr>
          <w:p w14:paraId="6AF05709" w14:textId="77777777" w:rsidR="00DB7BD3" w:rsidRDefault="00CB4873">
            <w:pPr>
              <w:pStyle w:val="cTableBody"/>
            </w:pPr>
            <w:r>
              <w:t>China reference requirements, design-data access, and licensing strategy</w:t>
            </w:r>
          </w:p>
        </w:tc>
        <w:tc>
          <w:tcPr>
            <w:tcW w:w="940" w:type="dxa"/>
          </w:tcPr>
          <w:p w14:paraId="2147DD65" w14:textId="77777777" w:rsidR="00DB7BD3" w:rsidRDefault="00CB4873">
            <w:pPr>
              <w:pStyle w:val="cTableBody"/>
            </w:pPr>
            <w:r>
              <w:t>$15M</w:t>
            </w:r>
          </w:p>
        </w:tc>
        <w:tc>
          <w:tcPr>
            <w:tcW w:w="3441" w:type="dxa"/>
          </w:tcPr>
          <w:p w14:paraId="5D053F89" w14:textId="77777777" w:rsidR="00DB7BD3" w:rsidRDefault="00CB4873">
            <w:pPr>
              <w:pStyle w:val="cTableBody"/>
            </w:pPr>
            <w:r>
              <w:t>Controlled design/interfaces accepted; independent review findings dispositioned.</w:t>
            </w:r>
          </w:p>
        </w:tc>
      </w:tr>
      <w:tr w:rsidR="00DB7BD3" w14:paraId="1304260B" w14:textId="77777777" w:rsidTr="00B86AD4">
        <w:trPr>
          <w:cantSplit/>
        </w:trPr>
        <w:tc>
          <w:tcPr>
            <w:tcW w:w="784" w:type="dxa"/>
          </w:tcPr>
          <w:p w14:paraId="55C47567" w14:textId="77777777" w:rsidR="00DB7BD3" w:rsidRDefault="00CB4873">
            <w:pPr>
              <w:pStyle w:val="cTableBody"/>
            </w:pPr>
            <w:r>
              <w:t>1B</w:t>
            </w:r>
          </w:p>
        </w:tc>
        <w:tc>
          <w:tcPr>
            <w:tcW w:w="5272" w:type="dxa"/>
          </w:tcPr>
          <w:p w14:paraId="6CD8C708" w14:textId="77777777" w:rsidR="00DB7BD3" w:rsidRDefault="00CB4873">
            <w:pPr>
              <w:pStyle w:val="cTableBody"/>
            </w:pPr>
            <w:r>
              <w:t>Site envelopes, civil quantities, geotechnical assumptions, and temporary works for both reference plants</w:t>
            </w:r>
          </w:p>
        </w:tc>
        <w:tc>
          <w:tcPr>
            <w:tcW w:w="940" w:type="dxa"/>
          </w:tcPr>
          <w:p w14:paraId="53587D35" w14:textId="77777777" w:rsidR="00DB7BD3" w:rsidRDefault="00CB4873">
            <w:pPr>
              <w:pStyle w:val="cTableBody"/>
            </w:pPr>
            <w:r>
              <w:t>$15M</w:t>
            </w:r>
          </w:p>
        </w:tc>
        <w:tc>
          <w:tcPr>
            <w:tcW w:w="3441" w:type="dxa"/>
          </w:tcPr>
          <w:p w14:paraId="04C84B79" w14:textId="77777777" w:rsidR="00DB7BD3" w:rsidRDefault="00CB4873">
            <w:pPr>
              <w:pStyle w:val="cTableBody"/>
            </w:pPr>
            <w:r>
              <w:t>Controlled design/interfaces accepted; independent review findings dispositioned.</w:t>
            </w:r>
          </w:p>
        </w:tc>
      </w:tr>
      <w:tr w:rsidR="00DB7BD3" w14:paraId="7F78AEB9" w14:textId="77777777" w:rsidTr="00B86AD4">
        <w:trPr>
          <w:cantSplit/>
        </w:trPr>
        <w:tc>
          <w:tcPr>
            <w:tcW w:w="784" w:type="dxa"/>
          </w:tcPr>
          <w:p w14:paraId="2134399B" w14:textId="77777777" w:rsidR="00DB7BD3" w:rsidRDefault="00CB4873">
            <w:pPr>
              <w:pStyle w:val="cTableBody"/>
            </w:pPr>
            <w:r>
              <w:t>1C</w:t>
            </w:r>
          </w:p>
        </w:tc>
        <w:tc>
          <w:tcPr>
            <w:tcW w:w="5272" w:type="dxa"/>
          </w:tcPr>
          <w:p w14:paraId="6B92BF54" w14:textId="77777777" w:rsidR="00DB7BD3" w:rsidRDefault="00CB4873">
            <w:pPr>
              <w:pStyle w:val="cTableBody"/>
            </w:pPr>
            <w:r>
              <w:t>Design-for-automation, modularization, common interfaces, and construction sequence</w:t>
            </w:r>
          </w:p>
        </w:tc>
        <w:tc>
          <w:tcPr>
            <w:tcW w:w="940" w:type="dxa"/>
          </w:tcPr>
          <w:p w14:paraId="77C2F96A" w14:textId="77777777" w:rsidR="00DB7BD3" w:rsidRDefault="00CB4873">
            <w:pPr>
              <w:pStyle w:val="cTableBody"/>
            </w:pPr>
            <w:r>
              <w:t>$20M</w:t>
            </w:r>
          </w:p>
        </w:tc>
        <w:tc>
          <w:tcPr>
            <w:tcW w:w="3441" w:type="dxa"/>
          </w:tcPr>
          <w:p w14:paraId="0DE75A1C" w14:textId="77777777" w:rsidR="00DB7BD3" w:rsidRDefault="00CB4873">
            <w:pPr>
              <w:pStyle w:val="cTableBody"/>
            </w:pPr>
            <w:r>
              <w:t>Controlled design/interfaces accepted; independent review findings dispositioned.</w:t>
            </w:r>
          </w:p>
        </w:tc>
      </w:tr>
      <w:tr w:rsidR="00DB7BD3" w14:paraId="49D37847" w14:textId="77777777" w:rsidTr="00B86AD4">
        <w:trPr>
          <w:cantSplit/>
        </w:trPr>
        <w:tc>
          <w:tcPr>
            <w:tcW w:w="784" w:type="dxa"/>
          </w:tcPr>
          <w:p w14:paraId="53D3E525" w14:textId="77777777" w:rsidR="00DB7BD3" w:rsidRDefault="00CB4873">
            <w:pPr>
              <w:pStyle w:val="cTableBody"/>
            </w:pPr>
            <w:r>
              <w:t>1D</w:t>
            </w:r>
          </w:p>
        </w:tc>
        <w:tc>
          <w:tcPr>
            <w:tcW w:w="5272" w:type="dxa"/>
          </w:tcPr>
          <w:p w14:paraId="030A92B0" w14:textId="77777777" w:rsidR="00DB7BD3" w:rsidRDefault="00CB4873">
            <w:pPr>
              <w:pStyle w:val="cTableBody"/>
            </w:pPr>
            <w:r>
              <w:t>HTR-specific underground construction cell and machine-interface design</w:t>
            </w:r>
          </w:p>
        </w:tc>
        <w:tc>
          <w:tcPr>
            <w:tcW w:w="940" w:type="dxa"/>
          </w:tcPr>
          <w:p w14:paraId="47AA2009" w14:textId="77777777" w:rsidR="00DB7BD3" w:rsidRDefault="00CB4873">
            <w:pPr>
              <w:pStyle w:val="cTableBody"/>
            </w:pPr>
            <w:r>
              <w:t>$15M</w:t>
            </w:r>
          </w:p>
        </w:tc>
        <w:tc>
          <w:tcPr>
            <w:tcW w:w="3441" w:type="dxa"/>
          </w:tcPr>
          <w:p w14:paraId="649BD8A7" w14:textId="77777777" w:rsidR="00DB7BD3" w:rsidRDefault="00CB4873">
            <w:pPr>
              <w:pStyle w:val="cTableBody"/>
            </w:pPr>
            <w:r>
              <w:t>Controlled design/interfaces accepted; independent review findings dispositioned.</w:t>
            </w:r>
          </w:p>
        </w:tc>
      </w:tr>
      <w:tr w:rsidR="00DB7BD3" w14:paraId="7EBF2DAF" w14:textId="77777777" w:rsidTr="00B86AD4">
        <w:trPr>
          <w:cantSplit/>
        </w:trPr>
        <w:tc>
          <w:tcPr>
            <w:tcW w:w="784" w:type="dxa"/>
          </w:tcPr>
          <w:p w14:paraId="50BA0E10" w14:textId="77777777" w:rsidR="00DB7BD3" w:rsidRDefault="00CB4873">
            <w:pPr>
              <w:pStyle w:val="cTableBody"/>
            </w:pPr>
            <w:r>
              <w:t>1E</w:t>
            </w:r>
          </w:p>
        </w:tc>
        <w:tc>
          <w:tcPr>
            <w:tcW w:w="5272" w:type="dxa"/>
          </w:tcPr>
          <w:p w14:paraId="0CBA6697" w14:textId="77777777" w:rsidR="00DB7BD3" w:rsidRDefault="00CB4873">
            <w:pPr>
              <w:pStyle w:val="cTableBody"/>
            </w:pPr>
            <w:r>
              <w:t>PWR-specific basemat, containment, steel-liner, embedment, and nuclear-island construction design</w:t>
            </w:r>
          </w:p>
        </w:tc>
        <w:tc>
          <w:tcPr>
            <w:tcW w:w="940" w:type="dxa"/>
          </w:tcPr>
          <w:p w14:paraId="65FE5C1C" w14:textId="77777777" w:rsidR="00DB7BD3" w:rsidRDefault="00CB4873">
            <w:pPr>
              <w:pStyle w:val="cTableBody"/>
            </w:pPr>
            <w:r>
              <w:t>$15M</w:t>
            </w:r>
          </w:p>
        </w:tc>
        <w:tc>
          <w:tcPr>
            <w:tcW w:w="3441" w:type="dxa"/>
          </w:tcPr>
          <w:p w14:paraId="6A209348" w14:textId="77777777" w:rsidR="00DB7BD3" w:rsidRDefault="00CB4873">
            <w:pPr>
              <w:pStyle w:val="cTableBody"/>
            </w:pPr>
            <w:r>
              <w:t>Controlled design/interfaces accepted; independent review findings dispositioned.</w:t>
            </w:r>
          </w:p>
        </w:tc>
      </w:tr>
      <w:tr w:rsidR="00DB7BD3" w14:paraId="2CDDB8F7" w14:textId="77777777" w:rsidTr="00B86AD4">
        <w:trPr>
          <w:cantSplit/>
        </w:trPr>
        <w:tc>
          <w:tcPr>
            <w:tcW w:w="784" w:type="dxa"/>
          </w:tcPr>
          <w:p w14:paraId="07488E6F" w14:textId="77777777" w:rsidR="00DB7BD3" w:rsidRDefault="00CB4873">
            <w:pPr>
              <w:pStyle w:val="cTableBody"/>
            </w:pPr>
            <w:r>
              <w:t>1F</w:t>
            </w:r>
          </w:p>
        </w:tc>
        <w:tc>
          <w:tcPr>
            <w:tcW w:w="5272" w:type="dxa"/>
          </w:tcPr>
          <w:p w14:paraId="058CF58B" w14:textId="77777777" w:rsidR="00DB7BD3" w:rsidRDefault="00CB4873">
            <w:pPr>
              <w:pStyle w:val="cTableBody"/>
            </w:pPr>
            <w:r>
              <w:t>Comparative cost/schedule/siting model and final machine procurement package</w:t>
            </w:r>
          </w:p>
        </w:tc>
        <w:tc>
          <w:tcPr>
            <w:tcW w:w="940" w:type="dxa"/>
          </w:tcPr>
          <w:p w14:paraId="0BB49856" w14:textId="77777777" w:rsidR="00DB7BD3" w:rsidRDefault="00CB4873">
            <w:pPr>
              <w:pStyle w:val="cTableBody"/>
            </w:pPr>
            <w:r>
              <w:t>$10M</w:t>
            </w:r>
          </w:p>
        </w:tc>
        <w:tc>
          <w:tcPr>
            <w:tcW w:w="3441" w:type="dxa"/>
          </w:tcPr>
          <w:p w14:paraId="2A44CF9E" w14:textId="77777777" w:rsidR="00DB7BD3" w:rsidRDefault="00CB4873">
            <w:pPr>
              <w:pStyle w:val="cTableBody"/>
            </w:pPr>
            <w:r>
              <w:t>Repeated performance plus final source/manufacturing/transition package.</w:t>
            </w:r>
          </w:p>
        </w:tc>
      </w:tr>
    </w:tbl>
    <w:p w14:paraId="510DAA08" w14:textId="31EBAFF5" w:rsidR="00DB7BD3" w:rsidRDefault="000119DA">
      <w:pPr>
        <w:pStyle w:val="Heading2"/>
      </w:pPr>
      <w:r>
        <w:lastRenderedPageBreak/>
        <w:t>Area 2. Excavation, earthworks, and precision rock-cutting machines - $95 million</w:t>
      </w:r>
    </w:p>
    <w:p w14:paraId="1440C7A1" w14:textId="77777777" w:rsidR="00DB7BD3" w:rsidRDefault="00CB4873">
      <w:r>
        <w:t>Illustrative recipients: Heavy-equipment / tunneling OEMs; nuclear civil and geotechnical teams; independent full-scale test witness.</w:t>
      </w:r>
    </w:p>
    <w:tbl>
      <w:tblPr>
        <w:tblStyle w:val="gswTableStyle"/>
        <w:tblW w:w="0" w:type="auto"/>
        <w:tblInd w:w="172" w:type="dxa"/>
        <w:tblLook w:val="04A0" w:firstRow="1" w:lastRow="0" w:firstColumn="1" w:lastColumn="0" w:noHBand="0" w:noVBand="1"/>
      </w:tblPr>
      <w:tblGrid>
        <w:gridCol w:w="784"/>
        <w:gridCol w:w="4885"/>
        <w:gridCol w:w="940"/>
        <w:gridCol w:w="3443"/>
      </w:tblGrid>
      <w:tr w:rsidR="00DB7BD3" w14:paraId="5C0ECBB7" w14:textId="77777777" w:rsidTr="000119DA">
        <w:trPr>
          <w:cnfStyle w:val="100000000000" w:firstRow="1" w:lastRow="0" w:firstColumn="0" w:lastColumn="0" w:oddVBand="0" w:evenVBand="0" w:oddHBand="0" w:evenHBand="0" w:firstRowFirstColumn="0" w:firstRowLastColumn="0" w:lastRowFirstColumn="0" w:lastRowLastColumn="0"/>
          <w:cantSplit/>
          <w:tblHeader/>
        </w:trPr>
        <w:tc>
          <w:tcPr>
            <w:tcW w:w="784" w:type="dxa"/>
          </w:tcPr>
          <w:p w14:paraId="14373359" w14:textId="77777777" w:rsidR="00DB7BD3" w:rsidRDefault="00CB4873">
            <w:pPr>
              <w:pStyle w:val="cTableHeader"/>
            </w:pPr>
            <w:r>
              <w:t>PO</w:t>
            </w:r>
          </w:p>
        </w:tc>
        <w:tc>
          <w:tcPr>
            <w:tcW w:w="4885" w:type="dxa"/>
          </w:tcPr>
          <w:p w14:paraId="24B9983A" w14:textId="77777777" w:rsidR="00DB7BD3" w:rsidRDefault="00CB4873">
            <w:pPr>
              <w:pStyle w:val="cTableHeader"/>
            </w:pPr>
            <w:r>
              <w:t>Illustrative procurement / deliverable</w:t>
            </w:r>
          </w:p>
        </w:tc>
        <w:tc>
          <w:tcPr>
            <w:tcW w:w="940" w:type="dxa"/>
          </w:tcPr>
          <w:p w14:paraId="7F11BA10" w14:textId="77777777" w:rsidR="00DB7BD3" w:rsidRDefault="00CB4873">
            <w:pPr>
              <w:pStyle w:val="cTableHeader"/>
            </w:pPr>
            <w:r>
              <w:t>Amount</w:t>
            </w:r>
          </w:p>
        </w:tc>
        <w:tc>
          <w:tcPr>
            <w:tcW w:w="3443" w:type="dxa"/>
          </w:tcPr>
          <w:p w14:paraId="661C0593" w14:textId="77777777" w:rsidR="00DB7BD3" w:rsidRDefault="00CB4873">
            <w:pPr>
              <w:pStyle w:val="cTableHeader"/>
            </w:pPr>
            <w:r>
              <w:t>Technical acceptance</w:t>
            </w:r>
          </w:p>
        </w:tc>
      </w:tr>
      <w:tr w:rsidR="00DB7BD3" w14:paraId="6DD15C97" w14:textId="77777777" w:rsidTr="000119DA">
        <w:trPr>
          <w:cantSplit/>
        </w:trPr>
        <w:tc>
          <w:tcPr>
            <w:tcW w:w="784" w:type="dxa"/>
          </w:tcPr>
          <w:p w14:paraId="3EAA1A3A" w14:textId="77777777" w:rsidR="00DB7BD3" w:rsidRDefault="00CB4873">
            <w:pPr>
              <w:pStyle w:val="cTableBody"/>
            </w:pPr>
            <w:r>
              <w:t>2A</w:t>
            </w:r>
          </w:p>
        </w:tc>
        <w:tc>
          <w:tcPr>
            <w:tcW w:w="4885" w:type="dxa"/>
          </w:tcPr>
          <w:p w14:paraId="1EBCE862" w14:textId="77777777" w:rsidR="00DB7BD3" w:rsidRDefault="00CB4873">
            <w:pPr>
              <w:pStyle w:val="cTableBody"/>
            </w:pPr>
            <w:r>
              <w:t>Geology, tool, and excavation-method competition for both site architectures</w:t>
            </w:r>
          </w:p>
        </w:tc>
        <w:tc>
          <w:tcPr>
            <w:tcW w:w="940" w:type="dxa"/>
          </w:tcPr>
          <w:p w14:paraId="502BABC0" w14:textId="77777777" w:rsidR="00DB7BD3" w:rsidRDefault="00CB4873">
            <w:pPr>
              <w:pStyle w:val="cTableBody"/>
            </w:pPr>
            <w:r>
              <w:t>$10M</w:t>
            </w:r>
          </w:p>
        </w:tc>
        <w:tc>
          <w:tcPr>
            <w:tcW w:w="3443" w:type="dxa"/>
          </w:tcPr>
          <w:p w14:paraId="3668CEC6" w14:textId="77777777" w:rsidR="00DB7BD3" w:rsidRDefault="00CB4873">
            <w:pPr>
              <w:pStyle w:val="cTableBody"/>
            </w:pPr>
            <w:r>
              <w:t>Controlled design/interfaces accepted; independent review findings dispositioned.</w:t>
            </w:r>
          </w:p>
        </w:tc>
      </w:tr>
      <w:tr w:rsidR="00DB7BD3" w14:paraId="4C29C68F" w14:textId="77777777" w:rsidTr="000119DA">
        <w:trPr>
          <w:cantSplit/>
        </w:trPr>
        <w:tc>
          <w:tcPr>
            <w:tcW w:w="784" w:type="dxa"/>
          </w:tcPr>
          <w:p w14:paraId="13DA04D2" w14:textId="77777777" w:rsidR="00DB7BD3" w:rsidRDefault="00CB4873">
            <w:pPr>
              <w:pStyle w:val="cTableBody"/>
            </w:pPr>
            <w:r>
              <w:t>2B</w:t>
            </w:r>
          </w:p>
        </w:tc>
        <w:tc>
          <w:tcPr>
            <w:tcW w:w="4885" w:type="dxa"/>
          </w:tcPr>
          <w:p w14:paraId="2DF7986C" w14:textId="77777777" w:rsidR="00DB7BD3" w:rsidRDefault="00CB4873">
            <w:pPr>
              <w:pStyle w:val="cTableBody"/>
            </w:pPr>
            <w:r>
              <w:t>HTR shaft/deep-excavation machine preliminary design</w:t>
            </w:r>
          </w:p>
        </w:tc>
        <w:tc>
          <w:tcPr>
            <w:tcW w:w="940" w:type="dxa"/>
          </w:tcPr>
          <w:p w14:paraId="0E9F408D" w14:textId="77777777" w:rsidR="00DB7BD3" w:rsidRDefault="00CB4873">
            <w:pPr>
              <w:pStyle w:val="cTableBody"/>
            </w:pPr>
            <w:r>
              <w:t>$20M</w:t>
            </w:r>
          </w:p>
        </w:tc>
        <w:tc>
          <w:tcPr>
            <w:tcW w:w="3443" w:type="dxa"/>
          </w:tcPr>
          <w:p w14:paraId="0E7C287C" w14:textId="77777777" w:rsidR="00DB7BD3" w:rsidRDefault="00CB4873">
            <w:pPr>
              <w:pStyle w:val="cTableBody"/>
            </w:pPr>
            <w:r>
              <w:t>Controlled design/interfaces accepted; independent review findings dispositioned.</w:t>
            </w:r>
          </w:p>
        </w:tc>
      </w:tr>
      <w:tr w:rsidR="00DB7BD3" w14:paraId="3927A6A7" w14:textId="77777777" w:rsidTr="000119DA">
        <w:trPr>
          <w:cantSplit/>
        </w:trPr>
        <w:tc>
          <w:tcPr>
            <w:tcW w:w="784" w:type="dxa"/>
          </w:tcPr>
          <w:p w14:paraId="79B3278C" w14:textId="77777777" w:rsidR="00DB7BD3" w:rsidRDefault="00CB4873">
            <w:pPr>
              <w:pStyle w:val="cTableBody"/>
            </w:pPr>
            <w:r>
              <w:t>2C</w:t>
            </w:r>
          </w:p>
        </w:tc>
        <w:tc>
          <w:tcPr>
            <w:tcW w:w="4885" w:type="dxa"/>
          </w:tcPr>
          <w:p w14:paraId="690130A0" w14:textId="77777777" w:rsidR="00DB7BD3" w:rsidRDefault="00CB4873">
            <w:pPr>
              <w:pStyle w:val="cTableBody"/>
            </w:pPr>
            <w:r>
              <w:t>PWR bulk excavation, basemat preparation, and precision rock-finishing machine design</w:t>
            </w:r>
          </w:p>
        </w:tc>
        <w:tc>
          <w:tcPr>
            <w:tcW w:w="940" w:type="dxa"/>
          </w:tcPr>
          <w:p w14:paraId="6DB3533F" w14:textId="77777777" w:rsidR="00DB7BD3" w:rsidRDefault="00CB4873">
            <w:pPr>
              <w:pStyle w:val="cTableBody"/>
            </w:pPr>
            <w:r>
              <w:t>$20M</w:t>
            </w:r>
          </w:p>
        </w:tc>
        <w:tc>
          <w:tcPr>
            <w:tcW w:w="3443" w:type="dxa"/>
          </w:tcPr>
          <w:p w14:paraId="138D9206" w14:textId="77777777" w:rsidR="00DB7BD3" w:rsidRDefault="00CB4873">
            <w:pPr>
              <w:pStyle w:val="cTableBody"/>
            </w:pPr>
            <w:r>
              <w:t>Controlled design/interfaces accepted; independent review findings dispositioned.</w:t>
            </w:r>
          </w:p>
        </w:tc>
      </w:tr>
      <w:tr w:rsidR="00DB7BD3" w14:paraId="17684BCC" w14:textId="77777777" w:rsidTr="000119DA">
        <w:trPr>
          <w:cantSplit/>
        </w:trPr>
        <w:tc>
          <w:tcPr>
            <w:tcW w:w="784" w:type="dxa"/>
          </w:tcPr>
          <w:p w14:paraId="41313088" w14:textId="77777777" w:rsidR="00DB7BD3" w:rsidRDefault="00CB4873">
            <w:pPr>
              <w:pStyle w:val="cTableBody"/>
            </w:pPr>
            <w:r>
              <w:t>2D</w:t>
            </w:r>
          </w:p>
        </w:tc>
        <w:tc>
          <w:tcPr>
            <w:tcW w:w="4885" w:type="dxa"/>
          </w:tcPr>
          <w:p w14:paraId="171F9F69" w14:textId="77777777" w:rsidR="00DB7BD3" w:rsidRDefault="00CB4873">
            <w:pPr>
              <w:pStyle w:val="cTableBody"/>
            </w:pPr>
            <w:r>
              <w:t>Common machine prototype fabrication and subsystem qualification</w:t>
            </w:r>
          </w:p>
        </w:tc>
        <w:tc>
          <w:tcPr>
            <w:tcW w:w="940" w:type="dxa"/>
          </w:tcPr>
          <w:p w14:paraId="333335FE" w14:textId="77777777" w:rsidR="00DB7BD3" w:rsidRDefault="00CB4873">
            <w:pPr>
              <w:pStyle w:val="cTableBody"/>
            </w:pPr>
            <w:r>
              <w:t>$20M</w:t>
            </w:r>
          </w:p>
        </w:tc>
        <w:tc>
          <w:tcPr>
            <w:tcW w:w="3443" w:type="dxa"/>
          </w:tcPr>
          <w:p w14:paraId="4EAB299D" w14:textId="77777777" w:rsidR="00DB7BD3" w:rsidRDefault="00CB4873">
            <w:pPr>
              <w:pStyle w:val="cTableBody"/>
            </w:pPr>
            <w:r>
              <w:t>As-built/subsystem tests passed; source and QA records accepted.</w:t>
            </w:r>
          </w:p>
        </w:tc>
      </w:tr>
      <w:tr w:rsidR="00DB7BD3" w14:paraId="5203CAFD" w14:textId="77777777" w:rsidTr="000119DA">
        <w:trPr>
          <w:cantSplit/>
        </w:trPr>
        <w:tc>
          <w:tcPr>
            <w:tcW w:w="784" w:type="dxa"/>
          </w:tcPr>
          <w:p w14:paraId="173089D5" w14:textId="77777777" w:rsidR="00DB7BD3" w:rsidRDefault="00CB4873">
            <w:pPr>
              <w:pStyle w:val="cTableBody"/>
            </w:pPr>
            <w:r>
              <w:t>2E</w:t>
            </w:r>
          </w:p>
        </w:tc>
        <w:tc>
          <w:tcPr>
            <w:tcW w:w="4885" w:type="dxa"/>
          </w:tcPr>
          <w:p w14:paraId="3C24771D" w14:textId="77777777" w:rsidR="00DB7BD3" w:rsidRDefault="00CB4873">
            <w:pPr>
              <w:pStyle w:val="cTableBody"/>
            </w:pPr>
            <w:r>
              <w:t>Dual-track non-nuclear excavation and foundation-preparation demonstrations</w:t>
            </w:r>
          </w:p>
        </w:tc>
        <w:tc>
          <w:tcPr>
            <w:tcW w:w="940" w:type="dxa"/>
          </w:tcPr>
          <w:p w14:paraId="5DFA58FE" w14:textId="77777777" w:rsidR="00DB7BD3" w:rsidRDefault="00CB4873">
            <w:pPr>
              <w:pStyle w:val="cTableBody"/>
            </w:pPr>
            <w:r>
              <w:t>$15M</w:t>
            </w:r>
          </w:p>
        </w:tc>
        <w:tc>
          <w:tcPr>
            <w:tcW w:w="3443" w:type="dxa"/>
          </w:tcPr>
          <w:p w14:paraId="6834F0B9" w14:textId="77777777" w:rsidR="00DB7BD3" w:rsidRDefault="00CB4873">
            <w:pPr>
              <w:pStyle w:val="cTableBody"/>
            </w:pPr>
            <w:r>
              <w:t>Independent witnessed metrics; failures/nonconformances dispositioned.</w:t>
            </w:r>
          </w:p>
        </w:tc>
      </w:tr>
      <w:tr w:rsidR="00DB7BD3" w14:paraId="14DD54F6" w14:textId="77777777" w:rsidTr="000119DA">
        <w:trPr>
          <w:cantSplit/>
        </w:trPr>
        <w:tc>
          <w:tcPr>
            <w:tcW w:w="784" w:type="dxa"/>
          </w:tcPr>
          <w:p w14:paraId="768F2752" w14:textId="77777777" w:rsidR="00DB7BD3" w:rsidRDefault="00CB4873">
            <w:pPr>
              <w:pStyle w:val="cTableBody"/>
            </w:pPr>
            <w:r>
              <w:t>2F</w:t>
            </w:r>
          </w:p>
        </w:tc>
        <w:tc>
          <w:tcPr>
            <w:tcW w:w="4885" w:type="dxa"/>
          </w:tcPr>
          <w:p w14:paraId="6CE465B4" w14:textId="77777777" w:rsidR="00DB7BD3" w:rsidRDefault="00CB4873">
            <w:pPr>
              <w:pStyle w:val="cTableBody"/>
            </w:pPr>
            <w:r>
              <w:t>Reliability growth and replicable manufacturing package</w:t>
            </w:r>
          </w:p>
        </w:tc>
        <w:tc>
          <w:tcPr>
            <w:tcW w:w="940" w:type="dxa"/>
          </w:tcPr>
          <w:p w14:paraId="111EA068" w14:textId="77777777" w:rsidR="00DB7BD3" w:rsidRDefault="00CB4873">
            <w:pPr>
              <w:pStyle w:val="cTableBody"/>
            </w:pPr>
            <w:r>
              <w:t>$10M</w:t>
            </w:r>
          </w:p>
        </w:tc>
        <w:tc>
          <w:tcPr>
            <w:tcW w:w="3443" w:type="dxa"/>
          </w:tcPr>
          <w:p w14:paraId="5EFC6C8D" w14:textId="77777777" w:rsidR="00DB7BD3" w:rsidRDefault="00CB4873">
            <w:pPr>
              <w:pStyle w:val="cTableBody"/>
            </w:pPr>
            <w:r>
              <w:t>Repeated performance plus final source/manufacturing/transition package.</w:t>
            </w:r>
          </w:p>
        </w:tc>
      </w:tr>
    </w:tbl>
    <w:p w14:paraId="0A111EE3" w14:textId="39CA068C" w:rsidR="00DB7BD3" w:rsidRDefault="000119DA">
      <w:pPr>
        <w:pStyle w:val="Heading2"/>
      </w:pPr>
      <w:r>
        <w:t>Area 3. Material handling, spoil removal, and machine exchange - $55 million</w:t>
      </w:r>
    </w:p>
    <w:p w14:paraId="4DDAA2CF" w14:textId="77777777" w:rsidR="00DB7BD3" w:rsidRDefault="00CB4873">
      <w:r>
        <w:t>Illustrative recipients: Material-flow / mining / hoist / conveyor suppliers; controls integrator; independent throughput/recovery reviewer.</w:t>
      </w:r>
    </w:p>
    <w:tbl>
      <w:tblPr>
        <w:tblStyle w:val="gswTableStyle"/>
        <w:tblW w:w="10376" w:type="dxa"/>
        <w:tblInd w:w="172" w:type="dxa"/>
        <w:tblLook w:val="04A0" w:firstRow="1" w:lastRow="0" w:firstColumn="1" w:lastColumn="0" w:noHBand="0" w:noVBand="1"/>
      </w:tblPr>
      <w:tblGrid>
        <w:gridCol w:w="784"/>
        <w:gridCol w:w="4885"/>
        <w:gridCol w:w="940"/>
        <w:gridCol w:w="3767"/>
      </w:tblGrid>
      <w:tr w:rsidR="00DB7BD3" w14:paraId="69822609" w14:textId="77777777" w:rsidTr="00B86AD4">
        <w:trPr>
          <w:cnfStyle w:val="100000000000" w:firstRow="1" w:lastRow="0" w:firstColumn="0" w:lastColumn="0" w:oddVBand="0" w:evenVBand="0" w:oddHBand="0" w:evenHBand="0" w:firstRowFirstColumn="0" w:firstRowLastColumn="0" w:lastRowFirstColumn="0" w:lastRowLastColumn="0"/>
          <w:cantSplit/>
          <w:tblHeader/>
        </w:trPr>
        <w:tc>
          <w:tcPr>
            <w:tcW w:w="784" w:type="dxa"/>
          </w:tcPr>
          <w:p w14:paraId="57A4CFD1" w14:textId="77777777" w:rsidR="00DB7BD3" w:rsidRDefault="00CB4873">
            <w:pPr>
              <w:pStyle w:val="cTableHeader"/>
            </w:pPr>
            <w:r>
              <w:t>PO</w:t>
            </w:r>
          </w:p>
        </w:tc>
        <w:tc>
          <w:tcPr>
            <w:tcW w:w="4885" w:type="dxa"/>
          </w:tcPr>
          <w:p w14:paraId="68C55EFD" w14:textId="77777777" w:rsidR="00DB7BD3" w:rsidRDefault="00CB4873">
            <w:pPr>
              <w:pStyle w:val="cTableHeader"/>
            </w:pPr>
            <w:r>
              <w:t>Illustrative procurement / deliverable</w:t>
            </w:r>
          </w:p>
        </w:tc>
        <w:tc>
          <w:tcPr>
            <w:tcW w:w="940" w:type="dxa"/>
          </w:tcPr>
          <w:p w14:paraId="76D9F67C" w14:textId="77777777" w:rsidR="00DB7BD3" w:rsidRDefault="00CB4873">
            <w:pPr>
              <w:pStyle w:val="cTableHeader"/>
            </w:pPr>
            <w:r>
              <w:t>Amount</w:t>
            </w:r>
          </w:p>
        </w:tc>
        <w:tc>
          <w:tcPr>
            <w:tcW w:w="3767" w:type="dxa"/>
          </w:tcPr>
          <w:p w14:paraId="22D1E670" w14:textId="77777777" w:rsidR="00DB7BD3" w:rsidRDefault="00CB4873">
            <w:pPr>
              <w:pStyle w:val="cTableHeader"/>
            </w:pPr>
            <w:r>
              <w:t>Technical acceptance</w:t>
            </w:r>
          </w:p>
        </w:tc>
      </w:tr>
      <w:tr w:rsidR="00DB7BD3" w14:paraId="515B6F15" w14:textId="77777777" w:rsidTr="00B86AD4">
        <w:trPr>
          <w:cantSplit/>
        </w:trPr>
        <w:tc>
          <w:tcPr>
            <w:tcW w:w="784" w:type="dxa"/>
          </w:tcPr>
          <w:p w14:paraId="40FA0ED2" w14:textId="77777777" w:rsidR="00DB7BD3" w:rsidRDefault="00CB4873">
            <w:pPr>
              <w:pStyle w:val="cTableBody"/>
            </w:pPr>
            <w:r>
              <w:t>3A</w:t>
            </w:r>
          </w:p>
        </w:tc>
        <w:tc>
          <w:tcPr>
            <w:tcW w:w="4885" w:type="dxa"/>
          </w:tcPr>
          <w:p w14:paraId="5417692D" w14:textId="77777777" w:rsidR="00DB7BD3" w:rsidRDefault="00CB4873">
            <w:pPr>
              <w:pStyle w:val="cTableBody"/>
            </w:pPr>
            <w:r>
              <w:t>Material-flow requirements and concepts for both reference plants</w:t>
            </w:r>
          </w:p>
        </w:tc>
        <w:tc>
          <w:tcPr>
            <w:tcW w:w="940" w:type="dxa"/>
          </w:tcPr>
          <w:p w14:paraId="212AC9DA" w14:textId="77777777" w:rsidR="00DB7BD3" w:rsidRDefault="00CB4873">
            <w:pPr>
              <w:pStyle w:val="cTableBody"/>
            </w:pPr>
            <w:r>
              <w:t>$5M</w:t>
            </w:r>
          </w:p>
        </w:tc>
        <w:tc>
          <w:tcPr>
            <w:tcW w:w="3767" w:type="dxa"/>
          </w:tcPr>
          <w:p w14:paraId="018E7642" w14:textId="77777777" w:rsidR="00DB7BD3" w:rsidRDefault="00CB4873">
            <w:pPr>
              <w:pStyle w:val="cTableBody"/>
            </w:pPr>
            <w:r>
              <w:t>Controlled design/interfaces accepted; independent review findings dispositioned.</w:t>
            </w:r>
          </w:p>
        </w:tc>
      </w:tr>
      <w:tr w:rsidR="00DB7BD3" w14:paraId="10C89960" w14:textId="77777777" w:rsidTr="00B86AD4">
        <w:trPr>
          <w:cantSplit/>
        </w:trPr>
        <w:tc>
          <w:tcPr>
            <w:tcW w:w="784" w:type="dxa"/>
          </w:tcPr>
          <w:p w14:paraId="3BC15FCF" w14:textId="77777777" w:rsidR="00DB7BD3" w:rsidRDefault="00CB4873">
            <w:pPr>
              <w:pStyle w:val="cTableBody"/>
            </w:pPr>
            <w:r>
              <w:t>3B</w:t>
            </w:r>
          </w:p>
        </w:tc>
        <w:tc>
          <w:tcPr>
            <w:tcW w:w="4885" w:type="dxa"/>
          </w:tcPr>
          <w:p w14:paraId="04854BB7" w14:textId="77777777" w:rsidR="00DB7BD3" w:rsidRDefault="00CB4873">
            <w:pPr>
              <w:pStyle w:val="cTableBody"/>
            </w:pPr>
            <w:r>
              <w:t>HTR vertical spoil, hoist, and shaft-logistics design</w:t>
            </w:r>
          </w:p>
        </w:tc>
        <w:tc>
          <w:tcPr>
            <w:tcW w:w="940" w:type="dxa"/>
          </w:tcPr>
          <w:p w14:paraId="08B651D9" w14:textId="77777777" w:rsidR="00DB7BD3" w:rsidRDefault="00CB4873">
            <w:pPr>
              <w:pStyle w:val="cTableBody"/>
            </w:pPr>
            <w:r>
              <w:t>$10M</w:t>
            </w:r>
          </w:p>
        </w:tc>
        <w:tc>
          <w:tcPr>
            <w:tcW w:w="3767" w:type="dxa"/>
          </w:tcPr>
          <w:p w14:paraId="556EA54F" w14:textId="77777777" w:rsidR="00DB7BD3" w:rsidRDefault="00CB4873">
            <w:pPr>
              <w:pStyle w:val="cTableBody"/>
            </w:pPr>
            <w:r>
              <w:t>Controlled design/interfaces accepted; independent review findings dispositioned.</w:t>
            </w:r>
          </w:p>
        </w:tc>
      </w:tr>
      <w:tr w:rsidR="00DB7BD3" w14:paraId="3FFC5CF6" w14:textId="77777777" w:rsidTr="00B86AD4">
        <w:trPr>
          <w:cantSplit/>
        </w:trPr>
        <w:tc>
          <w:tcPr>
            <w:tcW w:w="784" w:type="dxa"/>
          </w:tcPr>
          <w:p w14:paraId="7AB0AAE6" w14:textId="77777777" w:rsidR="00DB7BD3" w:rsidRDefault="00CB4873">
            <w:pPr>
              <w:pStyle w:val="cTableBody"/>
            </w:pPr>
            <w:r>
              <w:t>3C</w:t>
            </w:r>
          </w:p>
        </w:tc>
        <w:tc>
          <w:tcPr>
            <w:tcW w:w="4885" w:type="dxa"/>
          </w:tcPr>
          <w:p w14:paraId="66992E24" w14:textId="77777777" w:rsidR="00DB7BD3" w:rsidRDefault="00CB4873">
            <w:pPr>
              <w:pStyle w:val="cTableBody"/>
            </w:pPr>
            <w:r>
              <w:t>PWR horizontal excavation, laydown, and high-volume material-logistics design</w:t>
            </w:r>
          </w:p>
        </w:tc>
        <w:tc>
          <w:tcPr>
            <w:tcW w:w="940" w:type="dxa"/>
          </w:tcPr>
          <w:p w14:paraId="1D8C0D32" w14:textId="77777777" w:rsidR="00DB7BD3" w:rsidRDefault="00CB4873">
            <w:pPr>
              <w:pStyle w:val="cTableBody"/>
            </w:pPr>
            <w:r>
              <w:t>$10M</w:t>
            </w:r>
          </w:p>
        </w:tc>
        <w:tc>
          <w:tcPr>
            <w:tcW w:w="3767" w:type="dxa"/>
          </w:tcPr>
          <w:p w14:paraId="20E30325" w14:textId="77777777" w:rsidR="00DB7BD3" w:rsidRDefault="00CB4873">
            <w:pPr>
              <w:pStyle w:val="cTableBody"/>
            </w:pPr>
            <w:r>
              <w:t>Controlled design/interfaces accepted; independent review findings dispositioned.</w:t>
            </w:r>
          </w:p>
        </w:tc>
      </w:tr>
      <w:tr w:rsidR="00DB7BD3" w14:paraId="0F56A4C6" w14:textId="77777777" w:rsidTr="00B86AD4">
        <w:trPr>
          <w:cantSplit/>
        </w:trPr>
        <w:tc>
          <w:tcPr>
            <w:tcW w:w="784" w:type="dxa"/>
          </w:tcPr>
          <w:p w14:paraId="4F871DE3" w14:textId="77777777" w:rsidR="00DB7BD3" w:rsidRDefault="00CB4873">
            <w:pPr>
              <w:pStyle w:val="cTableBody"/>
            </w:pPr>
            <w:r>
              <w:lastRenderedPageBreak/>
              <w:t>3D</w:t>
            </w:r>
          </w:p>
        </w:tc>
        <w:tc>
          <w:tcPr>
            <w:tcW w:w="4885" w:type="dxa"/>
          </w:tcPr>
          <w:p w14:paraId="0D92631C" w14:textId="77777777" w:rsidR="00DB7BD3" w:rsidRDefault="00CB4873">
            <w:pPr>
              <w:pStyle w:val="cTableBody"/>
            </w:pPr>
            <w:r>
              <w:t>Common conveyors, crushers, hoists, docking, utilities, and controls</w:t>
            </w:r>
          </w:p>
        </w:tc>
        <w:tc>
          <w:tcPr>
            <w:tcW w:w="940" w:type="dxa"/>
          </w:tcPr>
          <w:p w14:paraId="43F0F440" w14:textId="77777777" w:rsidR="00DB7BD3" w:rsidRDefault="00CB4873">
            <w:pPr>
              <w:pStyle w:val="cTableBody"/>
            </w:pPr>
            <w:r>
              <w:t>$15M</w:t>
            </w:r>
          </w:p>
        </w:tc>
        <w:tc>
          <w:tcPr>
            <w:tcW w:w="3767" w:type="dxa"/>
          </w:tcPr>
          <w:p w14:paraId="0DD7153E" w14:textId="77777777" w:rsidR="00DB7BD3" w:rsidRDefault="00CB4873">
            <w:pPr>
              <w:pStyle w:val="cTableBody"/>
            </w:pPr>
            <w:r>
              <w:t>As-built/subsystem tests passed; source and QA records accepted.</w:t>
            </w:r>
          </w:p>
        </w:tc>
      </w:tr>
      <w:tr w:rsidR="00DB7BD3" w14:paraId="061347CE" w14:textId="77777777" w:rsidTr="00B86AD4">
        <w:trPr>
          <w:cantSplit/>
        </w:trPr>
        <w:tc>
          <w:tcPr>
            <w:tcW w:w="784" w:type="dxa"/>
          </w:tcPr>
          <w:p w14:paraId="09FBEAB8" w14:textId="77777777" w:rsidR="00DB7BD3" w:rsidRDefault="00CB4873">
            <w:pPr>
              <w:pStyle w:val="cTableBody"/>
            </w:pPr>
            <w:r>
              <w:t>3E</w:t>
            </w:r>
          </w:p>
        </w:tc>
        <w:tc>
          <w:tcPr>
            <w:tcW w:w="4885" w:type="dxa"/>
          </w:tcPr>
          <w:p w14:paraId="20683D75" w14:textId="77777777" w:rsidR="00DB7BD3" w:rsidRDefault="00CB4873">
            <w:pPr>
              <w:pStyle w:val="cTableBody"/>
            </w:pPr>
            <w:r>
              <w:t>Dual-track throughput, jam, maintenance, and recovery demonstration</w:t>
            </w:r>
          </w:p>
        </w:tc>
        <w:tc>
          <w:tcPr>
            <w:tcW w:w="940" w:type="dxa"/>
          </w:tcPr>
          <w:p w14:paraId="5A0A7636" w14:textId="77777777" w:rsidR="00DB7BD3" w:rsidRDefault="00CB4873">
            <w:pPr>
              <w:pStyle w:val="cTableBody"/>
            </w:pPr>
            <w:r>
              <w:t>$10M</w:t>
            </w:r>
          </w:p>
        </w:tc>
        <w:tc>
          <w:tcPr>
            <w:tcW w:w="3767" w:type="dxa"/>
          </w:tcPr>
          <w:p w14:paraId="5E65E51C" w14:textId="77777777" w:rsidR="00DB7BD3" w:rsidRDefault="00CB4873">
            <w:pPr>
              <w:pStyle w:val="cTableBody"/>
            </w:pPr>
            <w:r>
              <w:t>Independent witnessed metrics; failures/nonconformances dispositioned.</w:t>
            </w:r>
          </w:p>
        </w:tc>
      </w:tr>
      <w:tr w:rsidR="00DB7BD3" w14:paraId="12894750" w14:textId="77777777" w:rsidTr="00B86AD4">
        <w:trPr>
          <w:cantSplit/>
        </w:trPr>
        <w:tc>
          <w:tcPr>
            <w:tcW w:w="784" w:type="dxa"/>
          </w:tcPr>
          <w:p w14:paraId="2CB65B24" w14:textId="77777777" w:rsidR="00DB7BD3" w:rsidRDefault="00CB4873">
            <w:pPr>
              <w:pStyle w:val="cTableBody"/>
            </w:pPr>
            <w:r>
              <w:t>3F</w:t>
            </w:r>
          </w:p>
        </w:tc>
        <w:tc>
          <w:tcPr>
            <w:tcW w:w="4885" w:type="dxa"/>
          </w:tcPr>
          <w:p w14:paraId="6AD33B7C" w14:textId="77777777" w:rsidR="00DB7BD3" w:rsidRDefault="00CB4873">
            <w:pPr>
              <w:pStyle w:val="cTableBody"/>
            </w:pPr>
            <w:r>
              <w:t>Final scale-up design and operating package</w:t>
            </w:r>
          </w:p>
        </w:tc>
        <w:tc>
          <w:tcPr>
            <w:tcW w:w="940" w:type="dxa"/>
          </w:tcPr>
          <w:p w14:paraId="449DE1DB" w14:textId="77777777" w:rsidR="00DB7BD3" w:rsidRDefault="00CB4873">
            <w:pPr>
              <w:pStyle w:val="cTableBody"/>
            </w:pPr>
            <w:r>
              <w:t>$5M</w:t>
            </w:r>
          </w:p>
        </w:tc>
        <w:tc>
          <w:tcPr>
            <w:tcW w:w="3767" w:type="dxa"/>
          </w:tcPr>
          <w:p w14:paraId="77EE7848" w14:textId="77777777" w:rsidR="00DB7BD3" w:rsidRDefault="00CB4873">
            <w:pPr>
              <w:pStyle w:val="cTableBody"/>
            </w:pPr>
            <w:r>
              <w:t>Repeated performance plus final source/manufacturing/transition package.</w:t>
            </w:r>
          </w:p>
        </w:tc>
      </w:tr>
    </w:tbl>
    <w:p w14:paraId="378183EE" w14:textId="1669F9B6" w:rsidR="00DB7BD3" w:rsidRDefault="000119DA">
      <w:pPr>
        <w:pStyle w:val="Heading2"/>
      </w:pPr>
      <w:r>
        <w:t>Area 4. Heavy lift, gantry, crane, rail, and positioning systems - $95 million</w:t>
      </w:r>
    </w:p>
    <w:p w14:paraId="7EAF2051" w14:textId="77777777" w:rsidR="00DB7BD3" w:rsidRDefault="00CB4873">
      <w:r>
        <w:t>Illustrative recipients: Crane / heavy-lift / rail / SPMT OEMs and nuclear EPCs; independent structural/lifting-code reviewer and proof-load witness.</w:t>
      </w:r>
    </w:p>
    <w:tbl>
      <w:tblPr>
        <w:tblStyle w:val="gswTableStyle"/>
        <w:tblW w:w="10466" w:type="dxa"/>
        <w:tblInd w:w="172" w:type="dxa"/>
        <w:tblLook w:val="04A0" w:firstRow="1" w:lastRow="0" w:firstColumn="1" w:lastColumn="0" w:noHBand="0" w:noVBand="1"/>
      </w:tblPr>
      <w:tblGrid>
        <w:gridCol w:w="784"/>
        <w:gridCol w:w="4885"/>
        <w:gridCol w:w="940"/>
        <w:gridCol w:w="3857"/>
      </w:tblGrid>
      <w:tr w:rsidR="00DB7BD3" w14:paraId="4EEA9A39" w14:textId="77777777" w:rsidTr="00B86AD4">
        <w:trPr>
          <w:cnfStyle w:val="100000000000" w:firstRow="1" w:lastRow="0" w:firstColumn="0" w:lastColumn="0" w:oddVBand="0" w:evenVBand="0" w:oddHBand="0" w:evenHBand="0" w:firstRowFirstColumn="0" w:firstRowLastColumn="0" w:lastRowFirstColumn="0" w:lastRowLastColumn="0"/>
          <w:cantSplit/>
          <w:tblHeader/>
        </w:trPr>
        <w:tc>
          <w:tcPr>
            <w:tcW w:w="784" w:type="dxa"/>
          </w:tcPr>
          <w:p w14:paraId="1F77C1FB" w14:textId="77777777" w:rsidR="00DB7BD3" w:rsidRDefault="00CB4873">
            <w:pPr>
              <w:pStyle w:val="cTableHeader"/>
            </w:pPr>
            <w:r>
              <w:t>PO</w:t>
            </w:r>
          </w:p>
        </w:tc>
        <w:tc>
          <w:tcPr>
            <w:tcW w:w="4885" w:type="dxa"/>
          </w:tcPr>
          <w:p w14:paraId="50598C14" w14:textId="77777777" w:rsidR="00DB7BD3" w:rsidRDefault="00CB4873">
            <w:pPr>
              <w:pStyle w:val="cTableHeader"/>
            </w:pPr>
            <w:r>
              <w:t>Illustrative procurement / deliverable</w:t>
            </w:r>
          </w:p>
        </w:tc>
        <w:tc>
          <w:tcPr>
            <w:tcW w:w="940" w:type="dxa"/>
          </w:tcPr>
          <w:p w14:paraId="165FC990" w14:textId="77777777" w:rsidR="00DB7BD3" w:rsidRDefault="00CB4873">
            <w:pPr>
              <w:pStyle w:val="cTableHeader"/>
            </w:pPr>
            <w:r>
              <w:t>Amount</w:t>
            </w:r>
          </w:p>
        </w:tc>
        <w:tc>
          <w:tcPr>
            <w:tcW w:w="3857" w:type="dxa"/>
          </w:tcPr>
          <w:p w14:paraId="73C45B2C" w14:textId="77777777" w:rsidR="00DB7BD3" w:rsidRDefault="00CB4873">
            <w:pPr>
              <w:pStyle w:val="cTableHeader"/>
            </w:pPr>
            <w:r>
              <w:t>Technical acceptance</w:t>
            </w:r>
          </w:p>
        </w:tc>
      </w:tr>
      <w:tr w:rsidR="00DB7BD3" w14:paraId="3226745E" w14:textId="77777777" w:rsidTr="00B86AD4">
        <w:trPr>
          <w:cantSplit/>
        </w:trPr>
        <w:tc>
          <w:tcPr>
            <w:tcW w:w="784" w:type="dxa"/>
          </w:tcPr>
          <w:p w14:paraId="192B64A3" w14:textId="77777777" w:rsidR="00DB7BD3" w:rsidRDefault="00CB4873">
            <w:pPr>
              <w:pStyle w:val="cTableBody"/>
            </w:pPr>
            <w:r>
              <w:t>4A</w:t>
            </w:r>
          </w:p>
        </w:tc>
        <w:tc>
          <w:tcPr>
            <w:tcW w:w="4885" w:type="dxa"/>
          </w:tcPr>
          <w:p w14:paraId="30C07238" w14:textId="77777777" w:rsidR="00DB7BD3" w:rsidRDefault="00CB4873">
            <w:pPr>
              <w:pStyle w:val="cTableBody"/>
            </w:pPr>
            <w:r>
              <w:t>Loads, geometry, rail, crane, and nuclear-lifting requirements for both reference plants</w:t>
            </w:r>
          </w:p>
        </w:tc>
        <w:tc>
          <w:tcPr>
            <w:tcW w:w="940" w:type="dxa"/>
          </w:tcPr>
          <w:p w14:paraId="61EAA03D" w14:textId="77777777" w:rsidR="00DB7BD3" w:rsidRDefault="00CB4873">
            <w:pPr>
              <w:pStyle w:val="cTableBody"/>
            </w:pPr>
            <w:r>
              <w:t>$10M</w:t>
            </w:r>
          </w:p>
        </w:tc>
        <w:tc>
          <w:tcPr>
            <w:tcW w:w="3857" w:type="dxa"/>
          </w:tcPr>
          <w:p w14:paraId="01123275" w14:textId="77777777" w:rsidR="00DB7BD3" w:rsidRDefault="00CB4873">
            <w:pPr>
              <w:pStyle w:val="cTableBody"/>
            </w:pPr>
            <w:r>
              <w:t>Controlled design/interfaces accepted; independent review findings dispositioned.</w:t>
            </w:r>
          </w:p>
        </w:tc>
      </w:tr>
      <w:tr w:rsidR="00DB7BD3" w14:paraId="1059879B" w14:textId="77777777" w:rsidTr="00B86AD4">
        <w:trPr>
          <w:cantSplit/>
        </w:trPr>
        <w:tc>
          <w:tcPr>
            <w:tcW w:w="784" w:type="dxa"/>
          </w:tcPr>
          <w:p w14:paraId="084B0708" w14:textId="77777777" w:rsidR="00DB7BD3" w:rsidRDefault="00CB4873">
            <w:pPr>
              <w:pStyle w:val="cTableBody"/>
            </w:pPr>
            <w:r>
              <w:t>4B</w:t>
            </w:r>
          </w:p>
        </w:tc>
        <w:tc>
          <w:tcPr>
            <w:tcW w:w="4885" w:type="dxa"/>
          </w:tcPr>
          <w:p w14:paraId="41596475" w14:textId="77777777" w:rsidR="00DB7BD3" w:rsidRDefault="00CB4873">
            <w:pPr>
              <w:pStyle w:val="cTableBody"/>
            </w:pPr>
            <w:r>
              <w:t>HTR rail-mounted gantry, trolley, and repeated-cell handling design</w:t>
            </w:r>
          </w:p>
        </w:tc>
        <w:tc>
          <w:tcPr>
            <w:tcW w:w="940" w:type="dxa"/>
          </w:tcPr>
          <w:p w14:paraId="1D6FB496" w14:textId="77777777" w:rsidR="00DB7BD3" w:rsidRDefault="00CB4873">
            <w:pPr>
              <w:pStyle w:val="cTableBody"/>
            </w:pPr>
            <w:r>
              <w:t>$15M</w:t>
            </w:r>
          </w:p>
        </w:tc>
        <w:tc>
          <w:tcPr>
            <w:tcW w:w="3857" w:type="dxa"/>
          </w:tcPr>
          <w:p w14:paraId="616F92A4" w14:textId="77777777" w:rsidR="00DB7BD3" w:rsidRDefault="00CB4873">
            <w:pPr>
              <w:pStyle w:val="cTableBody"/>
            </w:pPr>
            <w:r>
              <w:t>Controlled design/interfaces accepted; independent review findings dispositioned.</w:t>
            </w:r>
          </w:p>
        </w:tc>
      </w:tr>
      <w:tr w:rsidR="00DB7BD3" w14:paraId="1FE48ADB" w14:textId="77777777" w:rsidTr="00B86AD4">
        <w:trPr>
          <w:cantSplit/>
        </w:trPr>
        <w:tc>
          <w:tcPr>
            <w:tcW w:w="784" w:type="dxa"/>
          </w:tcPr>
          <w:p w14:paraId="55B3F99C" w14:textId="77777777" w:rsidR="00DB7BD3" w:rsidRDefault="00CB4873">
            <w:pPr>
              <w:pStyle w:val="cTableBody"/>
            </w:pPr>
            <w:r>
              <w:t>4C</w:t>
            </w:r>
          </w:p>
        </w:tc>
        <w:tc>
          <w:tcPr>
            <w:tcW w:w="4885" w:type="dxa"/>
          </w:tcPr>
          <w:p w14:paraId="747BA744" w14:textId="77777777" w:rsidR="00DB7BD3" w:rsidRDefault="00CB4873">
            <w:pPr>
              <w:pStyle w:val="cTableBody"/>
            </w:pPr>
            <w:r>
              <w:t>PWR heavy-lift, temporary gantry, crane, and large-module installation design</w:t>
            </w:r>
          </w:p>
        </w:tc>
        <w:tc>
          <w:tcPr>
            <w:tcW w:w="940" w:type="dxa"/>
          </w:tcPr>
          <w:p w14:paraId="46CCD47D" w14:textId="77777777" w:rsidR="00DB7BD3" w:rsidRDefault="00CB4873">
            <w:pPr>
              <w:pStyle w:val="cTableBody"/>
            </w:pPr>
            <w:r>
              <w:t>$15M</w:t>
            </w:r>
          </w:p>
        </w:tc>
        <w:tc>
          <w:tcPr>
            <w:tcW w:w="3857" w:type="dxa"/>
          </w:tcPr>
          <w:p w14:paraId="3B0091C2" w14:textId="77777777" w:rsidR="00DB7BD3" w:rsidRDefault="00CB4873">
            <w:pPr>
              <w:pStyle w:val="cTableBody"/>
            </w:pPr>
            <w:r>
              <w:t>Controlled design/interfaces accepted; independent review findings dispositioned.</w:t>
            </w:r>
          </w:p>
        </w:tc>
      </w:tr>
      <w:tr w:rsidR="00DB7BD3" w14:paraId="758DCFEB" w14:textId="77777777" w:rsidTr="00B86AD4">
        <w:trPr>
          <w:cantSplit/>
        </w:trPr>
        <w:tc>
          <w:tcPr>
            <w:tcW w:w="784" w:type="dxa"/>
          </w:tcPr>
          <w:p w14:paraId="1DAFC30F" w14:textId="77777777" w:rsidR="00DB7BD3" w:rsidRDefault="00CB4873">
            <w:pPr>
              <w:pStyle w:val="cTableBody"/>
            </w:pPr>
            <w:r>
              <w:t>4D</w:t>
            </w:r>
          </w:p>
        </w:tc>
        <w:tc>
          <w:tcPr>
            <w:tcW w:w="4885" w:type="dxa"/>
          </w:tcPr>
          <w:p w14:paraId="7ADAE592" w14:textId="77777777" w:rsidR="00DB7BD3" w:rsidRDefault="00CB4873">
            <w:pPr>
              <w:pStyle w:val="cTableBody"/>
            </w:pPr>
            <w:r>
              <w:t>Common lifting tools, controls, prototype fabrication, and factory proof testing</w:t>
            </w:r>
          </w:p>
        </w:tc>
        <w:tc>
          <w:tcPr>
            <w:tcW w:w="940" w:type="dxa"/>
          </w:tcPr>
          <w:p w14:paraId="3AA60B0D" w14:textId="77777777" w:rsidR="00DB7BD3" w:rsidRDefault="00CB4873">
            <w:pPr>
              <w:pStyle w:val="cTableBody"/>
            </w:pPr>
            <w:r>
              <w:t>$30M</w:t>
            </w:r>
          </w:p>
        </w:tc>
        <w:tc>
          <w:tcPr>
            <w:tcW w:w="3857" w:type="dxa"/>
          </w:tcPr>
          <w:p w14:paraId="0F02B2B0" w14:textId="77777777" w:rsidR="00DB7BD3" w:rsidRDefault="00CB4873">
            <w:pPr>
              <w:pStyle w:val="cTableBody"/>
            </w:pPr>
            <w:r>
              <w:t>As-built/subsystem tests passed; source and QA records accepted.</w:t>
            </w:r>
          </w:p>
        </w:tc>
      </w:tr>
      <w:tr w:rsidR="00DB7BD3" w14:paraId="4EB1063B" w14:textId="77777777" w:rsidTr="00B86AD4">
        <w:trPr>
          <w:cantSplit/>
        </w:trPr>
        <w:tc>
          <w:tcPr>
            <w:tcW w:w="784" w:type="dxa"/>
          </w:tcPr>
          <w:p w14:paraId="5C6E5D3C" w14:textId="77777777" w:rsidR="00DB7BD3" w:rsidRDefault="00CB4873">
            <w:pPr>
              <w:pStyle w:val="cTableBody"/>
            </w:pPr>
            <w:r>
              <w:t>4E</w:t>
            </w:r>
          </w:p>
        </w:tc>
        <w:tc>
          <w:tcPr>
            <w:tcW w:w="4885" w:type="dxa"/>
          </w:tcPr>
          <w:p w14:paraId="10FBB22C" w14:textId="77777777" w:rsidR="00DB7BD3" w:rsidRDefault="00CB4873">
            <w:pPr>
              <w:pStyle w:val="cTableBody"/>
            </w:pPr>
            <w:r>
              <w:t>Dual-track pilot installation, proof-load testing, and repeated precision moves</w:t>
            </w:r>
          </w:p>
        </w:tc>
        <w:tc>
          <w:tcPr>
            <w:tcW w:w="940" w:type="dxa"/>
          </w:tcPr>
          <w:p w14:paraId="22EF00A0" w14:textId="77777777" w:rsidR="00DB7BD3" w:rsidRDefault="00CB4873">
            <w:pPr>
              <w:pStyle w:val="cTableBody"/>
            </w:pPr>
            <w:r>
              <w:t>$18M</w:t>
            </w:r>
          </w:p>
        </w:tc>
        <w:tc>
          <w:tcPr>
            <w:tcW w:w="3857" w:type="dxa"/>
          </w:tcPr>
          <w:p w14:paraId="45F7CE45" w14:textId="77777777" w:rsidR="00DB7BD3" w:rsidRDefault="00CB4873">
            <w:pPr>
              <w:pStyle w:val="cTableBody"/>
            </w:pPr>
            <w:r>
              <w:t>Independent witnessed metrics; failures/nonconformances dispositioned.</w:t>
            </w:r>
          </w:p>
        </w:tc>
      </w:tr>
      <w:tr w:rsidR="00DB7BD3" w14:paraId="46695FA1" w14:textId="77777777" w:rsidTr="00B86AD4">
        <w:trPr>
          <w:cantSplit/>
        </w:trPr>
        <w:tc>
          <w:tcPr>
            <w:tcW w:w="784" w:type="dxa"/>
          </w:tcPr>
          <w:p w14:paraId="7848E51D" w14:textId="77777777" w:rsidR="00DB7BD3" w:rsidRDefault="00CB4873">
            <w:pPr>
              <w:pStyle w:val="cTableBody"/>
            </w:pPr>
            <w:r>
              <w:t>4F</w:t>
            </w:r>
          </w:p>
        </w:tc>
        <w:tc>
          <w:tcPr>
            <w:tcW w:w="4885" w:type="dxa"/>
          </w:tcPr>
          <w:p w14:paraId="1F8A8804" w14:textId="77777777" w:rsidR="00DB7BD3" w:rsidRDefault="00CB4873">
            <w:pPr>
              <w:pStyle w:val="cTableBody"/>
            </w:pPr>
            <w:r>
              <w:t>Reliability growth and Chinese code-compliance package</w:t>
            </w:r>
          </w:p>
        </w:tc>
        <w:tc>
          <w:tcPr>
            <w:tcW w:w="940" w:type="dxa"/>
          </w:tcPr>
          <w:p w14:paraId="2090CC4F" w14:textId="77777777" w:rsidR="00DB7BD3" w:rsidRDefault="00CB4873">
            <w:pPr>
              <w:pStyle w:val="cTableBody"/>
            </w:pPr>
            <w:r>
              <w:t>$7M</w:t>
            </w:r>
          </w:p>
        </w:tc>
        <w:tc>
          <w:tcPr>
            <w:tcW w:w="3857" w:type="dxa"/>
          </w:tcPr>
          <w:p w14:paraId="6DFAB7C8" w14:textId="77777777" w:rsidR="00DB7BD3" w:rsidRDefault="00CB4873">
            <w:pPr>
              <w:pStyle w:val="cTableBody"/>
            </w:pPr>
            <w:r>
              <w:t>Repeated performance plus final source/manufacturing/transition package.</w:t>
            </w:r>
          </w:p>
        </w:tc>
      </w:tr>
    </w:tbl>
    <w:p w14:paraId="53867396" w14:textId="7A9D6E37" w:rsidR="00DB7BD3" w:rsidRDefault="000119DA">
      <w:pPr>
        <w:pStyle w:val="Heading2"/>
      </w:pPr>
      <w:r>
        <w:t>Area 5. Concrete, rebar, formwork, steel-liner, and structural automation - $150 million</w:t>
      </w:r>
    </w:p>
    <w:p w14:paraId="680D21FF" w14:textId="77777777" w:rsidR="00DB7BD3" w:rsidRDefault="00CB4873">
      <w:r>
        <w:t>Illustrative recipients: Qualified nuclear civil contractors; concrete/rebar/steel fabricators; structural universities; independent materials/NDE/QA laboratories.</w:t>
      </w:r>
    </w:p>
    <w:tbl>
      <w:tblPr>
        <w:tblStyle w:val="gswTableStyle"/>
        <w:tblW w:w="10466" w:type="dxa"/>
        <w:tblInd w:w="172" w:type="dxa"/>
        <w:tblLook w:val="04A0" w:firstRow="1" w:lastRow="0" w:firstColumn="1" w:lastColumn="0" w:noHBand="0" w:noVBand="1"/>
      </w:tblPr>
      <w:tblGrid>
        <w:gridCol w:w="784"/>
        <w:gridCol w:w="4888"/>
        <w:gridCol w:w="940"/>
        <w:gridCol w:w="3854"/>
      </w:tblGrid>
      <w:tr w:rsidR="00DB7BD3" w14:paraId="25E3F15F" w14:textId="77777777" w:rsidTr="00B86AD4">
        <w:trPr>
          <w:cnfStyle w:val="100000000000" w:firstRow="1" w:lastRow="0" w:firstColumn="0" w:lastColumn="0" w:oddVBand="0" w:evenVBand="0" w:oddHBand="0" w:evenHBand="0" w:firstRowFirstColumn="0" w:firstRowLastColumn="0" w:lastRowFirstColumn="0" w:lastRowLastColumn="0"/>
          <w:cantSplit/>
          <w:tblHeader/>
        </w:trPr>
        <w:tc>
          <w:tcPr>
            <w:tcW w:w="784" w:type="dxa"/>
          </w:tcPr>
          <w:p w14:paraId="5ADE320A" w14:textId="77777777" w:rsidR="00DB7BD3" w:rsidRDefault="00CB4873">
            <w:pPr>
              <w:pStyle w:val="cTableHeader"/>
            </w:pPr>
            <w:r>
              <w:t>PO</w:t>
            </w:r>
          </w:p>
        </w:tc>
        <w:tc>
          <w:tcPr>
            <w:tcW w:w="4888" w:type="dxa"/>
          </w:tcPr>
          <w:p w14:paraId="193293E2" w14:textId="77777777" w:rsidR="00DB7BD3" w:rsidRDefault="00CB4873">
            <w:pPr>
              <w:pStyle w:val="cTableHeader"/>
            </w:pPr>
            <w:r>
              <w:t>Illustrative procurement / deliverable</w:t>
            </w:r>
          </w:p>
        </w:tc>
        <w:tc>
          <w:tcPr>
            <w:tcW w:w="940" w:type="dxa"/>
          </w:tcPr>
          <w:p w14:paraId="44600E4E" w14:textId="77777777" w:rsidR="00DB7BD3" w:rsidRDefault="00CB4873">
            <w:pPr>
              <w:pStyle w:val="cTableHeader"/>
            </w:pPr>
            <w:r>
              <w:t>Amount</w:t>
            </w:r>
          </w:p>
        </w:tc>
        <w:tc>
          <w:tcPr>
            <w:tcW w:w="3854" w:type="dxa"/>
          </w:tcPr>
          <w:p w14:paraId="3411B1EF" w14:textId="77777777" w:rsidR="00DB7BD3" w:rsidRDefault="00CB4873">
            <w:pPr>
              <w:pStyle w:val="cTableHeader"/>
            </w:pPr>
            <w:r>
              <w:t>Technical acceptance</w:t>
            </w:r>
          </w:p>
        </w:tc>
      </w:tr>
      <w:tr w:rsidR="00DB7BD3" w14:paraId="19472140" w14:textId="77777777" w:rsidTr="00B86AD4">
        <w:trPr>
          <w:cantSplit/>
        </w:trPr>
        <w:tc>
          <w:tcPr>
            <w:tcW w:w="784" w:type="dxa"/>
          </w:tcPr>
          <w:p w14:paraId="34AF914B" w14:textId="77777777" w:rsidR="00DB7BD3" w:rsidRDefault="00CB4873">
            <w:pPr>
              <w:pStyle w:val="cTableBody"/>
            </w:pPr>
            <w:r>
              <w:t>5A</w:t>
            </w:r>
          </w:p>
        </w:tc>
        <w:tc>
          <w:tcPr>
            <w:tcW w:w="4888" w:type="dxa"/>
          </w:tcPr>
          <w:p w14:paraId="4E65C489" w14:textId="77777777" w:rsidR="00DB7BD3" w:rsidRDefault="00CB4873">
            <w:pPr>
              <w:pStyle w:val="cTableBody"/>
            </w:pPr>
            <w:r>
              <w:t>Structural-system comparison, materials, and qualification plan</w:t>
            </w:r>
          </w:p>
        </w:tc>
        <w:tc>
          <w:tcPr>
            <w:tcW w:w="940" w:type="dxa"/>
          </w:tcPr>
          <w:p w14:paraId="313190E4" w14:textId="77777777" w:rsidR="00DB7BD3" w:rsidRDefault="00CB4873">
            <w:pPr>
              <w:pStyle w:val="cTableBody"/>
            </w:pPr>
            <w:r>
              <w:t>$15M</w:t>
            </w:r>
          </w:p>
        </w:tc>
        <w:tc>
          <w:tcPr>
            <w:tcW w:w="3854" w:type="dxa"/>
          </w:tcPr>
          <w:p w14:paraId="55903B7E" w14:textId="77777777" w:rsidR="00DB7BD3" w:rsidRDefault="00CB4873">
            <w:pPr>
              <w:pStyle w:val="cTableBody"/>
            </w:pPr>
            <w:r>
              <w:t>Controlled design/interfaces accepted; independent review findings dispositioned.</w:t>
            </w:r>
          </w:p>
        </w:tc>
      </w:tr>
      <w:tr w:rsidR="00DB7BD3" w14:paraId="0151090D" w14:textId="77777777" w:rsidTr="00B86AD4">
        <w:trPr>
          <w:cantSplit/>
        </w:trPr>
        <w:tc>
          <w:tcPr>
            <w:tcW w:w="784" w:type="dxa"/>
          </w:tcPr>
          <w:p w14:paraId="58D34ADF" w14:textId="77777777" w:rsidR="00DB7BD3" w:rsidRDefault="00CB4873">
            <w:pPr>
              <w:pStyle w:val="cTableBody"/>
            </w:pPr>
            <w:r>
              <w:t>5B</w:t>
            </w:r>
          </w:p>
        </w:tc>
        <w:tc>
          <w:tcPr>
            <w:tcW w:w="4888" w:type="dxa"/>
          </w:tcPr>
          <w:p w14:paraId="3CEC36D0" w14:textId="77777777" w:rsidR="00DB7BD3" w:rsidRDefault="00CB4873">
            <w:pPr>
              <w:pStyle w:val="cTableBody"/>
            </w:pPr>
            <w:r>
              <w:t>Automated rebar, embedments, anchors, and as-built verification</w:t>
            </w:r>
          </w:p>
        </w:tc>
        <w:tc>
          <w:tcPr>
            <w:tcW w:w="940" w:type="dxa"/>
          </w:tcPr>
          <w:p w14:paraId="4CFF8F52" w14:textId="77777777" w:rsidR="00DB7BD3" w:rsidRDefault="00CB4873">
            <w:pPr>
              <w:pStyle w:val="cTableBody"/>
            </w:pPr>
            <w:r>
              <w:t>$30M</w:t>
            </w:r>
          </w:p>
        </w:tc>
        <w:tc>
          <w:tcPr>
            <w:tcW w:w="3854" w:type="dxa"/>
          </w:tcPr>
          <w:p w14:paraId="032A1AC1" w14:textId="77777777" w:rsidR="00DB7BD3" w:rsidRDefault="00CB4873">
            <w:pPr>
              <w:pStyle w:val="cTableBody"/>
            </w:pPr>
            <w:r>
              <w:t>Controlled design/interfaces accepted; independent review findings dispositioned.</w:t>
            </w:r>
          </w:p>
        </w:tc>
      </w:tr>
      <w:tr w:rsidR="00DB7BD3" w14:paraId="04D60DAC" w14:textId="77777777" w:rsidTr="00B86AD4">
        <w:trPr>
          <w:cantSplit/>
        </w:trPr>
        <w:tc>
          <w:tcPr>
            <w:tcW w:w="784" w:type="dxa"/>
          </w:tcPr>
          <w:p w14:paraId="1CD4EE46" w14:textId="77777777" w:rsidR="00DB7BD3" w:rsidRDefault="00CB4873">
            <w:pPr>
              <w:pStyle w:val="cTableBody"/>
            </w:pPr>
            <w:r>
              <w:lastRenderedPageBreak/>
              <w:t>5C</w:t>
            </w:r>
          </w:p>
        </w:tc>
        <w:tc>
          <w:tcPr>
            <w:tcW w:w="4888" w:type="dxa"/>
          </w:tcPr>
          <w:p w14:paraId="2FC5C6E5" w14:textId="77777777" w:rsidR="00DB7BD3" w:rsidRDefault="00CB4873">
            <w:pPr>
              <w:pStyle w:val="cTableBody"/>
            </w:pPr>
            <w:r>
              <w:t>Modular formwork, batching, placement, curing, sensing, and concrete inspection</w:t>
            </w:r>
          </w:p>
        </w:tc>
        <w:tc>
          <w:tcPr>
            <w:tcW w:w="940" w:type="dxa"/>
          </w:tcPr>
          <w:p w14:paraId="516C1339" w14:textId="77777777" w:rsidR="00DB7BD3" w:rsidRDefault="00CB4873">
            <w:pPr>
              <w:pStyle w:val="cTableBody"/>
            </w:pPr>
            <w:r>
              <w:t>$25M</w:t>
            </w:r>
          </w:p>
        </w:tc>
        <w:tc>
          <w:tcPr>
            <w:tcW w:w="3854" w:type="dxa"/>
          </w:tcPr>
          <w:p w14:paraId="3A2A539A" w14:textId="77777777" w:rsidR="00DB7BD3" w:rsidRDefault="00CB4873">
            <w:pPr>
              <w:pStyle w:val="cTableBody"/>
            </w:pPr>
            <w:r>
              <w:t>Controlled design/interfaces accepted; independent review findings dispositioned.</w:t>
            </w:r>
          </w:p>
        </w:tc>
      </w:tr>
      <w:tr w:rsidR="00DB7BD3" w14:paraId="5A7BFAFA" w14:textId="77777777" w:rsidTr="00B86AD4">
        <w:trPr>
          <w:cantSplit/>
        </w:trPr>
        <w:tc>
          <w:tcPr>
            <w:tcW w:w="784" w:type="dxa"/>
          </w:tcPr>
          <w:p w14:paraId="22D720FB" w14:textId="77777777" w:rsidR="00DB7BD3" w:rsidRDefault="00CB4873">
            <w:pPr>
              <w:pStyle w:val="cTableBody"/>
            </w:pPr>
            <w:r>
              <w:t>5D</w:t>
            </w:r>
          </w:p>
        </w:tc>
        <w:tc>
          <w:tcPr>
            <w:tcW w:w="4888" w:type="dxa"/>
          </w:tcPr>
          <w:p w14:paraId="3218F814" w14:textId="77777777" w:rsidR="00DB7BD3" w:rsidRDefault="00CB4873">
            <w:pPr>
              <w:pStyle w:val="cTableBody"/>
            </w:pPr>
            <w:r>
              <w:t>PWR steel-liner and structural-module fabrication/installation automation</w:t>
            </w:r>
          </w:p>
        </w:tc>
        <w:tc>
          <w:tcPr>
            <w:tcW w:w="940" w:type="dxa"/>
          </w:tcPr>
          <w:p w14:paraId="02F1E844" w14:textId="77777777" w:rsidR="00DB7BD3" w:rsidRDefault="00CB4873">
            <w:pPr>
              <w:pStyle w:val="cTableBody"/>
            </w:pPr>
            <w:r>
              <w:t>$25M</w:t>
            </w:r>
          </w:p>
        </w:tc>
        <w:tc>
          <w:tcPr>
            <w:tcW w:w="3854" w:type="dxa"/>
          </w:tcPr>
          <w:p w14:paraId="156839BE" w14:textId="77777777" w:rsidR="00DB7BD3" w:rsidRDefault="00CB4873">
            <w:pPr>
              <w:pStyle w:val="cTableBody"/>
            </w:pPr>
            <w:r>
              <w:t>As-built/subsystem tests passed; source and QA records accepted.</w:t>
            </w:r>
          </w:p>
        </w:tc>
      </w:tr>
      <w:tr w:rsidR="00DB7BD3" w14:paraId="7B58DAF9" w14:textId="77777777" w:rsidTr="00B86AD4">
        <w:trPr>
          <w:cantSplit/>
        </w:trPr>
        <w:tc>
          <w:tcPr>
            <w:tcW w:w="784" w:type="dxa"/>
          </w:tcPr>
          <w:p w14:paraId="61582834" w14:textId="77777777" w:rsidR="00DB7BD3" w:rsidRDefault="00CB4873">
            <w:pPr>
              <w:pStyle w:val="cTableBody"/>
            </w:pPr>
            <w:r>
              <w:t>5E</w:t>
            </w:r>
          </w:p>
        </w:tc>
        <w:tc>
          <w:tcPr>
            <w:tcW w:w="4888" w:type="dxa"/>
          </w:tcPr>
          <w:p w14:paraId="0E0B3580" w14:textId="77777777" w:rsidR="00DB7BD3" w:rsidRDefault="00CB4873">
            <w:pPr>
              <w:pStyle w:val="cTableBody"/>
            </w:pPr>
            <w:r>
              <w:t>Full-scale HTR lining and PWR basemat/containment representative demonstrations</w:t>
            </w:r>
          </w:p>
        </w:tc>
        <w:tc>
          <w:tcPr>
            <w:tcW w:w="940" w:type="dxa"/>
          </w:tcPr>
          <w:p w14:paraId="5F102479" w14:textId="77777777" w:rsidR="00DB7BD3" w:rsidRDefault="00CB4873">
            <w:pPr>
              <w:pStyle w:val="cTableBody"/>
            </w:pPr>
            <w:r>
              <w:t>$40M</w:t>
            </w:r>
          </w:p>
        </w:tc>
        <w:tc>
          <w:tcPr>
            <w:tcW w:w="3854" w:type="dxa"/>
          </w:tcPr>
          <w:p w14:paraId="09541FE9" w14:textId="77777777" w:rsidR="00DB7BD3" w:rsidRDefault="00CB4873">
            <w:pPr>
              <w:pStyle w:val="cTableBody"/>
            </w:pPr>
            <w:r>
              <w:t>Independent witnessed metrics; failures/nonconformances dispositioned.</w:t>
            </w:r>
          </w:p>
        </w:tc>
      </w:tr>
      <w:tr w:rsidR="00DB7BD3" w14:paraId="0547B461" w14:textId="77777777" w:rsidTr="00B86AD4">
        <w:trPr>
          <w:cantSplit/>
        </w:trPr>
        <w:tc>
          <w:tcPr>
            <w:tcW w:w="784" w:type="dxa"/>
          </w:tcPr>
          <w:p w14:paraId="1AD57E8A" w14:textId="77777777" w:rsidR="00DB7BD3" w:rsidRDefault="00CB4873">
            <w:pPr>
              <w:pStyle w:val="cTableBody"/>
            </w:pPr>
            <w:r>
              <w:t>5F</w:t>
            </w:r>
          </w:p>
        </w:tc>
        <w:tc>
          <w:tcPr>
            <w:tcW w:w="4888" w:type="dxa"/>
          </w:tcPr>
          <w:p w14:paraId="0B64462F" w14:textId="77777777" w:rsidR="00DB7BD3" w:rsidRDefault="00CB4873">
            <w:pPr>
              <w:pStyle w:val="cTableBody"/>
            </w:pPr>
            <w:r>
              <w:t>Reliability, code support, and final construction package</w:t>
            </w:r>
          </w:p>
        </w:tc>
        <w:tc>
          <w:tcPr>
            <w:tcW w:w="940" w:type="dxa"/>
          </w:tcPr>
          <w:p w14:paraId="20E52895" w14:textId="77777777" w:rsidR="00DB7BD3" w:rsidRDefault="00CB4873">
            <w:pPr>
              <w:pStyle w:val="cTableBody"/>
            </w:pPr>
            <w:r>
              <w:t>$15M</w:t>
            </w:r>
          </w:p>
        </w:tc>
        <w:tc>
          <w:tcPr>
            <w:tcW w:w="3854" w:type="dxa"/>
          </w:tcPr>
          <w:p w14:paraId="125295C0" w14:textId="77777777" w:rsidR="00DB7BD3" w:rsidRDefault="00CB4873">
            <w:pPr>
              <w:pStyle w:val="cTableBody"/>
            </w:pPr>
            <w:r>
              <w:t>Repeated performance plus final source/manufacturing/transition package.</w:t>
            </w:r>
          </w:p>
        </w:tc>
      </w:tr>
    </w:tbl>
    <w:p w14:paraId="2ADFA79C" w14:textId="049A2F8B" w:rsidR="00DB7BD3" w:rsidRDefault="000119DA">
      <w:pPr>
        <w:pStyle w:val="Heading2"/>
      </w:pPr>
      <w:r>
        <w:t>Area 6. Heavy-module transport and site-logistics system - $80 million</w:t>
      </w:r>
    </w:p>
    <w:p w14:paraId="612DD241" w14:textId="77777777" w:rsidR="00DB7BD3" w:rsidRDefault="00CB4873">
      <w:r>
        <w:t>Illustrative recipients: Heavy-transport / CRRC / SPMT / port and route engineering teams; independent transport-safety and route audit.</w:t>
      </w:r>
    </w:p>
    <w:tbl>
      <w:tblPr>
        <w:tblStyle w:val="gswTableStyle"/>
        <w:tblW w:w="10466" w:type="dxa"/>
        <w:tblInd w:w="172" w:type="dxa"/>
        <w:tblLook w:val="04A0" w:firstRow="1" w:lastRow="0" w:firstColumn="1" w:lastColumn="0" w:noHBand="0" w:noVBand="1"/>
      </w:tblPr>
      <w:tblGrid>
        <w:gridCol w:w="784"/>
        <w:gridCol w:w="4886"/>
        <w:gridCol w:w="940"/>
        <w:gridCol w:w="3856"/>
      </w:tblGrid>
      <w:tr w:rsidR="00DB7BD3" w14:paraId="1CC67854" w14:textId="77777777" w:rsidTr="00B86AD4">
        <w:trPr>
          <w:cnfStyle w:val="100000000000" w:firstRow="1" w:lastRow="0" w:firstColumn="0" w:lastColumn="0" w:oddVBand="0" w:evenVBand="0" w:oddHBand="0" w:evenHBand="0" w:firstRowFirstColumn="0" w:firstRowLastColumn="0" w:lastRowFirstColumn="0" w:lastRowLastColumn="0"/>
          <w:cantSplit/>
          <w:tblHeader/>
        </w:trPr>
        <w:tc>
          <w:tcPr>
            <w:tcW w:w="784" w:type="dxa"/>
          </w:tcPr>
          <w:p w14:paraId="35E7E580" w14:textId="77777777" w:rsidR="00DB7BD3" w:rsidRDefault="00CB4873">
            <w:pPr>
              <w:pStyle w:val="cTableHeader"/>
            </w:pPr>
            <w:r>
              <w:t>PO</w:t>
            </w:r>
          </w:p>
        </w:tc>
        <w:tc>
          <w:tcPr>
            <w:tcW w:w="4886" w:type="dxa"/>
          </w:tcPr>
          <w:p w14:paraId="1C5C29D5" w14:textId="77777777" w:rsidR="00DB7BD3" w:rsidRDefault="00CB4873">
            <w:pPr>
              <w:pStyle w:val="cTableHeader"/>
            </w:pPr>
            <w:r>
              <w:t>Illustrative procurement / deliverable</w:t>
            </w:r>
          </w:p>
        </w:tc>
        <w:tc>
          <w:tcPr>
            <w:tcW w:w="940" w:type="dxa"/>
          </w:tcPr>
          <w:p w14:paraId="16BD8B0D" w14:textId="77777777" w:rsidR="00DB7BD3" w:rsidRDefault="00CB4873">
            <w:pPr>
              <w:pStyle w:val="cTableHeader"/>
            </w:pPr>
            <w:r>
              <w:t>Amount</w:t>
            </w:r>
          </w:p>
        </w:tc>
        <w:tc>
          <w:tcPr>
            <w:tcW w:w="3856" w:type="dxa"/>
          </w:tcPr>
          <w:p w14:paraId="008C2DD2" w14:textId="77777777" w:rsidR="00DB7BD3" w:rsidRDefault="00CB4873">
            <w:pPr>
              <w:pStyle w:val="cTableHeader"/>
            </w:pPr>
            <w:r>
              <w:t>Technical acceptance</w:t>
            </w:r>
          </w:p>
        </w:tc>
      </w:tr>
      <w:tr w:rsidR="00DB7BD3" w14:paraId="13CE1355" w14:textId="77777777" w:rsidTr="00B86AD4">
        <w:trPr>
          <w:cantSplit/>
        </w:trPr>
        <w:tc>
          <w:tcPr>
            <w:tcW w:w="784" w:type="dxa"/>
          </w:tcPr>
          <w:p w14:paraId="0502FA59" w14:textId="77777777" w:rsidR="00DB7BD3" w:rsidRDefault="00CB4873">
            <w:pPr>
              <w:pStyle w:val="cTableBody"/>
            </w:pPr>
            <w:r>
              <w:t>6A</w:t>
            </w:r>
          </w:p>
        </w:tc>
        <w:tc>
          <w:tcPr>
            <w:tcW w:w="4886" w:type="dxa"/>
          </w:tcPr>
          <w:p w14:paraId="5E4AE06A" w14:textId="77777777" w:rsidR="00DB7BD3" w:rsidRDefault="00CB4873">
            <w:pPr>
              <w:pStyle w:val="cTableBody"/>
            </w:pPr>
            <w:r>
              <w:t>Cargo, route, bridge, port, factory, and site-interface requirements</w:t>
            </w:r>
          </w:p>
        </w:tc>
        <w:tc>
          <w:tcPr>
            <w:tcW w:w="940" w:type="dxa"/>
          </w:tcPr>
          <w:p w14:paraId="79902DEA" w14:textId="77777777" w:rsidR="00DB7BD3" w:rsidRDefault="00CB4873">
            <w:pPr>
              <w:pStyle w:val="cTableBody"/>
            </w:pPr>
            <w:r>
              <w:t>$8M</w:t>
            </w:r>
          </w:p>
        </w:tc>
        <w:tc>
          <w:tcPr>
            <w:tcW w:w="3856" w:type="dxa"/>
          </w:tcPr>
          <w:p w14:paraId="2B3E65A4" w14:textId="77777777" w:rsidR="00DB7BD3" w:rsidRDefault="00CB4873">
            <w:pPr>
              <w:pStyle w:val="cTableBody"/>
            </w:pPr>
            <w:r>
              <w:t>Controlled design/interfaces accepted; independent review findings dispositioned.</w:t>
            </w:r>
          </w:p>
        </w:tc>
      </w:tr>
      <w:tr w:rsidR="00DB7BD3" w14:paraId="0E2003FD" w14:textId="77777777" w:rsidTr="00B86AD4">
        <w:trPr>
          <w:cantSplit/>
        </w:trPr>
        <w:tc>
          <w:tcPr>
            <w:tcW w:w="784" w:type="dxa"/>
          </w:tcPr>
          <w:p w14:paraId="63C853AE" w14:textId="77777777" w:rsidR="00DB7BD3" w:rsidRDefault="00CB4873">
            <w:pPr>
              <w:pStyle w:val="cTableBody"/>
            </w:pPr>
            <w:r>
              <w:t>6B</w:t>
            </w:r>
          </w:p>
        </w:tc>
        <w:tc>
          <w:tcPr>
            <w:tcW w:w="4886" w:type="dxa"/>
          </w:tcPr>
          <w:p w14:paraId="173F3612" w14:textId="77777777" w:rsidR="00DB7BD3" w:rsidRDefault="00CB4873">
            <w:pPr>
              <w:pStyle w:val="cTableBody"/>
            </w:pPr>
            <w:r>
              <w:t>Standardized rail/SPMT/heavy-transport platform design competition</w:t>
            </w:r>
          </w:p>
        </w:tc>
        <w:tc>
          <w:tcPr>
            <w:tcW w:w="940" w:type="dxa"/>
          </w:tcPr>
          <w:p w14:paraId="6F0A0DAE" w14:textId="77777777" w:rsidR="00DB7BD3" w:rsidRDefault="00CB4873">
            <w:pPr>
              <w:pStyle w:val="cTableBody"/>
            </w:pPr>
            <w:r>
              <w:t>$14M</w:t>
            </w:r>
          </w:p>
        </w:tc>
        <w:tc>
          <w:tcPr>
            <w:tcW w:w="3856" w:type="dxa"/>
          </w:tcPr>
          <w:p w14:paraId="6FBBAE70" w14:textId="77777777" w:rsidR="00DB7BD3" w:rsidRDefault="00CB4873">
            <w:pPr>
              <w:pStyle w:val="cTableBody"/>
            </w:pPr>
            <w:r>
              <w:t>Controlled design/interfaces accepted; independent review findings dispositioned.</w:t>
            </w:r>
          </w:p>
        </w:tc>
      </w:tr>
      <w:tr w:rsidR="00DB7BD3" w14:paraId="317CAEBE" w14:textId="77777777" w:rsidTr="00B86AD4">
        <w:trPr>
          <w:cantSplit/>
        </w:trPr>
        <w:tc>
          <w:tcPr>
            <w:tcW w:w="784" w:type="dxa"/>
          </w:tcPr>
          <w:p w14:paraId="7D45B9C7" w14:textId="77777777" w:rsidR="00DB7BD3" w:rsidRDefault="00CB4873">
            <w:pPr>
              <w:pStyle w:val="cTableBody"/>
            </w:pPr>
            <w:r>
              <w:t>6C</w:t>
            </w:r>
          </w:p>
        </w:tc>
        <w:tc>
          <w:tcPr>
            <w:tcW w:w="4886" w:type="dxa"/>
          </w:tcPr>
          <w:p w14:paraId="76F50252" w14:textId="77777777" w:rsidR="00DB7BD3" w:rsidRDefault="00CB4873">
            <w:pPr>
              <w:pStyle w:val="cTableBody"/>
            </w:pPr>
            <w:r>
              <w:t>Loading, transfer, temporary track/road, staging, and route equipment</w:t>
            </w:r>
          </w:p>
        </w:tc>
        <w:tc>
          <w:tcPr>
            <w:tcW w:w="940" w:type="dxa"/>
          </w:tcPr>
          <w:p w14:paraId="30670DE2" w14:textId="77777777" w:rsidR="00DB7BD3" w:rsidRDefault="00CB4873">
            <w:pPr>
              <w:pStyle w:val="cTableBody"/>
            </w:pPr>
            <w:r>
              <w:t>$10M</w:t>
            </w:r>
          </w:p>
        </w:tc>
        <w:tc>
          <w:tcPr>
            <w:tcW w:w="3856" w:type="dxa"/>
          </w:tcPr>
          <w:p w14:paraId="7C8C67F2" w14:textId="77777777" w:rsidR="00DB7BD3" w:rsidRDefault="00CB4873">
            <w:pPr>
              <w:pStyle w:val="cTableBody"/>
            </w:pPr>
            <w:r>
              <w:t>As-built/subsystem tests passed; source and QA records accepted.</w:t>
            </w:r>
          </w:p>
        </w:tc>
      </w:tr>
      <w:tr w:rsidR="00DB7BD3" w14:paraId="060A7BFD" w14:textId="77777777" w:rsidTr="00B86AD4">
        <w:trPr>
          <w:cantSplit/>
        </w:trPr>
        <w:tc>
          <w:tcPr>
            <w:tcW w:w="784" w:type="dxa"/>
          </w:tcPr>
          <w:p w14:paraId="1748845F" w14:textId="77777777" w:rsidR="00DB7BD3" w:rsidRDefault="00CB4873">
            <w:pPr>
              <w:pStyle w:val="cTableBody"/>
            </w:pPr>
            <w:r>
              <w:t>6D</w:t>
            </w:r>
          </w:p>
        </w:tc>
        <w:tc>
          <w:tcPr>
            <w:tcW w:w="4886" w:type="dxa"/>
          </w:tcPr>
          <w:p w14:paraId="540ADFB7" w14:textId="77777777" w:rsidR="00DB7BD3" w:rsidRDefault="00CB4873">
            <w:pPr>
              <w:pStyle w:val="cTableBody"/>
            </w:pPr>
            <w:r>
              <w:t>Prototype transport-platform and transfer-equipment fabrication</w:t>
            </w:r>
          </w:p>
        </w:tc>
        <w:tc>
          <w:tcPr>
            <w:tcW w:w="940" w:type="dxa"/>
          </w:tcPr>
          <w:p w14:paraId="403559F4" w14:textId="77777777" w:rsidR="00DB7BD3" w:rsidRDefault="00CB4873">
            <w:pPr>
              <w:pStyle w:val="cTableBody"/>
            </w:pPr>
            <w:r>
              <w:t>$22M</w:t>
            </w:r>
          </w:p>
        </w:tc>
        <w:tc>
          <w:tcPr>
            <w:tcW w:w="3856" w:type="dxa"/>
          </w:tcPr>
          <w:p w14:paraId="59C8C3C0" w14:textId="77777777" w:rsidR="00DB7BD3" w:rsidRDefault="00CB4873">
            <w:pPr>
              <w:pStyle w:val="cTableBody"/>
            </w:pPr>
            <w:r>
              <w:t>As-built/subsystem tests passed; source and QA records accepted.</w:t>
            </w:r>
          </w:p>
        </w:tc>
      </w:tr>
      <w:tr w:rsidR="00DB7BD3" w14:paraId="7287740F" w14:textId="77777777" w:rsidTr="00B86AD4">
        <w:trPr>
          <w:cantSplit/>
        </w:trPr>
        <w:tc>
          <w:tcPr>
            <w:tcW w:w="784" w:type="dxa"/>
          </w:tcPr>
          <w:p w14:paraId="5B434737" w14:textId="77777777" w:rsidR="00DB7BD3" w:rsidRDefault="00CB4873">
            <w:pPr>
              <w:pStyle w:val="cTableBody"/>
            </w:pPr>
            <w:r>
              <w:t>6E</w:t>
            </w:r>
          </w:p>
        </w:tc>
        <w:tc>
          <w:tcPr>
            <w:tcW w:w="4886" w:type="dxa"/>
          </w:tcPr>
          <w:p w14:paraId="3F0FEC90" w14:textId="77777777" w:rsidR="00DB7BD3" w:rsidRDefault="00CB4873">
            <w:pPr>
              <w:pStyle w:val="cTableBody"/>
            </w:pPr>
            <w:r>
              <w:t>Loaded route, curve, grade, transfer, and crane/gantry-handoff demonstrations</w:t>
            </w:r>
          </w:p>
        </w:tc>
        <w:tc>
          <w:tcPr>
            <w:tcW w:w="940" w:type="dxa"/>
          </w:tcPr>
          <w:p w14:paraId="60F31326" w14:textId="77777777" w:rsidR="00DB7BD3" w:rsidRDefault="00CB4873">
            <w:pPr>
              <w:pStyle w:val="cTableBody"/>
            </w:pPr>
            <w:r>
              <w:t>$18M</w:t>
            </w:r>
          </w:p>
        </w:tc>
        <w:tc>
          <w:tcPr>
            <w:tcW w:w="3856" w:type="dxa"/>
          </w:tcPr>
          <w:p w14:paraId="6832738A" w14:textId="77777777" w:rsidR="00DB7BD3" w:rsidRDefault="00CB4873">
            <w:pPr>
              <w:pStyle w:val="cTableBody"/>
            </w:pPr>
            <w:r>
              <w:t>Independent witnessed metrics; failures/nonconformances dispositioned.</w:t>
            </w:r>
          </w:p>
        </w:tc>
      </w:tr>
      <w:tr w:rsidR="00DB7BD3" w14:paraId="29E49C7E" w14:textId="77777777" w:rsidTr="00B86AD4">
        <w:trPr>
          <w:cantSplit/>
        </w:trPr>
        <w:tc>
          <w:tcPr>
            <w:tcW w:w="784" w:type="dxa"/>
          </w:tcPr>
          <w:p w14:paraId="517C581D" w14:textId="77777777" w:rsidR="00DB7BD3" w:rsidRDefault="00CB4873">
            <w:pPr>
              <w:pStyle w:val="cTableBody"/>
            </w:pPr>
            <w:r>
              <w:t>6F</w:t>
            </w:r>
          </w:p>
        </w:tc>
        <w:tc>
          <w:tcPr>
            <w:tcW w:w="4886" w:type="dxa"/>
          </w:tcPr>
          <w:p w14:paraId="2A4D2355" w14:textId="77777777" w:rsidR="00DB7BD3" w:rsidRDefault="00CB4873">
            <w:pPr>
              <w:pStyle w:val="cTableBody"/>
            </w:pPr>
            <w:r>
              <w:t>Open interface standard and deployment package</w:t>
            </w:r>
          </w:p>
        </w:tc>
        <w:tc>
          <w:tcPr>
            <w:tcW w:w="940" w:type="dxa"/>
          </w:tcPr>
          <w:p w14:paraId="6C5142B3" w14:textId="77777777" w:rsidR="00DB7BD3" w:rsidRDefault="00CB4873">
            <w:pPr>
              <w:pStyle w:val="cTableBody"/>
            </w:pPr>
            <w:r>
              <w:t>$8M</w:t>
            </w:r>
          </w:p>
        </w:tc>
        <w:tc>
          <w:tcPr>
            <w:tcW w:w="3856" w:type="dxa"/>
          </w:tcPr>
          <w:p w14:paraId="0478D088" w14:textId="77777777" w:rsidR="00DB7BD3" w:rsidRDefault="00CB4873">
            <w:pPr>
              <w:pStyle w:val="cTableBody"/>
            </w:pPr>
            <w:r>
              <w:t>Repeated performance plus final source/manufacturing/transition package.</w:t>
            </w:r>
          </w:p>
        </w:tc>
      </w:tr>
    </w:tbl>
    <w:p w14:paraId="42545242" w14:textId="2A1E88D7" w:rsidR="00DB7BD3" w:rsidRDefault="000119DA">
      <w:pPr>
        <w:pStyle w:val="Heading2"/>
      </w:pPr>
      <w:r>
        <w:t>Area 7. Reactor-island and support-module installation automation - $85 million</w:t>
      </w:r>
    </w:p>
    <w:p w14:paraId="37E48891" w14:textId="77777777" w:rsidR="00DB7BD3" w:rsidRDefault="00CB4873">
      <w:r>
        <w:t>Illustrative recipients: HTR/PWR vendor and EPC installation teams; heavy fabrication / robotics / welding / NDE / metrology suppliers; owner-direct installation reviewer.</w:t>
      </w:r>
    </w:p>
    <w:tbl>
      <w:tblPr>
        <w:tblStyle w:val="gswTableStyle"/>
        <w:tblW w:w="10466" w:type="dxa"/>
        <w:tblInd w:w="172" w:type="dxa"/>
        <w:tblLook w:val="04A0" w:firstRow="1" w:lastRow="0" w:firstColumn="1" w:lastColumn="0" w:noHBand="0" w:noVBand="1"/>
      </w:tblPr>
      <w:tblGrid>
        <w:gridCol w:w="784"/>
        <w:gridCol w:w="4885"/>
        <w:gridCol w:w="940"/>
        <w:gridCol w:w="3857"/>
      </w:tblGrid>
      <w:tr w:rsidR="00DB7BD3" w14:paraId="24B7CA8F" w14:textId="77777777" w:rsidTr="00B86AD4">
        <w:trPr>
          <w:cnfStyle w:val="100000000000" w:firstRow="1" w:lastRow="0" w:firstColumn="0" w:lastColumn="0" w:oddVBand="0" w:evenVBand="0" w:oddHBand="0" w:evenHBand="0" w:firstRowFirstColumn="0" w:firstRowLastColumn="0" w:lastRowFirstColumn="0" w:lastRowLastColumn="0"/>
          <w:cantSplit/>
          <w:tblHeader/>
        </w:trPr>
        <w:tc>
          <w:tcPr>
            <w:tcW w:w="784" w:type="dxa"/>
          </w:tcPr>
          <w:p w14:paraId="5557ED4E" w14:textId="77777777" w:rsidR="00DB7BD3" w:rsidRDefault="00CB4873">
            <w:pPr>
              <w:pStyle w:val="cTableHeader"/>
            </w:pPr>
            <w:r>
              <w:t>PO</w:t>
            </w:r>
          </w:p>
        </w:tc>
        <w:tc>
          <w:tcPr>
            <w:tcW w:w="4885" w:type="dxa"/>
          </w:tcPr>
          <w:p w14:paraId="29379FE1" w14:textId="77777777" w:rsidR="00DB7BD3" w:rsidRDefault="00CB4873">
            <w:pPr>
              <w:pStyle w:val="cTableHeader"/>
            </w:pPr>
            <w:r>
              <w:t>Illustrative procurement / deliverable</w:t>
            </w:r>
          </w:p>
        </w:tc>
        <w:tc>
          <w:tcPr>
            <w:tcW w:w="940" w:type="dxa"/>
          </w:tcPr>
          <w:p w14:paraId="55FD4CB5" w14:textId="77777777" w:rsidR="00DB7BD3" w:rsidRDefault="00CB4873">
            <w:pPr>
              <w:pStyle w:val="cTableHeader"/>
            </w:pPr>
            <w:r>
              <w:t>Amount</w:t>
            </w:r>
          </w:p>
        </w:tc>
        <w:tc>
          <w:tcPr>
            <w:tcW w:w="3857" w:type="dxa"/>
          </w:tcPr>
          <w:p w14:paraId="7174B104" w14:textId="77777777" w:rsidR="00DB7BD3" w:rsidRDefault="00CB4873">
            <w:pPr>
              <w:pStyle w:val="cTableHeader"/>
            </w:pPr>
            <w:r>
              <w:t>Technical acceptance</w:t>
            </w:r>
          </w:p>
        </w:tc>
      </w:tr>
      <w:tr w:rsidR="00DB7BD3" w14:paraId="4963DC9F" w14:textId="77777777" w:rsidTr="00B86AD4">
        <w:trPr>
          <w:cantSplit/>
        </w:trPr>
        <w:tc>
          <w:tcPr>
            <w:tcW w:w="784" w:type="dxa"/>
          </w:tcPr>
          <w:p w14:paraId="39E29D33" w14:textId="77777777" w:rsidR="00DB7BD3" w:rsidRDefault="00CB4873">
            <w:pPr>
              <w:pStyle w:val="cTableBody"/>
            </w:pPr>
            <w:r>
              <w:t>7A</w:t>
            </w:r>
          </w:p>
        </w:tc>
        <w:tc>
          <w:tcPr>
            <w:tcW w:w="4885" w:type="dxa"/>
          </w:tcPr>
          <w:p w14:paraId="45B591C8" w14:textId="77777777" w:rsidR="00DB7BD3" w:rsidRDefault="00CB4873">
            <w:pPr>
              <w:pStyle w:val="cTableBody"/>
            </w:pPr>
            <w:r>
              <w:t>Module, datum, connection, tolerance, and inspection architecture</w:t>
            </w:r>
          </w:p>
        </w:tc>
        <w:tc>
          <w:tcPr>
            <w:tcW w:w="940" w:type="dxa"/>
          </w:tcPr>
          <w:p w14:paraId="61A680D8" w14:textId="77777777" w:rsidR="00DB7BD3" w:rsidRDefault="00CB4873">
            <w:pPr>
              <w:pStyle w:val="cTableBody"/>
            </w:pPr>
            <w:r>
              <w:t>$8M</w:t>
            </w:r>
          </w:p>
        </w:tc>
        <w:tc>
          <w:tcPr>
            <w:tcW w:w="3857" w:type="dxa"/>
          </w:tcPr>
          <w:p w14:paraId="4BA9BA7B" w14:textId="77777777" w:rsidR="00DB7BD3" w:rsidRDefault="00CB4873">
            <w:pPr>
              <w:pStyle w:val="cTableBody"/>
            </w:pPr>
            <w:r>
              <w:t>Controlled design/interfaces accepted; independent review findings dispositioned.</w:t>
            </w:r>
          </w:p>
        </w:tc>
      </w:tr>
      <w:tr w:rsidR="00DB7BD3" w14:paraId="1B8AFC71" w14:textId="77777777" w:rsidTr="00B86AD4">
        <w:trPr>
          <w:cantSplit/>
        </w:trPr>
        <w:tc>
          <w:tcPr>
            <w:tcW w:w="784" w:type="dxa"/>
          </w:tcPr>
          <w:p w14:paraId="171394BC" w14:textId="77777777" w:rsidR="00DB7BD3" w:rsidRDefault="00CB4873">
            <w:pPr>
              <w:pStyle w:val="cTableBody"/>
            </w:pPr>
            <w:r>
              <w:lastRenderedPageBreak/>
              <w:t>7B</w:t>
            </w:r>
          </w:p>
        </w:tc>
        <w:tc>
          <w:tcPr>
            <w:tcW w:w="4885" w:type="dxa"/>
          </w:tcPr>
          <w:p w14:paraId="653DA305" w14:textId="77777777" w:rsidR="00DB7BD3" w:rsidRDefault="00CB4873">
            <w:pPr>
              <w:pStyle w:val="cTableBody"/>
            </w:pPr>
            <w:r>
              <w:t>HTR reactor-vessel, steam-generator, and support-module simulators</w:t>
            </w:r>
          </w:p>
        </w:tc>
        <w:tc>
          <w:tcPr>
            <w:tcW w:w="940" w:type="dxa"/>
          </w:tcPr>
          <w:p w14:paraId="08A3F5E6" w14:textId="77777777" w:rsidR="00DB7BD3" w:rsidRDefault="00CB4873">
            <w:pPr>
              <w:pStyle w:val="cTableBody"/>
            </w:pPr>
            <w:r>
              <w:t>$12M</w:t>
            </w:r>
          </w:p>
        </w:tc>
        <w:tc>
          <w:tcPr>
            <w:tcW w:w="3857" w:type="dxa"/>
          </w:tcPr>
          <w:p w14:paraId="151D2E6E" w14:textId="77777777" w:rsidR="00DB7BD3" w:rsidRDefault="00CB4873">
            <w:pPr>
              <w:pStyle w:val="cTableBody"/>
            </w:pPr>
            <w:r>
              <w:t>As-built/subsystem tests passed; source and QA records accepted.</w:t>
            </w:r>
          </w:p>
        </w:tc>
      </w:tr>
      <w:tr w:rsidR="00DB7BD3" w14:paraId="1232D9F9" w14:textId="77777777" w:rsidTr="00B86AD4">
        <w:trPr>
          <w:cantSplit/>
        </w:trPr>
        <w:tc>
          <w:tcPr>
            <w:tcW w:w="784" w:type="dxa"/>
          </w:tcPr>
          <w:p w14:paraId="3E0343A8" w14:textId="77777777" w:rsidR="00DB7BD3" w:rsidRDefault="00CB4873">
            <w:pPr>
              <w:pStyle w:val="cTableBody"/>
            </w:pPr>
            <w:r>
              <w:t>7C</w:t>
            </w:r>
          </w:p>
        </w:tc>
        <w:tc>
          <w:tcPr>
            <w:tcW w:w="4885" w:type="dxa"/>
          </w:tcPr>
          <w:p w14:paraId="1E475E3F" w14:textId="77777777" w:rsidR="00DB7BD3" w:rsidRDefault="00CB4873">
            <w:pPr>
              <w:pStyle w:val="cTableBody"/>
            </w:pPr>
            <w:r>
              <w:t>PWR reactor-vessel, steam-generator, pressurizer, pump, and structural-module simulators</w:t>
            </w:r>
          </w:p>
        </w:tc>
        <w:tc>
          <w:tcPr>
            <w:tcW w:w="940" w:type="dxa"/>
          </w:tcPr>
          <w:p w14:paraId="32F7650A" w14:textId="77777777" w:rsidR="00DB7BD3" w:rsidRDefault="00CB4873">
            <w:pPr>
              <w:pStyle w:val="cTableBody"/>
            </w:pPr>
            <w:r>
              <w:t>$15M</w:t>
            </w:r>
          </w:p>
        </w:tc>
        <w:tc>
          <w:tcPr>
            <w:tcW w:w="3857" w:type="dxa"/>
          </w:tcPr>
          <w:p w14:paraId="57EBF56A" w14:textId="77777777" w:rsidR="00DB7BD3" w:rsidRDefault="00CB4873">
            <w:pPr>
              <w:pStyle w:val="cTableBody"/>
            </w:pPr>
            <w:r>
              <w:t>As-built/subsystem tests passed; source and QA records accepted.</w:t>
            </w:r>
          </w:p>
        </w:tc>
      </w:tr>
      <w:tr w:rsidR="00DB7BD3" w14:paraId="4D7872BC" w14:textId="77777777" w:rsidTr="00B86AD4">
        <w:trPr>
          <w:cantSplit/>
        </w:trPr>
        <w:tc>
          <w:tcPr>
            <w:tcW w:w="784" w:type="dxa"/>
          </w:tcPr>
          <w:p w14:paraId="43E0DF9A" w14:textId="77777777" w:rsidR="00DB7BD3" w:rsidRDefault="00CB4873">
            <w:pPr>
              <w:pStyle w:val="cTableBody"/>
            </w:pPr>
            <w:r>
              <w:t>7D</w:t>
            </w:r>
          </w:p>
        </w:tc>
        <w:tc>
          <w:tcPr>
            <w:tcW w:w="4885" w:type="dxa"/>
          </w:tcPr>
          <w:p w14:paraId="24EEEEFD" w14:textId="77777777" w:rsidR="00DB7BD3" w:rsidRDefault="00CB4873">
            <w:pPr>
              <w:pStyle w:val="cTableBody"/>
            </w:pPr>
            <w:r>
              <w:t>Placement, alignment, bolting, fit-up, welding-assist, NDE, and connection tools</w:t>
            </w:r>
          </w:p>
        </w:tc>
        <w:tc>
          <w:tcPr>
            <w:tcW w:w="940" w:type="dxa"/>
          </w:tcPr>
          <w:p w14:paraId="7D5323CB" w14:textId="77777777" w:rsidR="00DB7BD3" w:rsidRDefault="00CB4873">
            <w:pPr>
              <w:pStyle w:val="cTableBody"/>
            </w:pPr>
            <w:r>
              <w:t>$20M</w:t>
            </w:r>
          </w:p>
        </w:tc>
        <w:tc>
          <w:tcPr>
            <w:tcW w:w="3857" w:type="dxa"/>
          </w:tcPr>
          <w:p w14:paraId="79911250" w14:textId="77777777" w:rsidR="00DB7BD3" w:rsidRDefault="00CB4873">
            <w:pPr>
              <w:pStyle w:val="cTableBody"/>
            </w:pPr>
            <w:r>
              <w:t>As-built/subsystem tests passed; source and QA records accepted.</w:t>
            </w:r>
          </w:p>
        </w:tc>
      </w:tr>
      <w:tr w:rsidR="00DB7BD3" w14:paraId="56AC59F6" w14:textId="77777777" w:rsidTr="00B86AD4">
        <w:trPr>
          <w:cantSplit/>
        </w:trPr>
        <w:tc>
          <w:tcPr>
            <w:tcW w:w="784" w:type="dxa"/>
          </w:tcPr>
          <w:p w14:paraId="20D670E3" w14:textId="77777777" w:rsidR="00DB7BD3" w:rsidRDefault="00CB4873">
            <w:pPr>
              <w:pStyle w:val="cTableBody"/>
            </w:pPr>
            <w:r>
              <w:t>7E</w:t>
            </w:r>
          </w:p>
        </w:tc>
        <w:tc>
          <w:tcPr>
            <w:tcW w:w="4885" w:type="dxa"/>
          </w:tcPr>
          <w:p w14:paraId="5DB57F18" w14:textId="77777777" w:rsidR="00DB7BD3" w:rsidRDefault="00CB4873">
            <w:pPr>
              <w:pStyle w:val="cTableBody"/>
            </w:pPr>
            <w:r>
              <w:t>Dual-track end-to-end installation and repeatability demonstrations</w:t>
            </w:r>
          </w:p>
        </w:tc>
        <w:tc>
          <w:tcPr>
            <w:tcW w:w="940" w:type="dxa"/>
          </w:tcPr>
          <w:p w14:paraId="16D99244" w14:textId="77777777" w:rsidR="00DB7BD3" w:rsidRDefault="00CB4873">
            <w:pPr>
              <w:pStyle w:val="cTableBody"/>
            </w:pPr>
            <w:r>
              <w:t>$22M</w:t>
            </w:r>
          </w:p>
        </w:tc>
        <w:tc>
          <w:tcPr>
            <w:tcW w:w="3857" w:type="dxa"/>
          </w:tcPr>
          <w:p w14:paraId="33CCE650" w14:textId="77777777" w:rsidR="00DB7BD3" w:rsidRDefault="00CB4873">
            <w:pPr>
              <w:pStyle w:val="cTableBody"/>
            </w:pPr>
            <w:r>
              <w:t>Independent witnessed metrics; failures/nonconformances dispositioned.</w:t>
            </w:r>
          </w:p>
        </w:tc>
      </w:tr>
      <w:tr w:rsidR="00DB7BD3" w14:paraId="26BEDA86" w14:textId="77777777" w:rsidTr="00B86AD4">
        <w:trPr>
          <w:cantSplit/>
        </w:trPr>
        <w:tc>
          <w:tcPr>
            <w:tcW w:w="784" w:type="dxa"/>
          </w:tcPr>
          <w:p w14:paraId="2D041679" w14:textId="77777777" w:rsidR="00DB7BD3" w:rsidRDefault="00CB4873">
            <w:pPr>
              <w:pStyle w:val="cTableBody"/>
            </w:pPr>
            <w:r>
              <w:t>7F</w:t>
            </w:r>
          </w:p>
        </w:tc>
        <w:tc>
          <w:tcPr>
            <w:tcW w:w="4885" w:type="dxa"/>
          </w:tcPr>
          <w:p w14:paraId="10DEED36" w14:textId="77777777" w:rsidR="00DB7BD3" w:rsidRDefault="00CB4873">
            <w:pPr>
              <w:pStyle w:val="cTableBody"/>
            </w:pPr>
            <w:r>
              <w:t>Final interface standard and nuclear-qualification gap plan</w:t>
            </w:r>
          </w:p>
        </w:tc>
        <w:tc>
          <w:tcPr>
            <w:tcW w:w="940" w:type="dxa"/>
          </w:tcPr>
          <w:p w14:paraId="533EEE82" w14:textId="77777777" w:rsidR="00DB7BD3" w:rsidRDefault="00CB4873">
            <w:pPr>
              <w:pStyle w:val="cTableBody"/>
            </w:pPr>
            <w:r>
              <w:t>$8M</w:t>
            </w:r>
          </w:p>
        </w:tc>
        <w:tc>
          <w:tcPr>
            <w:tcW w:w="3857" w:type="dxa"/>
          </w:tcPr>
          <w:p w14:paraId="3050CC6A" w14:textId="77777777" w:rsidR="00DB7BD3" w:rsidRDefault="00CB4873">
            <w:pPr>
              <w:pStyle w:val="cTableBody"/>
            </w:pPr>
            <w:r>
              <w:t>Repeated performance plus final source/manufacturing/transition package.</w:t>
            </w:r>
          </w:p>
        </w:tc>
      </w:tr>
    </w:tbl>
    <w:p w14:paraId="02D1FC42" w14:textId="7074736C" w:rsidR="00DB7BD3" w:rsidRDefault="000119DA">
      <w:pPr>
        <w:pStyle w:val="Heading2"/>
      </w:pPr>
      <w:r>
        <w:t>Area 8. Digital twin, autonomy, metrology, and nuclear QA data thread - $65 million</w:t>
      </w:r>
    </w:p>
    <w:p w14:paraId="4CC71E95" w14:textId="77777777" w:rsidR="00DB7BD3" w:rsidRDefault="00CB4873">
      <w:r>
        <w:t>Illustrative recipients: Industrial digital/controls providers; universities; metrology and nuclear-QA specialists; independent software V&amp;V and cyber teams.</w:t>
      </w:r>
    </w:p>
    <w:tbl>
      <w:tblPr>
        <w:tblStyle w:val="gswTableStyle"/>
        <w:tblW w:w="10466" w:type="dxa"/>
        <w:tblInd w:w="172" w:type="dxa"/>
        <w:tblLook w:val="04A0" w:firstRow="1" w:lastRow="0" w:firstColumn="1" w:lastColumn="0" w:noHBand="0" w:noVBand="1"/>
      </w:tblPr>
      <w:tblGrid>
        <w:gridCol w:w="782"/>
        <w:gridCol w:w="4891"/>
        <w:gridCol w:w="940"/>
        <w:gridCol w:w="3853"/>
      </w:tblGrid>
      <w:tr w:rsidR="00DB7BD3" w14:paraId="4F2628BA" w14:textId="77777777" w:rsidTr="00B86AD4">
        <w:trPr>
          <w:cnfStyle w:val="100000000000" w:firstRow="1" w:lastRow="0" w:firstColumn="0" w:lastColumn="0" w:oddVBand="0" w:evenVBand="0" w:oddHBand="0" w:evenHBand="0" w:firstRowFirstColumn="0" w:firstRowLastColumn="0" w:lastRowFirstColumn="0" w:lastRowLastColumn="0"/>
          <w:cantSplit/>
          <w:tblHeader/>
        </w:trPr>
        <w:tc>
          <w:tcPr>
            <w:tcW w:w="782" w:type="dxa"/>
          </w:tcPr>
          <w:p w14:paraId="0DED1339" w14:textId="77777777" w:rsidR="00DB7BD3" w:rsidRDefault="00CB4873">
            <w:pPr>
              <w:pStyle w:val="cTableHeader"/>
            </w:pPr>
            <w:r>
              <w:t>PO</w:t>
            </w:r>
          </w:p>
        </w:tc>
        <w:tc>
          <w:tcPr>
            <w:tcW w:w="4891" w:type="dxa"/>
          </w:tcPr>
          <w:p w14:paraId="5B073B0F" w14:textId="77777777" w:rsidR="00DB7BD3" w:rsidRDefault="00CB4873">
            <w:pPr>
              <w:pStyle w:val="cTableHeader"/>
            </w:pPr>
            <w:r>
              <w:t>Illustrative procurement / deliverable</w:t>
            </w:r>
          </w:p>
        </w:tc>
        <w:tc>
          <w:tcPr>
            <w:tcW w:w="940" w:type="dxa"/>
          </w:tcPr>
          <w:p w14:paraId="3F71A7FC" w14:textId="77777777" w:rsidR="00DB7BD3" w:rsidRDefault="00CB4873">
            <w:pPr>
              <w:pStyle w:val="cTableHeader"/>
            </w:pPr>
            <w:r>
              <w:t>Amount</w:t>
            </w:r>
          </w:p>
        </w:tc>
        <w:tc>
          <w:tcPr>
            <w:tcW w:w="3853" w:type="dxa"/>
          </w:tcPr>
          <w:p w14:paraId="064639DB" w14:textId="77777777" w:rsidR="00DB7BD3" w:rsidRDefault="00CB4873">
            <w:pPr>
              <w:pStyle w:val="cTableHeader"/>
            </w:pPr>
            <w:r>
              <w:t>Technical acceptance</w:t>
            </w:r>
          </w:p>
        </w:tc>
      </w:tr>
      <w:tr w:rsidR="00DB7BD3" w14:paraId="1D35EBF4" w14:textId="77777777" w:rsidTr="00B86AD4">
        <w:trPr>
          <w:cantSplit/>
        </w:trPr>
        <w:tc>
          <w:tcPr>
            <w:tcW w:w="782" w:type="dxa"/>
          </w:tcPr>
          <w:p w14:paraId="05F53AD2" w14:textId="77777777" w:rsidR="00DB7BD3" w:rsidRDefault="00CB4873">
            <w:pPr>
              <w:pStyle w:val="cTableBody"/>
            </w:pPr>
            <w:r>
              <w:t>8A</w:t>
            </w:r>
          </w:p>
        </w:tc>
        <w:tc>
          <w:tcPr>
            <w:tcW w:w="4891" w:type="dxa"/>
          </w:tcPr>
          <w:p w14:paraId="2BDE3633" w14:textId="77777777" w:rsidR="00DB7BD3" w:rsidRDefault="00CB4873">
            <w:pPr>
              <w:pStyle w:val="cTableBody"/>
            </w:pPr>
            <w:r>
              <w:t>China data architecture, identifiers, records, access, and cybersecurity</w:t>
            </w:r>
          </w:p>
        </w:tc>
        <w:tc>
          <w:tcPr>
            <w:tcW w:w="940" w:type="dxa"/>
          </w:tcPr>
          <w:p w14:paraId="06D206F1" w14:textId="77777777" w:rsidR="00DB7BD3" w:rsidRDefault="00CB4873">
            <w:pPr>
              <w:pStyle w:val="cTableBody"/>
            </w:pPr>
            <w:r>
              <w:t>$8M</w:t>
            </w:r>
          </w:p>
        </w:tc>
        <w:tc>
          <w:tcPr>
            <w:tcW w:w="3853" w:type="dxa"/>
          </w:tcPr>
          <w:p w14:paraId="4260F8CF" w14:textId="77777777" w:rsidR="00DB7BD3" w:rsidRDefault="00CB4873">
            <w:pPr>
              <w:pStyle w:val="cTableBody"/>
            </w:pPr>
            <w:r>
              <w:t>Controlled design/interfaces accepted; independent review findings dispositioned.</w:t>
            </w:r>
          </w:p>
        </w:tc>
      </w:tr>
      <w:tr w:rsidR="00DB7BD3" w14:paraId="216A531D" w14:textId="77777777" w:rsidTr="00B86AD4">
        <w:trPr>
          <w:cantSplit/>
        </w:trPr>
        <w:tc>
          <w:tcPr>
            <w:tcW w:w="782" w:type="dxa"/>
          </w:tcPr>
          <w:p w14:paraId="38A99F72" w14:textId="77777777" w:rsidR="00DB7BD3" w:rsidRDefault="00CB4873">
            <w:pPr>
              <w:pStyle w:val="cTableBody"/>
            </w:pPr>
            <w:r>
              <w:t>8B</w:t>
            </w:r>
          </w:p>
        </w:tc>
        <w:tc>
          <w:tcPr>
            <w:tcW w:w="4891" w:type="dxa"/>
          </w:tcPr>
          <w:p w14:paraId="5E56ADE8" w14:textId="77777777" w:rsidR="00DB7BD3" w:rsidRDefault="00CB4873">
            <w:pPr>
              <w:pStyle w:val="cTableBody"/>
            </w:pPr>
            <w:r>
              <w:t>HTR and PWR plant/site/machine/logistics 4-D digital twins</w:t>
            </w:r>
          </w:p>
        </w:tc>
        <w:tc>
          <w:tcPr>
            <w:tcW w:w="940" w:type="dxa"/>
          </w:tcPr>
          <w:p w14:paraId="3E5A80C9" w14:textId="77777777" w:rsidR="00DB7BD3" w:rsidRDefault="00CB4873">
            <w:pPr>
              <w:pStyle w:val="cTableBody"/>
            </w:pPr>
            <w:r>
              <w:t>$12M</w:t>
            </w:r>
          </w:p>
        </w:tc>
        <w:tc>
          <w:tcPr>
            <w:tcW w:w="3853" w:type="dxa"/>
          </w:tcPr>
          <w:p w14:paraId="310B8140" w14:textId="77777777" w:rsidR="00DB7BD3" w:rsidRDefault="00CB4873">
            <w:pPr>
              <w:pStyle w:val="cTableBody"/>
            </w:pPr>
            <w:r>
              <w:t>Controlled design/interfaces accepted; independent review findings dispositioned.</w:t>
            </w:r>
          </w:p>
        </w:tc>
      </w:tr>
      <w:tr w:rsidR="00DB7BD3" w14:paraId="3B84A708" w14:textId="77777777" w:rsidTr="00B86AD4">
        <w:trPr>
          <w:cantSplit/>
        </w:trPr>
        <w:tc>
          <w:tcPr>
            <w:tcW w:w="782" w:type="dxa"/>
          </w:tcPr>
          <w:p w14:paraId="0703315E" w14:textId="77777777" w:rsidR="00DB7BD3" w:rsidRDefault="00CB4873">
            <w:pPr>
              <w:pStyle w:val="cTableBody"/>
            </w:pPr>
            <w:r>
              <w:t>8C</w:t>
            </w:r>
          </w:p>
        </w:tc>
        <w:tc>
          <w:tcPr>
            <w:tcW w:w="4891" w:type="dxa"/>
          </w:tcPr>
          <w:p w14:paraId="20898E9C" w14:textId="77777777" w:rsidR="00DB7BD3" w:rsidRDefault="00CB4873">
            <w:pPr>
              <w:pStyle w:val="cTableBody"/>
            </w:pPr>
            <w:r>
              <w:t>Supervisory autonomy, geofencing, safe stop, intervention, and fault recovery</w:t>
            </w:r>
          </w:p>
        </w:tc>
        <w:tc>
          <w:tcPr>
            <w:tcW w:w="940" w:type="dxa"/>
          </w:tcPr>
          <w:p w14:paraId="5830B7A2" w14:textId="77777777" w:rsidR="00DB7BD3" w:rsidRDefault="00CB4873">
            <w:pPr>
              <w:pStyle w:val="cTableBody"/>
            </w:pPr>
            <w:r>
              <w:t>$15M</w:t>
            </w:r>
          </w:p>
        </w:tc>
        <w:tc>
          <w:tcPr>
            <w:tcW w:w="3853" w:type="dxa"/>
          </w:tcPr>
          <w:p w14:paraId="6001AE32" w14:textId="77777777" w:rsidR="00DB7BD3" w:rsidRDefault="00CB4873">
            <w:pPr>
              <w:pStyle w:val="cTableBody"/>
            </w:pPr>
            <w:r>
              <w:t>Controlled design/interfaces accepted; independent review findings dispositioned.</w:t>
            </w:r>
          </w:p>
        </w:tc>
      </w:tr>
      <w:tr w:rsidR="00DB7BD3" w14:paraId="78BBDCB8" w14:textId="77777777" w:rsidTr="00B86AD4">
        <w:trPr>
          <w:cantSplit/>
        </w:trPr>
        <w:tc>
          <w:tcPr>
            <w:tcW w:w="782" w:type="dxa"/>
          </w:tcPr>
          <w:p w14:paraId="6B08A2D7" w14:textId="77777777" w:rsidR="00DB7BD3" w:rsidRDefault="00CB4873">
            <w:pPr>
              <w:pStyle w:val="cTableBody"/>
            </w:pPr>
            <w:r>
              <w:t>8D</w:t>
            </w:r>
          </w:p>
        </w:tc>
        <w:tc>
          <w:tcPr>
            <w:tcW w:w="4891" w:type="dxa"/>
          </w:tcPr>
          <w:p w14:paraId="455BF024" w14:textId="77777777" w:rsidR="00DB7BD3" w:rsidRDefault="00CB4873">
            <w:pPr>
              <w:pStyle w:val="cTableBody"/>
            </w:pPr>
            <w:r>
              <w:t>Metrology, material traceability, inspection, NDE, and nonconformance integration</w:t>
            </w:r>
          </w:p>
        </w:tc>
        <w:tc>
          <w:tcPr>
            <w:tcW w:w="940" w:type="dxa"/>
          </w:tcPr>
          <w:p w14:paraId="73186D6A" w14:textId="77777777" w:rsidR="00DB7BD3" w:rsidRDefault="00CB4873">
            <w:pPr>
              <w:pStyle w:val="cTableBody"/>
            </w:pPr>
            <w:r>
              <w:t>$12M</w:t>
            </w:r>
          </w:p>
        </w:tc>
        <w:tc>
          <w:tcPr>
            <w:tcW w:w="3853" w:type="dxa"/>
          </w:tcPr>
          <w:p w14:paraId="0B2A81A2" w14:textId="77777777" w:rsidR="00DB7BD3" w:rsidRDefault="00CB4873">
            <w:pPr>
              <w:pStyle w:val="cTableBody"/>
            </w:pPr>
            <w:r>
              <w:t>Controlled design/interfaces accepted; independent review findings dispositioned.</w:t>
            </w:r>
          </w:p>
        </w:tc>
      </w:tr>
      <w:tr w:rsidR="00DB7BD3" w14:paraId="27D76F71" w14:textId="77777777" w:rsidTr="00B86AD4">
        <w:trPr>
          <w:cantSplit/>
        </w:trPr>
        <w:tc>
          <w:tcPr>
            <w:tcW w:w="782" w:type="dxa"/>
          </w:tcPr>
          <w:p w14:paraId="5A0F79E0" w14:textId="77777777" w:rsidR="00DB7BD3" w:rsidRDefault="00CB4873">
            <w:pPr>
              <w:pStyle w:val="cTableBody"/>
            </w:pPr>
            <w:r>
              <w:t>8E</w:t>
            </w:r>
          </w:p>
        </w:tc>
        <w:tc>
          <w:tcPr>
            <w:tcW w:w="4891" w:type="dxa"/>
          </w:tcPr>
          <w:p w14:paraId="1EC36A1B" w14:textId="77777777" w:rsidR="00DB7BD3" w:rsidRDefault="00CB4873">
            <w:pPr>
              <w:pStyle w:val="cTableBody"/>
            </w:pPr>
            <w:r>
              <w:t>Pilot operating center and cyber/safety exercises</w:t>
            </w:r>
          </w:p>
        </w:tc>
        <w:tc>
          <w:tcPr>
            <w:tcW w:w="940" w:type="dxa"/>
          </w:tcPr>
          <w:p w14:paraId="49CA5E95" w14:textId="77777777" w:rsidR="00DB7BD3" w:rsidRDefault="00CB4873">
            <w:pPr>
              <w:pStyle w:val="cTableBody"/>
            </w:pPr>
            <w:r>
              <w:t>$10M</w:t>
            </w:r>
          </w:p>
        </w:tc>
        <w:tc>
          <w:tcPr>
            <w:tcW w:w="3853" w:type="dxa"/>
          </w:tcPr>
          <w:p w14:paraId="739B4C9F" w14:textId="77777777" w:rsidR="00DB7BD3" w:rsidRDefault="00CB4873">
            <w:pPr>
              <w:pStyle w:val="cTableBody"/>
            </w:pPr>
            <w:r>
              <w:t>Independent witnessed metrics; failures/nonconformances dispositioned.</w:t>
            </w:r>
          </w:p>
        </w:tc>
      </w:tr>
      <w:tr w:rsidR="00DB7BD3" w14:paraId="4C1E2C54" w14:textId="77777777" w:rsidTr="00B86AD4">
        <w:trPr>
          <w:cantSplit/>
        </w:trPr>
        <w:tc>
          <w:tcPr>
            <w:tcW w:w="782" w:type="dxa"/>
          </w:tcPr>
          <w:p w14:paraId="0EDB0950" w14:textId="77777777" w:rsidR="00DB7BD3" w:rsidRDefault="00CB4873">
            <w:pPr>
              <w:pStyle w:val="cTableBody"/>
            </w:pPr>
            <w:r>
              <w:t>8F</w:t>
            </w:r>
          </w:p>
        </w:tc>
        <w:tc>
          <w:tcPr>
            <w:tcW w:w="4891" w:type="dxa"/>
          </w:tcPr>
          <w:p w14:paraId="0400EB94" w14:textId="77777777" w:rsidR="00DB7BD3" w:rsidRDefault="00CB4873">
            <w:pPr>
              <w:pStyle w:val="cTableBody"/>
            </w:pPr>
            <w:r>
              <w:t>Open software/data release and regulated handoff package</w:t>
            </w:r>
          </w:p>
        </w:tc>
        <w:tc>
          <w:tcPr>
            <w:tcW w:w="940" w:type="dxa"/>
          </w:tcPr>
          <w:p w14:paraId="325A3202" w14:textId="77777777" w:rsidR="00DB7BD3" w:rsidRDefault="00CB4873">
            <w:pPr>
              <w:pStyle w:val="cTableBody"/>
            </w:pPr>
            <w:r>
              <w:t>$8M</w:t>
            </w:r>
          </w:p>
        </w:tc>
        <w:tc>
          <w:tcPr>
            <w:tcW w:w="3853" w:type="dxa"/>
          </w:tcPr>
          <w:p w14:paraId="493D34C4" w14:textId="77777777" w:rsidR="00DB7BD3" w:rsidRDefault="00CB4873">
            <w:pPr>
              <w:pStyle w:val="cTableBody"/>
            </w:pPr>
            <w:r>
              <w:t>Repeated performance plus final source/manufacturing/transition package.</w:t>
            </w:r>
          </w:p>
        </w:tc>
      </w:tr>
    </w:tbl>
    <w:p w14:paraId="3C976649" w14:textId="3E7CF5D6" w:rsidR="00DB7BD3" w:rsidRDefault="000119DA">
      <w:pPr>
        <w:pStyle w:val="Heading2"/>
      </w:pPr>
      <w:r>
        <w:t>Area 9. Integrated dual-track pilot site and end-to-end demonstration - $55 million</w:t>
      </w:r>
    </w:p>
    <w:p w14:paraId="173BDB35" w14:textId="77777777" w:rsidR="00DB7BD3" w:rsidRDefault="00CB4873">
      <w:r>
        <w:t>Illustrative recipients: Neutral China-based system integrator / pilot contractor with HTR and PWR test-zone leads; owner-direct safety, quality, cost, and schedule witnesses.</w:t>
      </w:r>
    </w:p>
    <w:tbl>
      <w:tblPr>
        <w:tblStyle w:val="gswTableStyle"/>
        <w:tblW w:w="10376" w:type="dxa"/>
        <w:tblInd w:w="172" w:type="dxa"/>
        <w:tblLook w:val="04A0" w:firstRow="1" w:lastRow="0" w:firstColumn="1" w:lastColumn="0" w:noHBand="0" w:noVBand="1"/>
      </w:tblPr>
      <w:tblGrid>
        <w:gridCol w:w="784"/>
        <w:gridCol w:w="4885"/>
        <w:gridCol w:w="940"/>
        <w:gridCol w:w="3767"/>
      </w:tblGrid>
      <w:tr w:rsidR="00DB7BD3" w14:paraId="6AA32A82" w14:textId="77777777" w:rsidTr="00B86AD4">
        <w:trPr>
          <w:cnfStyle w:val="100000000000" w:firstRow="1" w:lastRow="0" w:firstColumn="0" w:lastColumn="0" w:oddVBand="0" w:evenVBand="0" w:oddHBand="0" w:evenHBand="0" w:firstRowFirstColumn="0" w:firstRowLastColumn="0" w:lastRowFirstColumn="0" w:lastRowLastColumn="0"/>
          <w:cantSplit/>
          <w:tblHeader/>
        </w:trPr>
        <w:tc>
          <w:tcPr>
            <w:tcW w:w="784" w:type="dxa"/>
          </w:tcPr>
          <w:p w14:paraId="6E554E2D" w14:textId="77777777" w:rsidR="00DB7BD3" w:rsidRDefault="00CB4873">
            <w:pPr>
              <w:pStyle w:val="cTableHeader"/>
            </w:pPr>
            <w:r>
              <w:lastRenderedPageBreak/>
              <w:t>PO</w:t>
            </w:r>
          </w:p>
        </w:tc>
        <w:tc>
          <w:tcPr>
            <w:tcW w:w="4885" w:type="dxa"/>
          </w:tcPr>
          <w:p w14:paraId="59A510F4" w14:textId="77777777" w:rsidR="00DB7BD3" w:rsidRDefault="00CB4873">
            <w:pPr>
              <w:pStyle w:val="cTableHeader"/>
            </w:pPr>
            <w:r>
              <w:t>Illustrative procurement / deliverable</w:t>
            </w:r>
          </w:p>
        </w:tc>
        <w:tc>
          <w:tcPr>
            <w:tcW w:w="940" w:type="dxa"/>
          </w:tcPr>
          <w:p w14:paraId="2C883D2E" w14:textId="77777777" w:rsidR="00DB7BD3" w:rsidRDefault="00CB4873">
            <w:pPr>
              <w:pStyle w:val="cTableHeader"/>
            </w:pPr>
            <w:r>
              <w:t>Amount</w:t>
            </w:r>
          </w:p>
        </w:tc>
        <w:tc>
          <w:tcPr>
            <w:tcW w:w="3767" w:type="dxa"/>
          </w:tcPr>
          <w:p w14:paraId="019FCDB4" w14:textId="77777777" w:rsidR="00DB7BD3" w:rsidRDefault="00CB4873">
            <w:pPr>
              <w:pStyle w:val="cTableHeader"/>
            </w:pPr>
            <w:r>
              <w:t>Technical acceptance</w:t>
            </w:r>
          </w:p>
        </w:tc>
      </w:tr>
      <w:tr w:rsidR="00DB7BD3" w14:paraId="02792EC1" w14:textId="77777777" w:rsidTr="00B86AD4">
        <w:trPr>
          <w:cantSplit/>
        </w:trPr>
        <w:tc>
          <w:tcPr>
            <w:tcW w:w="784" w:type="dxa"/>
          </w:tcPr>
          <w:p w14:paraId="10A2BF4E" w14:textId="77777777" w:rsidR="00DB7BD3" w:rsidRDefault="00CB4873">
            <w:pPr>
              <w:pStyle w:val="cTableBody"/>
            </w:pPr>
            <w:r>
              <w:t>9A</w:t>
            </w:r>
          </w:p>
        </w:tc>
        <w:tc>
          <w:tcPr>
            <w:tcW w:w="4885" w:type="dxa"/>
          </w:tcPr>
          <w:p w14:paraId="4E91DEDD" w14:textId="77777777" w:rsidR="00DB7BD3" w:rsidRDefault="00CB4873">
            <w:pPr>
              <w:pStyle w:val="cTableBody"/>
            </w:pPr>
            <w:r>
              <w:t>China pilot-site selection, environmental review, and dual-track design</w:t>
            </w:r>
          </w:p>
        </w:tc>
        <w:tc>
          <w:tcPr>
            <w:tcW w:w="940" w:type="dxa"/>
          </w:tcPr>
          <w:p w14:paraId="4D1FA1B8" w14:textId="77777777" w:rsidR="00DB7BD3" w:rsidRDefault="00CB4873">
            <w:pPr>
              <w:pStyle w:val="cTableBody"/>
            </w:pPr>
            <w:r>
              <w:t>$7M</w:t>
            </w:r>
          </w:p>
        </w:tc>
        <w:tc>
          <w:tcPr>
            <w:tcW w:w="3767" w:type="dxa"/>
          </w:tcPr>
          <w:p w14:paraId="518BFD17" w14:textId="77777777" w:rsidR="00DB7BD3" w:rsidRDefault="00CB4873">
            <w:pPr>
              <w:pStyle w:val="cTableBody"/>
            </w:pPr>
            <w:r>
              <w:t>Controlled design/interfaces accepted; independent review findings dispositioned.</w:t>
            </w:r>
          </w:p>
        </w:tc>
      </w:tr>
      <w:tr w:rsidR="00DB7BD3" w14:paraId="70B56EC5" w14:textId="77777777" w:rsidTr="00B86AD4">
        <w:trPr>
          <w:cantSplit/>
        </w:trPr>
        <w:tc>
          <w:tcPr>
            <w:tcW w:w="784" w:type="dxa"/>
          </w:tcPr>
          <w:p w14:paraId="7E035BF4" w14:textId="77777777" w:rsidR="00DB7BD3" w:rsidRDefault="00CB4873">
            <w:pPr>
              <w:pStyle w:val="cTableBody"/>
            </w:pPr>
            <w:r>
              <w:t>9B</w:t>
            </w:r>
          </w:p>
        </w:tc>
        <w:tc>
          <w:tcPr>
            <w:tcW w:w="4885" w:type="dxa"/>
          </w:tcPr>
          <w:p w14:paraId="61EBA889" w14:textId="77777777" w:rsidR="00DB7BD3" w:rsidRDefault="00CB4873">
            <w:pPr>
              <w:pStyle w:val="cTableBody"/>
            </w:pPr>
            <w:r>
              <w:t>Civil works, test zones, tracks/roads, utilities, workshops, control room, and safety systems</w:t>
            </w:r>
          </w:p>
        </w:tc>
        <w:tc>
          <w:tcPr>
            <w:tcW w:w="940" w:type="dxa"/>
          </w:tcPr>
          <w:p w14:paraId="28AD7B25" w14:textId="77777777" w:rsidR="00DB7BD3" w:rsidRDefault="00CB4873">
            <w:pPr>
              <w:pStyle w:val="cTableBody"/>
            </w:pPr>
            <w:r>
              <w:t>$13M</w:t>
            </w:r>
          </w:p>
        </w:tc>
        <w:tc>
          <w:tcPr>
            <w:tcW w:w="3767" w:type="dxa"/>
          </w:tcPr>
          <w:p w14:paraId="2259F915" w14:textId="77777777" w:rsidR="00DB7BD3" w:rsidRDefault="00CB4873">
            <w:pPr>
              <w:pStyle w:val="cTableBody"/>
            </w:pPr>
            <w:r>
              <w:t>As-built/subsystem tests passed; source and QA records accepted.</w:t>
            </w:r>
          </w:p>
        </w:tc>
      </w:tr>
      <w:tr w:rsidR="00DB7BD3" w14:paraId="0EF415A9" w14:textId="77777777" w:rsidTr="00B86AD4">
        <w:trPr>
          <w:cantSplit/>
        </w:trPr>
        <w:tc>
          <w:tcPr>
            <w:tcW w:w="784" w:type="dxa"/>
          </w:tcPr>
          <w:p w14:paraId="7B677B17" w14:textId="77777777" w:rsidR="00DB7BD3" w:rsidRDefault="00CB4873">
            <w:pPr>
              <w:pStyle w:val="cTableBody"/>
            </w:pPr>
            <w:r>
              <w:t>9C</w:t>
            </w:r>
          </w:p>
        </w:tc>
        <w:tc>
          <w:tcPr>
            <w:tcW w:w="4885" w:type="dxa"/>
          </w:tcPr>
          <w:p w14:paraId="4BEA278D" w14:textId="77777777" w:rsidR="00DB7BD3" w:rsidRDefault="00CB4873">
            <w:pPr>
              <w:pStyle w:val="cTableBody"/>
            </w:pPr>
            <w:r>
              <w:t>Subsystem installation and integration</w:t>
            </w:r>
          </w:p>
        </w:tc>
        <w:tc>
          <w:tcPr>
            <w:tcW w:w="940" w:type="dxa"/>
          </w:tcPr>
          <w:p w14:paraId="70FC3259" w14:textId="77777777" w:rsidR="00DB7BD3" w:rsidRDefault="00CB4873">
            <w:pPr>
              <w:pStyle w:val="cTableBody"/>
            </w:pPr>
            <w:r>
              <w:t>$10M</w:t>
            </w:r>
          </w:p>
        </w:tc>
        <w:tc>
          <w:tcPr>
            <w:tcW w:w="3767" w:type="dxa"/>
          </w:tcPr>
          <w:p w14:paraId="16247047" w14:textId="77777777" w:rsidR="00DB7BD3" w:rsidRDefault="00CB4873">
            <w:pPr>
              <w:pStyle w:val="cTableBody"/>
            </w:pPr>
            <w:r>
              <w:t>Controlled design/interfaces accepted; independent review findings dispositioned.</w:t>
            </w:r>
          </w:p>
        </w:tc>
      </w:tr>
      <w:tr w:rsidR="00DB7BD3" w14:paraId="2D3589FF" w14:textId="77777777" w:rsidTr="00B86AD4">
        <w:trPr>
          <w:cantSplit/>
        </w:trPr>
        <w:tc>
          <w:tcPr>
            <w:tcW w:w="784" w:type="dxa"/>
          </w:tcPr>
          <w:p w14:paraId="44EF9AE8" w14:textId="77777777" w:rsidR="00DB7BD3" w:rsidRDefault="00CB4873">
            <w:pPr>
              <w:pStyle w:val="cTableBody"/>
            </w:pPr>
            <w:r>
              <w:t>9D</w:t>
            </w:r>
          </w:p>
        </w:tc>
        <w:tc>
          <w:tcPr>
            <w:tcW w:w="4885" w:type="dxa"/>
          </w:tcPr>
          <w:p w14:paraId="37169E0F" w14:textId="77777777" w:rsidR="00DB7BD3" w:rsidRDefault="00CB4873">
            <w:pPr>
              <w:pStyle w:val="cTableBody"/>
            </w:pPr>
            <w:r>
              <w:t>Progressive commissioning and test-readiness review</w:t>
            </w:r>
          </w:p>
        </w:tc>
        <w:tc>
          <w:tcPr>
            <w:tcW w:w="940" w:type="dxa"/>
          </w:tcPr>
          <w:p w14:paraId="79BA6EE0" w14:textId="77777777" w:rsidR="00DB7BD3" w:rsidRDefault="00CB4873">
            <w:pPr>
              <w:pStyle w:val="cTableBody"/>
            </w:pPr>
            <w:r>
              <w:t>$8M</w:t>
            </w:r>
          </w:p>
        </w:tc>
        <w:tc>
          <w:tcPr>
            <w:tcW w:w="3767" w:type="dxa"/>
          </w:tcPr>
          <w:p w14:paraId="003C87E2" w14:textId="77777777" w:rsidR="00DB7BD3" w:rsidRDefault="00CB4873">
            <w:pPr>
              <w:pStyle w:val="cTableBody"/>
            </w:pPr>
            <w:r>
              <w:t>Independent witnessed metrics; failures/nonconformances dispositioned.</w:t>
            </w:r>
          </w:p>
        </w:tc>
      </w:tr>
      <w:tr w:rsidR="00DB7BD3" w14:paraId="5C045A0B" w14:textId="77777777" w:rsidTr="00B86AD4">
        <w:trPr>
          <w:cantSplit/>
        </w:trPr>
        <w:tc>
          <w:tcPr>
            <w:tcW w:w="784" w:type="dxa"/>
          </w:tcPr>
          <w:p w14:paraId="79FBCB82" w14:textId="77777777" w:rsidR="00DB7BD3" w:rsidRDefault="00CB4873">
            <w:pPr>
              <w:pStyle w:val="cTableBody"/>
            </w:pPr>
            <w:r>
              <w:t>9E</w:t>
            </w:r>
          </w:p>
        </w:tc>
        <w:tc>
          <w:tcPr>
            <w:tcW w:w="4885" w:type="dxa"/>
          </w:tcPr>
          <w:p w14:paraId="4BBB3A94" w14:textId="77777777" w:rsidR="00DB7BD3" w:rsidRDefault="00CB4873">
            <w:pPr>
              <w:pStyle w:val="cTableBody"/>
            </w:pPr>
            <w:r>
              <w:t>Repeated HTR and PWR construction campaigns and independent audit</w:t>
            </w:r>
          </w:p>
        </w:tc>
        <w:tc>
          <w:tcPr>
            <w:tcW w:w="940" w:type="dxa"/>
          </w:tcPr>
          <w:p w14:paraId="68C31F72" w14:textId="77777777" w:rsidR="00DB7BD3" w:rsidRDefault="00CB4873">
            <w:pPr>
              <w:pStyle w:val="cTableBody"/>
            </w:pPr>
            <w:r>
              <w:t>$12M</w:t>
            </w:r>
          </w:p>
        </w:tc>
        <w:tc>
          <w:tcPr>
            <w:tcW w:w="3767" w:type="dxa"/>
          </w:tcPr>
          <w:p w14:paraId="209A56E5" w14:textId="77777777" w:rsidR="00DB7BD3" w:rsidRDefault="00CB4873">
            <w:pPr>
              <w:pStyle w:val="cTableBody"/>
            </w:pPr>
            <w:r>
              <w:t>Independent witnessed metrics; failures/nonconformances dispositioned.</w:t>
            </w:r>
          </w:p>
        </w:tc>
      </w:tr>
      <w:tr w:rsidR="00DB7BD3" w14:paraId="261ECC33" w14:textId="77777777" w:rsidTr="00B86AD4">
        <w:trPr>
          <w:cantSplit/>
        </w:trPr>
        <w:tc>
          <w:tcPr>
            <w:tcW w:w="784" w:type="dxa"/>
          </w:tcPr>
          <w:p w14:paraId="2DFF4372" w14:textId="77777777" w:rsidR="00DB7BD3" w:rsidRDefault="00CB4873">
            <w:pPr>
              <w:pStyle w:val="cTableBody"/>
            </w:pPr>
            <w:r>
              <w:t>9F</w:t>
            </w:r>
          </w:p>
        </w:tc>
        <w:tc>
          <w:tcPr>
            <w:tcW w:w="4885" w:type="dxa"/>
          </w:tcPr>
          <w:p w14:paraId="34CB3206" w14:textId="77777777" w:rsidR="00DB7BD3" w:rsidRDefault="00CB4873">
            <w:pPr>
              <w:pStyle w:val="cTableBody"/>
            </w:pPr>
            <w:r>
              <w:t>Phase II readiness review and first-site handoff</w:t>
            </w:r>
          </w:p>
        </w:tc>
        <w:tc>
          <w:tcPr>
            <w:tcW w:w="940" w:type="dxa"/>
          </w:tcPr>
          <w:p w14:paraId="724AE033" w14:textId="77777777" w:rsidR="00DB7BD3" w:rsidRDefault="00CB4873">
            <w:pPr>
              <w:pStyle w:val="cTableBody"/>
            </w:pPr>
            <w:r>
              <w:t>$5M</w:t>
            </w:r>
          </w:p>
        </w:tc>
        <w:tc>
          <w:tcPr>
            <w:tcW w:w="3767" w:type="dxa"/>
          </w:tcPr>
          <w:p w14:paraId="3D88046E" w14:textId="77777777" w:rsidR="00DB7BD3" w:rsidRDefault="00CB4873">
            <w:pPr>
              <w:pStyle w:val="cTableBody"/>
            </w:pPr>
            <w:r>
              <w:t>Repeated performance plus final source/manufacturing/transition package.</w:t>
            </w:r>
          </w:p>
        </w:tc>
      </w:tr>
    </w:tbl>
    <w:p w14:paraId="068C8B03" w14:textId="5AEFF978" w:rsidR="00DB7BD3" w:rsidRDefault="000119DA">
      <w:pPr>
        <w:pStyle w:val="Heading2"/>
      </w:pPr>
      <w:r>
        <w:t>Area 10. Program management, nuclear QA, China licensing support, and independent review - $30 million</w:t>
      </w:r>
    </w:p>
    <w:p w14:paraId="58BD9455" w14:textId="77777777" w:rsidR="00DB7BD3" w:rsidRDefault="00CB4873">
      <w:r>
        <w:t>Illustrative recipients: Managing Organization PMO; China nuclear QA/licensing advisers; independent estimator/auditor and review bodies.</w:t>
      </w:r>
    </w:p>
    <w:tbl>
      <w:tblPr>
        <w:tblStyle w:val="gswTableStyle"/>
        <w:tblW w:w="10466" w:type="dxa"/>
        <w:tblInd w:w="172" w:type="dxa"/>
        <w:tblLook w:val="04A0" w:firstRow="1" w:lastRow="0" w:firstColumn="1" w:lastColumn="0" w:noHBand="0" w:noVBand="1"/>
      </w:tblPr>
      <w:tblGrid>
        <w:gridCol w:w="786"/>
        <w:gridCol w:w="4884"/>
        <w:gridCol w:w="940"/>
        <w:gridCol w:w="3856"/>
      </w:tblGrid>
      <w:tr w:rsidR="00DB7BD3" w14:paraId="067905A8" w14:textId="77777777" w:rsidTr="00B86AD4">
        <w:trPr>
          <w:cnfStyle w:val="100000000000" w:firstRow="1" w:lastRow="0" w:firstColumn="0" w:lastColumn="0" w:oddVBand="0" w:evenVBand="0" w:oddHBand="0" w:evenHBand="0" w:firstRowFirstColumn="0" w:firstRowLastColumn="0" w:lastRowFirstColumn="0" w:lastRowLastColumn="0"/>
          <w:cantSplit/>
          <w:tblHeader/>
        </w:trPr>
        <w:tc>
          <w:tcPr>
            <w:tcW w:w="786" w:type="dxa"/>
          </w:tcPr>
          <w:p w14:paraId="7BF05B17" w14:textId="77777777" w:rsidR="00DB7BD3" w:rsidRDefault="00CB4873">
            <w:pPr>
              <w:pStyle w:val="cTableHeader"/>
            </w:pPr>
            <w:r>
              <w:t>PO</w:t>
            </w:r>
          </w:p>
        </w:tc>
        <w:tc>
          <w:tcPr>
            <w:tcW w:w="4884" w:type="dxa"/>
          </w:tcPr>
          <w:p w14:paraId="4EE375DE" w14:textId="77777777" w:rsidR="00DB7BD3" w:rsidRDefault="00CB4873">
            <w:pPr>
              <w:pStyle w:val="cTableHeader"/>
            </w:pPr>
            <w:r>
              <w:t>Illustrative procurement / deliverable</w:t>
            </w:r>
          </w:p>
        </w:tc>
        <w:tc>
          <w:tcPr>
            <w:tcW w:w="940" w:type="dxa"/>
          </w:tcPr>
          <w:p w14:paraId="072DB0E0" w14:textId="77777777" w:rsidR="00DB7BD3" w:rsidRDefault="00CB4873">
            <w:pPr>
              <w:pStyle w:val="cTableHeader"/>
            </w:pPr>
            <w:r>
              <w:t>Amount</w:t>
            </w:r>
          </w:p>
        </w:tc>
        <w:tc>
          <w:tcPr>
            <w:tcW w:w="3856" w:type="dxa"/>
          </w:tcPr>
          <w:p w14:paraId="7EE73213" w14:textId="77777777" w:rsidR="00DB7BD3" w:rsidRDefault="00CB4873">
            <w:pPr>
              <w:pStyle w:val="cTableHeader"/>
            </w:pPr>
            <w:r>
              <w:t>Technical acceptance</w:t>
            </w:r>
          </w:p>
        </w:tc>
      </w:tr>
      <w:tr w:rsidR="00DB7BD3" w14:paraId="553B6330" w14:textId="77777777" w:rsidTr="00B86AD4">
        <w:trPr>
          <w:cantSplit/>
        </w:trPr>
        <w:tc>
          <w:tcPr>
            <w:tcW w:w="786" w:type="dxa"/>
          </w:tcPr>
          <w:p w14:paraId="6BDAB028" w14:textId="77777777" w:rsidR="00DB7BD3" w:rsidRDefault="00CB4873">
            <w:pPr>
              <w:pStyle w:val="cTableBody"/>
            </w:pPr>
            <w:r>
              <w:t>10A</w:t>
            </w:r>
          </w:p>
        </w:tc>
        <w:tc>
          <w:tcPr>
            <w:tcW w:w="4884" w:type="dxa"/>
          </w:tcPr>
          <w:p w14:paraId="3FA4DC3A" w14:textId="77777777" w:rsidR="00DB7BD3" w:rsidRDefault="00CB4873">
            <w:pPr>
              <w:pStyle w:val="cTableBody"/>
            </w:pPr>
            <w:r>
              <w:t>Program formation, governance, China implementation plan, and financial controls</w:t>
            </w:r>
          </w:p>
        </w:tc>
        <w:tc>
          <w:tcPr>
            <w:tcW w:w="940" w:type="dxa"/>
          </w:tcPr>
          <w:p w14:paraId="32A173EA" w14:textId="77777777" w:rsidR="00DB7BD3" w:rsidRDefault="00CB4873">
            <w:pPr>
              <w:pStyle w:val="cTableBody"/>
            </w:pPr>
            <w:r>
              <w:t>$5M</w:t>
            </w:r>
          </w:p>
        </w:tc>
        <w:tc>
          <w:tcPr>
            <w:tcW w:w="3856" w:type="dxa"/>
          </w:tcPr>
          <w:p w14:paraId="76E89F7D" w14:textId="77777777" w:rsidR="00DB7BD3" w:rsidRDefault="00CB4873">
            <w:pPr>
              <w:pStyle w:val="cTableBody"/>
            </w:pPr>
            <w:r>
              <w:t>Controlled design/interfaces accepted; independent review findings dispositioned.</w:t>
            </w:r>
          </w:p>
        </w:tc>
      </w:tr>
      <w:tr w:rsidR="00DB7BD3" w14:paraId="668EA7F6" w14:textId="77777777" w:rsidTr="00B86AD4">
        <w:trPr>
          <w:cantSplit/>
        </w:trPr>
        <w:tc>
          <w:tcPr>
            <w:tcW w:w="786" w:type="dxa"/>
          </w:tcPr>
          <w:p w14:paraId="62590E1D" w14:textId="77777777" w:rsidR="00DB7BD3" w:rsidRDefault="00CB4873">
            <w:pPr>
              <w:pStyle w:val="cTableBody"/>
            </w:pPr>
            <w:r>
              <w:t>10B</w:t>
            </w:r>
          </w:p>
        </w:tc>
        <w:tc>
          <w:tcPr>
            <w:tcW w:w="4884" w:type="dxa"/>
          </w:tcPr>
          <w:p w14:paraId="0D7F5B09" w14:textId="77777777" w:rsidR="00DB7BD3" w:rsidRDefault="00CB4873">
            <w:pPr>
              <w:pStyle w:val="cTableBody"/>
            </w:pPr>
            <w:r>
              <w:t>Requirements, procurement, baseline, and dual-reference interface control</w:t>
            </w:r>
          </w:p>
        </w:tc>
        <w:tc>
          <w:tcPr>
            <w:tcW w:w="940" w:type="dxa"/>
          </w:tcPr>
          <w:p w14:paraId="69D41C58" w14:textId="77777777" w:rsidR="00DB7BD3" w:rsidRDefault="00CB4873">
            <w:pPr>
              <w:pStyle w:val="cTableBody"/>
            </w:pPr>
            <w:r>
              <w:t>$5M</w:t>
            </w:r>
          </w:p>
        </w:tc>
        <w:tc>
          <w:tcPr>
            <w:tcW w:w="3856" w:type="dxa"/>
          </w:tcPr>
          <w:p w14:paraId="09503F07" w14:textId="77777777" w:rsidR="00DB7BD3" w:rsidRDefault="00CB4873">
            <w:pPr>
              <w:pStyle w:val="cTableBody"/>
            </w:pPr>
            <w:r>
              <w:t>Controlled design/interfaces accepted; independent review findings dispositioned.</w:t>
            </w:r>
          </w:p>
        </w:tc>
      </w:tr>
      <w:tr w:rsidR="00DB7BD3" w14:paraId="4BE3CC75" w14:textId="77777777" w:rsidTr="00B86AD4">
        <w:trPr>
          <w:cantSplit/>
        </w:trPr>
        <w:tc>
          <w:tcPr>
            <w:tcW w:w="786" w:type="dxa"/>
          </w:tcPr>
          <w:p w14:paraId="09CE7FF5" w14:textId="77777777" w:rsidR="00DB7BD3" w:rsidRDefault="00CB4873">
            <w:pPr>
              <w:pStyle w:val="cTableBody"/>
            </w:pPr>
            <w:r>
              <w:t>10C</w:t>
            </w:r>
          </w:p>
        </w:tc>
        <w:tc>
          <w:tcPr>
            <w:tcW w:w="4884" w:type="dxa"/>
          </w:tcPr>
          <w:p w14:paraId="520F8995" w14:textId="77777777" w:rsidR="00DB7BD3" w:rsidRDefault="00CB4873">
            <w:pPr>
              <w:pStyle w:val="cTableBody"/>
            </w:pPr>
            <w:r>
              <w:t>Design, supplier, manufacturing, and nuclear QA oversight</w:t>
            </w:r>
          </w:p>
        </w:tc>
        <w:tc>
          <w:tcPr>
            <w:tcW w:w="940" w:type="dxa"/>
          </w:tcPr>
          <w:p w14:paraId="391E0015" w14:textId="77777777" w:rsidR="00DB7BD3" w:rsidRDefault="00CB4873">
            <w:pPr>
              <w:pStyle w:val="cTableBody"/>
            </w:pPr>
            <w:r>
              <w:t>$6M</w:t>
            </w:r>
          </w:p>
        </w:tc>
        <w:tc>
          <w:tcPr>
            <w:tcW w:w="3856" w:type="dxa"/>
          </w:tcPr>
          <w:p w14:paraId="4EF5EF22" w14:textId="77777777" w:rsidR="00DB7BD3" w:rsidRDefault="00CB4873">
            <w:pPr>
              <w:pStyle w:val="cTableBody"/>
            </w:pPr>
            <w:r>
              <w:t>Controlled design/interfaces accepted; independent review findings dispositioned.</w:t>
            </w:r>
          </w:p>
        </w:tc>
      </w:tr>
      <w:tr w:rsidR="00DB7BD3" w14:paraId="27A68CF2" w14:textId="77777777" w:rsidTr="00B86AD4">
        <w:trPr>
          <w:cantSplit/>
        </w:trPr>
        <w:tc>
          <w:tcPr>
            <w:tcW w:w="786" w:type="dxa"/>
          </w:tcPr>
          <w:p w14:paraId="7D278DED" w14:textId="77777777" w:rsidR="00DB7BD3" w:rsidRDefault="00CB4873">
            <w:pPr>
              <w:pStyle w:val="cTableBody"/>
            </w:pPr>
            <w:r>
              <w:t>10D</w:t>
            </w:r>
          </w:p>
        </w:tc>
        <w:tc>
          <w:tcPr>
            <w:tcW w:w="4884" w:type="dxa"/>
          </w:tcPr>
          <w:p w14:paraId="717CACBD" w14:textId="77777777" w:rsidR="00DB7BD3" w:rsidRDefault="00CB4873">
            <w:pPr>
              <w:pStyle w:val="cTableBody"/>
            </w:pPr>
            <w:r>
              <w:t>Pilot safety, testing, environmental, security, and regulator engagement</w:t>
            </w:r>
          </w:p>
        </w:tc>
        <w:tc>
          <w:tcPr>
            <w:tcW w:w="940" w:type="dxa"/>
          </w:tcPr>
          <w:p w14:paraId="56FBC160" w14:textId="77777777" w:rsidR="00DB7BD3" w:rsidRDefault="00CB4873">
            <w:pPr>
              <w:pStyle w:val="cTableBody"/>
            </w:pPr>
            <w:r>
              <w:t>$7M</w:t>
            </w:r>
          </w:p>
        </w:tc>
        <w:tc>
          <w:tcPr>
            <w:tcW w:w="3856" w:type="dxa"/>
          </w:tcPr>
          <w:p w14:paraId="13365D50" w14:textId="77777777" w:rsidR="00DB7BD3" w:rsidRDefault="00CB4873">
            <w:pPr>
              <w:pStyle w:val="cTableBody"/>
            </w:pPr>
            <w:r>
              <w:t>Controlled design/interfaces accepted; independent review findings dispositioned.</w:t>
            </w:r>
          </w:p>
        </w:tc>
      </w:tr>
      <w:tr w:rsidR="00DB7BD3" w14:paraId="38FD8288" w14:textId="77777777" w:rsidTr="00B86AD4">
        <w:trPr>
          <w:cantSplit/>
        </w:trPr>
        <w:tc>
          <w:tcPr>
            <w:tcW w:w="786" w:type="dxa"/>
          </w:tcPr>
          <w:p w14:paraId="3B79F34F" w14:textId="77777777" w:rsidR="00DB7BD3" w:rsidRDefault="00CB4873">
            <w:pPr>
              <w:pStyle w:val="cTableBody"/>
            </w:pPr>
            <w:r>
              <w:t>10E</w:t>
            </w:r>
          </w:p>
        </w:tc>
        <w:tc>
          <w:tcPr>
            <w:tcW w:w="4884" w:type="dxa"/>
          </w:tcPr>
          <w:p w14:paraId="5077FDE8" w14:textId="77777777" w:rsidR="00DB7BD3" w:rsidRDefault="00CB4873">
            <w:pPr>
              <w:pStyle w:val="cTableBody"/>
            </w:pPr>
            <w:r>
              <w:t>Final audit, lifecycle economics, comparative technology assessment, and Phase II decision package</w:t>
            </w:r>
          </w:p>
        </w:tc>
        <w:tc>
          <w:tcPr>
            <w:tcW w:w="940" w:type="dxa"/>
          </w:tcPr>
          <w:p w14:paraId="26548FD0" w14:textId="77777777" w:rsidR="00DB7BD3" w:rsidRDefault="00CB4873">
            <w:pPr>
              <w:pStyle w:val="cTableBody"/>
            </w:pPr>
            <w:r>
              <w:t>$7M</w:t>
            </w:r>
          </w:p>
        </w:tc>
        <w:tc>
          <w:tcPr>
            <w:tcW w:w="3856" w:type="dxa"/>
          </w:tcPr>
          <w:p w14:paraId="151DF2EF" w14:textId="77777777" w:rsidR="00DB7BD3" w:rsidRDefault="00CB4873">
            <w:pPr>
              <w:pStyle w:val="cTableBody"/>
            </w:pPr>
            <w:r>
              <w:t>Repeated performance plus final source/manufacturing/transition package.</w:t>
            </w:r>
          </w:p>
        </w:tc>
      </w:tr>
    </w:tbl>
    <w:p w14:paraId="70856EB9" w14:textId="77777777" w:rsidR="00DB7BD3" w:rsidRDefault="00CB4873">
      <w:r>
        <w:t>Across Work Packages 1–10, the procurement ledger must reconcile to the $800 million baseline technical program and identify HTR-only, PWR-only, and common-platform spending. Independent reviewers remain institutionally separate from the performer whose claim is being accepted.</w:t>
      </w:r>
    </w:p>
    <w:p w14:paraId="49F5AECF" w14:textId="43424B8F" w:rsidR="00DB7BD3" w:rsidRDefault="000119DA">
      <w:pPr>
        <w:pStyle w:val="Heading2"/>
      </w:pPr>
      <w:r>
        <w:lastRenderedPageBreak/>
        <w:t>Area 11. Contingent reserve task orders - up to $200 million</w:t>
      </w:r>
    </w:p>
    <w:tbl>
      <w:tblPr>
        <w:tblStyle w:val="gswTableStyle"/>
        <w:tblW w:w="0" w:type="auto"/>
        <w:tblInd w:w="172" w:type="dxa"/>
        <w:tblLook w:val="04A0" w:firstRow="1" w:lastRow="0" w:firstColumn="1" w:lastColumn="0" w:noHBand="0" w:noVBand="1"/>
      </w:tblPr>
      <w:tblGrid>
        <w:gridCol w:w="1965"/>
        <w:gridCol w:w="6840"/>
        <w:gridCol w:w="1152"/>
      </w:tblGrid>
      <w:tr w:rsidR="00DB7BD3" w14:paraId="2367176A" w14:textId="77777777" w:rsidTr="00DB7BD3">
        <w:trPr>
          <w:cnfStyle w:val="100000000000" w:firstRow="1" w:lastRow="0" w:firstColumn="0" w:lastColumn="0" w:oddVBand="0" w:evenVBand="0" w:oddHBand="0" w:evenHBand="0" w:firstRowFirstColumn="0" w:firstRowLastColumn="0" w:lastRowFirstColumn="0" w:lastRowLastColumn="0"/>
          <w:cantSplit/>
          <w:tblHeader/>
        </w:trPr>
        <w:tc>
          <w:tcPr>
            <w:tcW w:w="1872" w:type="dxa"/>
          </w:tcPr>
          <w:p w14:paraId="714021EC" w14:textId="77777777" w:rsidR="00DB7BD3" w:rsidRDefault="00CB4873" w:rsidP="00B86AD4">
            <w:pPr>
              <w:pStyle w:val="cTableHeader"/>
              <w:keepNext/>
            </w:pPr>
            <w:r>
              <w:t>Reserve stage</w:t>
            </w:r>
          </w:p>
        </w:tc>
        <w:tc>
          <w:tcPr>
            <w:tcW w:w="6840" w:type="dxa"/>
          </w:tcPr>
          <w:p w14:paraId="44625C10" w14:textId="77777777" w:rsidR="00DB7BD3" w:rsidRDefault="00CB4873" w:rsidP="00B86AD4">
            <w:pPr>
              <w:pStyle w:val="cTableHeader"/>
              <w:keepNext/>
            </w:pPr>
            <w:r>
              <w:t>Contingent task orders</w:t>
            </w:r>
          </w:p>
        </w:tc>
        <w:tc>
          <w:tcPr>
            <w:tcW w:w="1152" w:type="dxa"/>
          </w:tcPr>
          <w:p w14:paraId="0C729913" w14:textId="77777777" w:rsidR="00DB7BD3" w:rsidRDefault="00CB4873" w:rsidP="00B86AD4">
            <w:pPr>
              <w:pStyle w:val="cTableHeader"/>
              <w:keepNext/>
            </w:pPr>
            <w:r>
              <w:t>Max.</w:t>
            </w:r>
          </w:p>
        </w:tc>
      </w:tr>
      <w:tr w:rsidR="00DB7BD3" w14:paraId="0904B1D1" w14:textId="77777777" w:rsidTr="00DB7BD3">
        <w:trPr>
          <w:cantSplit/>
        </w:trPr>
        <w:tc>
          <w:tcPr>
            <w:tcW w:w="1872" w:type="dxa"/>
          </w:tcPr>
          <w:p w14:paraId="44FA091C" w14:textId="77777777" w:rsidR="00DB7BD3" w:rsidRDefault="00CB4873" w:rsidP="00B86AD4">
            <w:pPr>
              <w:pStyle w:val="cTableBody"/>
              <w:keepNext/>
            </w:pPr>
            <w:r>
              <w:t>Requirements/design</w:t>
            </w:r>
          </w:p>
        </w:tc>
        <w:tc>
          <w:tcPr>
            <w:tcW w:w="6840" w:type="dxa"/>
          </w:tcPr>
          <w:p w14:paraId="473C5B93" w14:textId="77777777" w:rsidR="00DB7BD3" w:rsidRDefault="00CB4873" w:rsidP="00B86AD4">
            <w:pPr>
              <w:pStyle w:val="cTableBody"/>
              <w:keepNext/>
            </w:pPr>
            <w:r>
              <w:t>Additional HTR/PWR design-data access, alternative reference configurations, China-code/licensing analysis, added geology, baseline cost/schedule measurement, or early recovery.</w:t>
            </w:r>
          </w:p>
        </w:tc>
        <w:tc>
          <w:tcPr>
            <w:tcW w:w="1152" w:type="dxa"/>
          </w:tcPr>
          <w:p w14:paraId="7191FF86" w14:textId="77777777" w:rsidR="00DB7BD3" w:rsidRDefault="00CB4873" w:rsidP="00B86AD4">
            <w:pPr>
              <w:pStyle w:val="cTableBody"/>
              <w:keepNext/>
            </w:pPr>
            <w:r>
              <w:t>$25M</w:t>
            </w:r>
          </w:p>
        </w:tc>
      </w:tr>
      <w:tr w:rsidR="00DB7BD3" w14:paraId="6E1ED7B8" w14:textId="77777777" w:rsidTr="00DB7BD3">
        <w:trPr>
          <w:cantSplit/>
        </w:trPr>
        <w:tc>
          <w:tcPr>
            <w:tcW w:w="1872" w:type="dxa"/>
          </w:tcPr>
          <w:p w14:paraId="14265567" w14:textId="77777777" w:rsidR="00DB7BD3" w:rsidRDefault="00CB4873">
            <w:pPr>
              <w:pStyle w:val="cTableBody"/>
            </w:pPr>
            <w:r>
              <w:t>Prototype design</w:t>
            </w:r>
          </w:p>
        </w:tc>
        <w:tc>
          <w:tcPr>
            <w:tcW w:w="6840" w:type="dxa"/>
          </w:tcPr>
          <w:p w14:paraId="1DA705EB" w14:textId="77777777" w:rsidR="00DB7BD3" w:rsidRDefault="00CB4873">
            <w:pPr>
              <w:pStyle w:val="cTableBody"/>
            </w:pPr>
            <w:r>
              <w:t>Second-source concept, failed tool redesign, added structural/controls tests, common-platform split into reactor-specific variants, safety changes, red team.</w:t>
            </w:r>
          </w:p>
        </w:tc>
        <w:tc>
          <w:tcPr>
            <w:tcW w:w="1152" w:type="dxa"/>
          </w:tcPr>
          <w:p w14:paraId="2B9AD65F" w14:textId="77777777" w:rsidR="00DB7BD3" w:rsidRDefault="00CB4873">
            <w:pPr>
              <w:pStyle w:val="cTableBody"/>
            </w:pPr>
            <w:r>
              <w:t>$35M</w:t>
            </w:r>
          </w:p>
        </w:tc>
      </w:tr>
      <w:tr w:rsidR="00DB7BD3" w14:paraId="2FBC27AC" w14:textId="77777777" w:rsidTr="00DB7BD3">
        <w:trPr>
          <w:cantSplit/>
        </w:trPr>
        <w:tc>
          <w:tcPr>
            <w:tcW w:w="1872" w:type="dxa"/>
          </w:tcPr>
          <w:p w14:paraId="3046AC8C" w14:textId="77777777" w:rsidR="00DB7BD3" w:rsidRDefault="00CB4873">
            <w:pPr>
              <w:pStyle w:val="cTableBody"/>
            </w:pPr>
            <w:r>
              <w:t>Fabrication/site</w:t>
            </w:r>
          </w:p>
        </w:tc>
        <w:tc>
          <w:tcPr>
            <w:tcW w:w="6840" w:type="dxa"/>
          </w:tcPr>
          <w:p w14:paraId="225656B2" w14:textId="77777777" w:rsidR="00DB7BD3" w:rsidRDefault="00CB4873">
            <w:pPr>
              <w:pStyle w:val="cTableBody"/>
            </w:pPr>
            <w:r>
              <w:t>Replacement supplier, long-lead parts, manufacturing rework, pilot-site change, replacement HTR/PWR mockups, extraordinary logistics.</w:t>
            </w:r>
          </w:p>
        </w:tc>
        <w:tc>
          <w:tcPr>
            <w:tcW w:w="1152" w:type="dxa"/>
          </w:tcPr>
          <w:p w14:paraId="6548AA5A" w14:textId="77777777" w:rsidR="00DB7BD3" w:rsidRDefault="00CB4873">
            <w:pPr>
              <w:pStyle w:val="cTableBody"/>
            </w:pPr>
            <w:r>
              <w:t>$55M</w:t>
            </w:r>
          </w:p>
        </w:tc>
      </w:tr>
      <w:tr w:rsidR="00DB7BD3" w14:paraId="2F4D6615" w14:textId="77777777" w:rsidTr="00DB7BD3">
        <w:trPr>
          <w:cantSplit/>
        </w:trPr>
        <w:tc>
          <w:tcPr>
            <w:tcW w:w="1872" w:type="dxa"/>
          </w:tcPr>
          <w:p w14:paraId="604AB751" w14:textId="77777777" w:rsidR="00DB7BD3" w:rsidRDefault="00CB4873">
            <w:pPr>
              <w:pStyle w:val="cTableBody"/>
            </w:pPr>
            <w:r>
              <w:t>Integration/test</w:t>
            </w:r>
          </w:p>
        </w:tc>
        <w:tc>
          <w:tcPr>
            <w:tcW w:w="6840" w:type="dxa"/>
          </w:tcPr>
          <w:p w14:paraId="2D67835B" w14:textId="77777777" w:rsidR="00DB7BD3" w:rsidRDefault="00CB4873">
            <w:pPr>
              <w:pStyle w:val="cTableBody"/>
            </w:pPr>
            <w:r>
              <w:t>Replacement articles, extra dual-track pilot cycles, hardware/software/interface redesign, failure investigation, reliability growth.</w:t>
            </w:r>
          </w:p>
        </w:tc>
        <w:tc>
          <w:tcPr>
            <w:tcW w:w="1152" w:type="dxa"/>
          </w:tcPr>
          <w:p w14:paraId="7727073B" w14:textId="77777777" w:rsidR="00DB7BD3" w:rsidRDefault="00CB4873">
            <w:pPr>
              <w:pStyle w:val="cTableBody"/>
            </w:pPr>
            <w:r>
              <w:t>$65M</w:t>
            </w:r>
          </w:p>
        </w:tc>
      </w:tr>
      <w:tr w:rsidR="00DB7BD3" w14:paraId="03446DF4" w14:textId="77777777" w:rsidTr="00DB7BD3">
        <w:trPr>
          <w:cantSplit/>
        </w:trPr>
        <w:tc>
          <w:tcPr>
            <w:tcW w:w="1872" w:type="dxa"/>
          </w:tcPr>
          <w:p w14:paraId="47521303" w14:textId="77777777" w:rsidR="00DB7BD3" w:rsidRDefault="00CB4873">
            <w:pPr>
              <w:pStyle w:val="cTableBody"/>
            </w:pPr>
            <w:r>
              <w:t>Final readiness</w:t>
            </w:r>
          </w:p>
        </w:tc>
        <w:tc>
          <w:tcPr>
            <w:tcW w:w="6840" w:type="dxa"/>
          </w:tcPr>
          <w:p w14:paraId="32B03CB2" w14:textId="77777777" w:rsidR="00DB7BD3" w:rsidRDefault="00CB4873">
            <w:pPr>
              <w:pStyle w:val="cTableBody"/>
            </w:pPr>
            <w:r>
              <w:t>Additional reliability runs, deficiencies, licensing/QA documents, independent economics verification, schedule recovery.</w:t>
            </w:r>
          </w:p>
        </w:tc>
        <w:tc>
          <w:tcPr>
            <w:tcW w:w="1152" w:type="dxa"/>
          </w:tcPr>
          <w:p w14:paraId="2E155401" w14:textId="77777777" w:rsidR="00DB7BD3" w:rsidRDefault="00CB4873">
            <w:pPr>
              <w:pStyle w:val="cTableBody"/>
            </w:pPr>
            <w:r>
              <w:t>$20M</w:t>
            </w:r>
          </w:p>
        </w:tc>
      </w:tr>
    </w:tbl>
    <w:p w14:paraId="733AD6F8" w14:textId="77777777" w:rsidR="00DB7BD3" w:rsidRDefault="00CB4873">
      <w:r>
        <w:t>Reserve is controlled by the Funding Source. Each release requires a written problem statement, alternatives analysis, independent review, revised cost/schedule baseline, accountable owner, and acceptance criteria; unused reserve may remain unspent.</w:t>
      </w:r>
    </w:p>
    <w:p w14:paraId="3355E42E" w14:textId="77777777" w:rsidR="00DB7BD3" w:rsidRDefault="00CB4873">
      <w:pPr>
        <w:pStyle w:val="Heading2"/>
      </w:pPr>
      <w:r>
        <w:t>Initiative-specific contracting additions</w:t>
      </w:r>
    </w:p>
    <w:p w14:paraId="011F7B7A" w14:textId="77777777" w:rsidR="00DB7BD3" w:rsidRDefault="00CB4873">
      <w:r>
        <w:t>Classify every procurement package and major cost as HTR-only, PWR-only, or common-platform so shared-machine economics can be audited without double counting.</w:t>
      </w:r>
    </w:p>
    <w:p w14:paraId="2FD0A4BA" w14:textId="77777777" w:rsidR="00DB7BD3" w:rsidRDefault="00CB4873">
      <w:r>
        <w:t>Separate the HTR and PWR reference design authorities, technical performers, and independent acceptance functions; a reactor vendor or machine builder does not solely certify its own savings, safety, quality, or readiness.</w:t>
      </w:r>
    </w:p>
    <w:p w14:paraId="724C5041" w14:textId="77777777" w:rsidR="00DB7BD3" w:rsidRDefault="00CB4873">
      <w:r>
        <w:t>Flow down applicable Chinese nuclear QA, controlled-design-data, cybersecurity, physical-security, site-permit, and regulator-interface requirements in addition to the common portfolio terms.</w:t>
      </w:r>
    </w:p>
    <w:p w14:paraId="74AFCD67" w14:textId="77777777" w:rsidR="00DB7BD3" w:rsidRDefault="00CB4873">
      <w:r>
        <w:t>Acceptance packages must compare measured performance against the applicable conventional Chinese construction baseline and deliver the final machine configuration, test evidence, maintenance data, source files, and reproducibility package.</w:t>
      </w:r>
    </w:p>
    <w:p w14:paraId="4AACE462" w14:textId="77777777" w:rsidR="003A5A50" w:rsidRDefault="00CB4873">
      <w:pPr>
        <w:pStyle w:val="Heading1"/>
        <w:spacing w:before="0" w:after="280"/>
      </w:pPr>
      <w:bookmarkStart w:id="28" w:name="_Toc238204711"/>
      <w:r>
        <w:lastRenderedPageBreak/>
        <w:t>Purchase Order Recipients</w:t>
      </w:r>
      <w:bookmarkEnd w:id="28"/>
    </w:p>
    <w:p w14:paraId="65C25ECA" w14:textId="77777777" w:rsidR="003A5A50" w:rsidRDefault="00CB4873">
      <w:pPr>
        <w:pStyle w:val="cUserPromptText"/>
        <w:spacing w:before="280" w:after="280"/>
      </w:pPr>
      <w:r>
        <w:rPr>
          <w:b/>
        </w:rPr>
        <w:t xml:space="preserve">Prompt to AI: </w:t>
      </w:r>
      <w:r>
        <w:t>Who might receive the purchase orders in a China-based HTR + PWR construction-automation program? Identify illustrative Chinese organizations and, where useful, international specialty suppliers; explain competition and teaming; and separate performers from independent reviewers.</w:t>
      </w:r>
    </w:p>
    <w:p w14:paraId="6CBB4764" w14:textId="77777777" w:rsidR="003A5A50" w:rsidRDefault="00CB4873">
      <w:pPr>
        <w:keepNext/>
        <w:spacing w:before="280" w:after="280"/>
      </w:pPr>
      <w:r>
        <w:rPr>
          <w:b/>
          <w:color w:val="4F81BD"/>
          <w:u w:val="single"/>
        </w:rPr>
        <w:t>Response From AI:</w:t>
      </w:r>
    </w:p>
    <w:p w14:paraId="67AEC9A0" w14:textId="77777777" w:rsidR="003A5A50" w:rsidRDefault="00CB4873">
      <w:pPr>
        <w:spacing w:before="280" w:after="280"/>
      </w:pPr>
      <w:r>
        <w:t>The organizations below are illustrative candidates, not endorsements, availability commitments, or prequalified bidders. The China implementation strategy should make maximum use of the existing HTR-PM and Hualong One industrial base while competing construction machinery and digital systems on measurable performance. Reactor vendors and EPCs may supply controlled interface data and execute work, but they should not independently certify their own cost, schedule, safety, quality, or machine-performance cla</w:t>
      </w:r>
      <w:r>
        <w:t>ims.</w:t>
      </w:r>
    </w:p>
    <w:tbl>
      <w:tblPr>
        <w:tblStyle w:val="gswTableStyle"/>
        <w:tblW w:w="10116" w:type="dxa"/>
        <w:tblLayout w:type="fixed"/>
        <w:tblLook w:val="04A0" w:firstRow="1" w:lastRow="0" w:firstColumn="1" w:lastColumn="0" w:noHBand="0" w:noVBand="1"/>
      </w:tblPr>
      <w:tblGrid>
        <w:gridCol w:w="2159"/>
        <w:gridCol w:w="3816"/>
        <w:gridCol w:w="4141"/>
      </w:tblGrid>
      <w:tr w:rsidR="003A5A50" w14:paraId="4A30CB43" w14:textId="77777777" w:rsidTr="003A5A50">
        <w:trPr>
          <w:cnfStyle w:val="100000000000" w:firstRow="1" w:lastRow="0" w:firstColumn="0" w:lastColumn="0" w:oddVBand="0" w:evenVBand="0" w:oddHBand="0" w:evenHBand="0" w:firstRowFirstColumn="0" w:firstRowLastColumn="0" w:lastRowFirstColumn="0" w:lastRowLastColumn="0"/>
          <w:tblHeader/>
        </w:trPr>
        <w:tc>
          <w:tcPr>
            <w:tcW w:w="2159" w:type="dxa"/>
          </w:tcPr>
          <w:p w14:paraId="3779FA88" w14:textId="77777777" w:rsidR="003A5A50" w:rsidRDefault="00CB4873">
            <w:pPr>
              <w:pStyle w:val="cTableHeader"/>
              <w:spacing w:before="0" w:after="0"/>
            </w:pPr>
            <w:r>
              <w:t>Capability</w:t>
            </w:r>
          </w:p>
        </w:tc>
        <w:tc>
          <w:tcPr>
            <w:tcW w:w="3816" w:type="dxa"/>
          </w:tcPr>
          <w:p w14:paraId="5D8D1376" w14:textId="77777777" w:rsidR="003A5A50" w:rsidRDefault="00CB4873">
            <w:pPr>
              <w:pStyle w:val="cTableHeader"/>
              <w:spacing w:before="0" w:after="0"/>
            </w:pPr>
            <w:r>
              <w:t>Illustrative organizations</w:t>
            </w:r>
          </w:p>
        </w:tc>
        <w:tc>
          <w:tcPr>
            <w:tcW w:w="4141" w:type="dxa"/>
          </w:tcPr>
          <w:p w14:paraId="083090D4" w14:textId="77777777" w:rsidR="003A5A50" w:rsidRDefault="00CB4873">
            <w:pPr>
              <w:pStyle w:val="cTableHeader"/>
              <w:spacing w:before="0" w:after="0"/>
            </w:pPr>
            <w:r>
              <w:t>Potential contribution</w:t>
            </w:r>
          </w:p>
        </w:tc>
      </w:tr>
      <w:tr w:rsidR="003A5A50" w14:paraId="66D1D037" w14:textId="77777777" w:rsidTr="003A5A50">
        <w:tc>
          <w:tcPr>
            <w:tcW w:w="2159" w:type="dxa"/>
          </w:tcPr>
          <w:p w14:paraId="4CF2B6A9" w14:textId="77777777" w:rsidR="003A5A50" w:rsidRDefault="00CB4873">
            <w:pPr>
              <w:pStyle w:val="cTableBody"/>
              <w:spacing w:before="0" w:after="0"/>
            </w:pPr>
            <w:r>
              <w:t>HTR-PM/HTGR reference</w:t>
            </w:r>
          </w:p>
        </w:tc>
        <w:tc>
          <w:tcPr>
            <w:tcW w:w="3816" w:type="dxa"/>
          </w:tcPr>
          <w:p w14:paraId="16564BC3" w14:textId="77777777" w:rsidR="003A5A50" w:rsidRDefault="00CB4873">
            <w:pPr>
              <w:pStyle w:val="cTableBody"/>
              <w:spacing w:before="0" w:after="0"/>
            </w:pPr>
            <w:r>
              <w:t>Tsinghua INET; China Huaneng; Chinergy; CNNC; Shanghai Electric</w:t>
            </w:r>
          </w:p>
        </w:tc>
        <w:tc>
          <w:tcPr>
            <w:tcW w:w="4141" w:type="dxa"/>
          </w:tcPr>
          <w:p w14:paraId="07A52D91" w14:textId="77777777" w:rsidR="003A5A50" w:rsidRDefault="00CB4873">
            <w:pPr>
              <w:pStyle w:val="cTableBody"/>
              <w:spacing w:before="0" w:after="0"/>
            </w:pPr>
            <w:r>
              <w:t>HTR-PM construction reference, operating experience, component envelopes, safety boundaries, vendor interfaces, design-data access, and HTR-PM600 scale-up assumptions.</w:t>
            </w:r>
          </w:p>
        </w:tc>
      </w:tr>
      <w:tr w:rsidR="003A5A50" w14:paraId="3B1E6230" w14:textId="77777777" w:rsidTr="003A5A50">
        <w:tc>
          <w:tcPr>
            <w:tcW w:w="2159" w:type="dxa"/>
          </w:tcPr>
          <w:p w14:paraId="1A2DC532" w14:textId="77777777" w:rsidR="003A5A50" w:rsidRDefault="00CB4873">
            <w:pPr>
              <w:pStyle w:val="cTableBody"/>
              <w:spacing w:before="0" w:after="0"/>
            </w:pPr>
            <w:r>
              <w:t>Hualong One / PWR reference</w:t>
            </w:r>
          </w:p>
        </w:tc>
        <w:tc>
          <w:tcPr>
            <w:tcW w:w="3816" w:type="dxa"/>
          </w:tcPr>
          <w:p w14:paraId="68F2C243" w14:textId="77777777" w:rsidR="003A5A50" w:rsidRDefault="00CB4873">
            <w:pPr>
              <w:pStyle w:val="cTableBody"/>
              <w:spacing w:before="0" w:after="0"/>
            </w:pPr>
            <w:r>
              <w:t>CNNC; China Nuclear Power Engineering (CNPE); China National Nuclear Power; CGN; CGN Engineering; major Chinese NSSS/equipment suppliers</w:t>
            </w:r>
          </w:p>
        </w:tc>
        <w:tc>
          <w:tcPr>
            <w:tcW w:w="4141" w:type="dxa"/>
          </w:tcPr>
          <w:p w14:paraId="44137FE6" w14:textId="77777777" w:rsidR="003A5A50" w:rsidRDefault="00CB4873">
            <w:pPr>
              <w:pStyle w:val="cTableBody"/>
              <w:spacing w:before="0" w:after="0"/>
            </w:pPr>
            <w:r>
              <w:t>Hualong One/HPR1000 reference geometry, construction sequence, modularization, component loads, QA requirements, supply-chain and serial-build experience.</w:t>
            </w:r>
          </w:p>
        </w:tc>
      </w:tr>
      <w:tr w:rsidR="003A5A50" w14:paraId="1179897E" w14:textId="77777777" w:rsidTr="003A5A50">
        <w:tc>
          <w:tcPr>
            <w:tcW w:w="2159" w:type="dxa"/>
          </w:tcPr>
          <w:p w14:paraId="17A997CB" w14:textId="77777777" w:rsidR="003A5A50" w:rsidRDefault="00CB4873">
            <w:pPr>
              <w:pStyle w:val="cTableBody"/>
              <w:spacing w:before="0" w:after="0"/>
            </w:pPr>
            <w:r>
              <w:t>Nuclear construction / civil EPC</w:t>
            </w:r>
          </w:p>
        </w:tc>
        <w:tc>
          <w:tcPr>
            <w:tcW w:w="3816" w:type="dxa"/>
          </w:tcPr>
          <w:p w14:paraId="6030FDBE" w14:textId="77777777" w:rsidR="003A5A50" w:rsidRDefault="00CB4873">
            <w:pPr>
              <w:pStyle w:val="cTableBody"/>
              <w:spacing w:before="0" w:after="0"/>
            </w:pPr>
            <w:r>
              <w:t>China Nuclear Industry Huaxing Construction; other qualified CNNC construction subsidiaries; CGN Engineering; POWERCHINA Nuclear Engineering; major Chinese civil contractors</w:t>
            </w:r>
          </w:p>
        </w:tc>
        <w:tc>
          <w:tcPr>
            <w:tcW w:w="4141" w:type="dxa"/>
          </w:tcPr>
          <w:p w14:paraId="5283484D" w14:textId="77777777" w:rsidR="003A5A50" w:rsidRDefault="00CB4873">
            <w:pPr>
              <w:pStyle w:val="cTableBody"/>
              <w:spacing w:before="0" w:after="0"/>
            </w:pPr>
            <w:r>
              <w:t>Nuclear civil work, basemat/containment, rebar/concrete, steel liners, modularization, constructability, Chinese QA, site logistics, commissioning interfaces.</w:t>
            </w:r>
          </w:p>
        </w:tc>
      </w:tr>
      <w:tr w:rsidR="003A5A50" w14:paraId="605BCED0" w14:textId="77777777" w:rsidTr="003A5A50">
        <w:tc>
          <w:tcPr>
            <w:tcW w:w="2159" w:type="dxa"/>
          </w:tcPr>
          <w:p w14:paraId="7E9C603D" w14:textId="77777777" w:rsidR="003A5A50" w:rsidRDefault="00CB4873">
            <w:pPr>
              <w:pStyle w:val="cTableBody"/>
              <w:spacing w:before="0" w:after="0"/>
            </w:pPr>
            <w:r>
              <w:t>Excavation and heavy equipment</w:t>
            </w:r>
          </w:p>
        </w:tc>
        <w:tc>
          <w:tcPr>
            <w:tcW w:w="3816" w:type="dxa"/>
          </w:tcPr>
          <w:p w14:paraId="50251093" w14:textId="77777777" w:rsidR="003A5A50" w:rsidRDefault="00CB4873">
            <w:pPr>
              <w:pStyle w:val="cTableBody"/>
              <w:spacing w:before="0" w:after="0"/>
            </w:pPr>
            <w:r>
              <w:t>China Railway Engineering Equipment Group; XCMG; SANY; LiuGong; Zoomlion; qualified tunneling/mining suppliers</w:t>
            </w:r>
          </w:p>
        </w:tc>
        <w:tc>
          <w:tcPr>
            <w:tcW w:w="4141" w:type="dxa"/>
          </w:tcPr>
          <w:p w14:paraId="38F9C087" w14:textId="77777777" w:rsidR="003A5A50" w:rsidRDefault="00CB4873">
            <w:pPr>
              <w:pStyle w:val="cTableBody"/>
              <w:spacing w:before="0" w:after="0"/>
            </w:pPr>
            <w:r>
              <w:t>Shaft/tunnel boring, bulk excavation, cutting, loading, conveyors, cranes, concrete machinery, wear tools, automation, maintenance, and scale manufacturing.</w:t>
            </w:r>
          </w:p>
        </w:tc>
      </w:tr>
      <w:tr w:rsidR="003A5A50" w14:paraId="624FE451" w14:textId="77777777" w:rsidTr="003A5A50">
        <w:tc>
          <w:tcPr>
            <w:tcW w:w="2159" w:type="dxa"/>
          </w:tcPr>
          <w:p w14:paraId="3D19DE40" w14:textId="77777777" w:rsidR="003A5A50" w:rsidRDefault="00CB4873">
            <w:pPr>
              <w:pStyle w:val="cTableBody"/>
              <w:spacing w:before="0" w:after="0"/>
            </w:pPr>
            <w:r>
              <w:t>Automation and field robotics</w:t>
            </w:r>
          </w:p>
        </w:tc>
        <w:tc>
          <w:tcPr>
            <w:tcW w:w="3816" w:type="dxa"/>
          </w:tcPr>
          <w:p w14:paraId="24700B2D" w14:textId="77777777" w:rsidR="003A5A50" w:rsidRDefault="00CB4873">
            <w:pPr>
              <w:pStyle w:val="cTableBody"/>
              <w:spacing w:before="0" w:after="0"/>
            </w:pPr>
            <w:r>
              <w:t>Tsinghua; Tongji; Zhejiang University; Shanghai Jiao Tong; Harbin Institute of Technology; Chinese construction-equipment OEM automation teams</w:t>
            </w:r>
          </w:p>
        </w:tc>
        <w:tc>
          <w:tcPr>
            <w:tcW w:w="4141" w:type="dxa"/>
          </w:tcPr>
          <w:p w14:paraId="79699396" w14:textId="77777777" w:rsidR="003A5A50" w:rsidRDefault="00CB4873">
            <w:pPr>
              <w:pStyle w:val="cTableBody"/>
              <w:spacing w:before="0" w:after="0"/>
            </w:pPr>
            <w:r>
              <w:t>Perception, machine control, remote supervision, functional safety, path planning, force control, robotized rebar/concrete/finishing, bounded field trials.</w:t>
            </w:r>
          </w:p>
        </w:tc>
      </w:tr>
      <w:tr w:rsidR="003A5A50" w14:paraId="3530416A" w14:textId="77777777" w:rsidTr="003A5A50">
        <w:tc>
          <w:tcPr>
            <w:tcW w:w="2159" w:type="dxa"/>
          </w:tcPr>
          <w:p w14:paraId="2DF6D6F6" w14:textId="77777777" w:rsidR="003A5A50" w:rsidRDefault="00CB4873">
            <w:pPr>
              <w:pStyle w:val="cTableBody"/>
              <w:spacing w:before="0" w:after="0"/>
            </w:pPr>
            <w:r>
              <w:t>Heavy lift, rail, SPMT, and port handling</w:t>
            </w:r>
          </w:p>
        </w:tc>
        <w:tc>
          <w:tcPr>
            <w:tcW w:w="3816" w:type="dxa"/>
          </w:tcPr>
          <w:p w14:paraId="71A1658B" w14:textId="77777777" w:rsidR="003A5A50" w:rsidRDefault="00CB4873">
            <w:pPr>
              <w:pStyle w:val="cTableBody"/>
              <w:spacing w:before="0" w:after="0"/>
            </w:pPr>
            <w:r>
              <w:t>XCMG; SANY; Zoomlion; CRRC; ZPMC; Chinese heavy-transport and port engineering firms; international specialists where justified</w:t>
            </w:r>
          </w:p>
        </w:tc>
        <w:tc>
          <w:tcPr>
            <w:tcW w:w="4141" w:type="dxa"/>
          </w:tcPr>
          <w:p w14:paraId="57C17EF4" w14:textId="77777777" w:rsidR="003A5A50" w:rsidRDefault="00CB4873">
            <w:pPr>
              <w:pStyle w:val="cTableBody"/>
              <w:spacing w:before="0" w:after="0"/>
            </w:pPr>
            <w:r>
              <w:t>Heavy cranes, gantries, synchronized transport, rail vehicles, SPMTs, engineered rigging, route analysis, proof testing, precision module placement.</w:t>
            </w:r>
          </w:p>
        </w:tc>
      </w:tr>
      <w:tr w:rsidR="003A5A50" w14:paraId="1F0B8183" w14:textId="77777777" w:rsidTr="003A5A50">
        <w:tc>
          <w:tcPr>
            <w:tcW w:w="2159" w:type="dxa"/>
          </w:tcPr>
          <w:p w14:paraId="174A5321" w14:textId="77777777" w:rsidR="003A5A50" w:rsidRDefault="00CB4873">
            <w:pPr>
              <w:pStyle w:val="cTableBody"/>
              <w:spacing w:before="0" w:after="0"/>
            </w:pPr>
            <w:r>
              <w:lastRenderedPageBreak/>
              <w:t>Concrete, rebar, liners, and structures</w:t>
            </w:r>
          </w:p>
        </w:tc>
        <w:tc>
          <w:tcPr>
            <w:tcW w:w="3816" w:type="dxa"/>
          </w:tcPr>
          <w:p w14:paraId="1963E7BE" w14:textId="77777777" w:rsidR="003A5A50" w:rsidRDefault="00CB4873">
            <w:pPr>
              <w:pStyle w:val="cTableBody"/>
              <w:spacing w:before="0" w:after="0"/>
            </w:pPr>
            <w:r>
              <w:t>China Nuclear Industry Huaxing Construction; CSCEC; MCC; Tongji/Tsinghua structural teams; SANY/Zoomlion concrete systems; qualified steel fabricators</w:t>
            </w:r>
          </w:p>
        </w:tc>
        <w:tc>
          <w:tcPr>
            <w:tcW w:w="4141" w:type="dxa"/>
          </w:tcPr>
          <w:p w14:paraId="28BE13D4" w14:textId="77777777" w:rsidR="003A5A50" w:rsidRDefault="00CB4873">
            <w:pPr>
              <w:pStyle w:val="cTableBody"/>
              <w:spacing w:before="0" w:after="0"/>
            </w:pPr>
            <w:r>
              <w:t>Nuclear structures, full-scale tests, rebar prefabrication/placement, formwork, concrete, PWR liners/structural modules, inspection and qualification.</w:t>
            </w:r>
          </w:p>
        </w:tc>
      </w:tr>
      <w:tr w:rsidR="003A5A50" w14:paraId="4C06E817" w14:textId="77777777" w:rsidTr="003A5A50">
        <w:tc>
          <w:tcPr>
            <w:tcW w:w="2159" w:type="dxa"/>
          </w:tcPr>
          <w:p w14:paraId="17743BBC" w14:textId="77777777" w:rsidR="003A5A50" w:rsidRDefault="00CB4873">
            <w:pPr>
              <w:pStyle w:val="cTableBody"/>
              <w:spacing w:before="0" w:after="0"/>
            </w:pPr>
            <w:r>
              <w:t>Digital engineering and metrology</w:t>
            </w:r>
          </w:p>
        </w:tc>
        <w:tc>
          <w:tcPr>
            <w:tcW w:w="3816" w:type="dxa"/>
          </w:tcPr>
          <w:p w14:paraId="6124572A" w14:textId="77777777" w:rsidR="003A5A50" w:rsidRDefault="00CB4873">
            <w:pPr>
              <w:pStyle w:val="cTableBody"/>
              <w:spacing w:before="0" w:after="0"/>
            </w:pPr>
            <w:r>
              <w:t>Huawei and other qualified Chinese industrial ICT providers; SUPCON/HollySys; Hexagon/Siemens/Bentley China where permitted; Tsinghua/Tongji</w:t>
            </w:r>
          </w:p>
        </w:tc>
        <w:tc>
          <w:tcPr>
            <w:tcW w:w="4141" w:type="dxa"/>
          </w:tcPr>
          <w:p w14:paraId="4A30C51E" w14:textId="77777777" w:rsidR="003A5A50" w:rsidRDefault="00CB4873">
            <w:pPr>
              <w:pStyle w:val="cTableBody"/>
              <w:spacing w:before="0" w:after="0"/>
            </w:pPr>
            <w:r>
              <w:t>BIM/4-D planning, digital twins, industrial networks, configuration, machine guidance, reality capture, metrology, product lifecycle and as-built verification.</w:t>
            </w:r>
          </w:p>
        </w:tc>
      </w:tr>
      <w:tr w:rsidR="003A5A50" w14:paraId="3651AAE2" w14:textId="77777777" w:rsidTr="003A5A50">
        <w:tc>
          <w:tcPr>
            <w:tcW w:w="2159" w:type="dxa"/>
          </w:tcPr>
          <w:p w14:paraId="40028C2D" w14:textId="77777777" w:rsidR="003A5A50" w:rsidRDefault="00CB4873">
            <w:pPr>
              <w:pStyle w:val="cTableBody"/>
              <w:spacing w:before="0" w:after="0"/>
            </w:pPr>
            <w:r>
              <w:t>Independent integration and review</w:t>
            </w:r>
          </w:p>
        </w:tc>
        <w:tc>
          <w:tcPr>
            <w:tcW w:w="3816" w:type="dxa"/>
          </w:tcPr>
          <w:p w14:paraId="3CC881AD" w14:textId="77777777" w:rsidR="003A5A50" w:rsidRDefault="00CB4873">
            <w:pPr>
              <w:pStyle w:val="cTableBody"/>
              <w:spacing w:before="0" w:after="0"/>
            </w:pPr>
            <w:r>
              <w:t>Independent Chinese universities/labs, qualified test institutes, China Academy of Building Research capabilities, independent cost/schedule specialists, international peer reviewers where permitted</w:t>
            </w:r>
          </w:p>
        </w:tc>
        <w:tc>
          <w:tcPr>
            <w:tcW w:w="4141" w:type="dxa"/>
          </w:tcPr>
          <w:p w14:paraId="73238FD4" w14:textId="77777777" w:rsidR="003A5A50" w:rsidRDefault="00CB4873">
            <w:pPr>
              <w:pStyle w:val="cTableBody"/>
              <w:spacing w:before="0" w:after="0"/>
            </w:pPr>
            <w:r>
              <w:t>System integration audit, structural/test witnessing, cyber review, cost/schedule assessment, QA audit, acceptance verification, public-interest program review.</w:t>
            </w:r>
          </w:p>
        </w:tc>
      </w:tr>
    </w:tbl>
    <w:p w14:paraId="7615651C" w14:textId="77777777" w:rsidR="003A5A50" w:rsidRDefault="00CB4873">
      <w:pPr>
        <w:pStyle w:val="cSubject"/>
        <w:keepNext/>
        <w:spacing w:before="280" w:after="280"/>
      </w:pPr>
      <w:r>
        <w:rPr>
          <w:b w:val="0"/>
        </w:rPr>
        <w:t>Assignments by work package</w:t>
      </w:r>
    </w:p>
    <w:tbl>
      <w:tblPr>
        <w:tblStyle w:val="gswTableStyle"/>
        <w:tblW w:w="10206" w:type="dxa"/>
        <w:tblLayout w:type="fixed"/>
        <w:tblLook w:val="04A0" w:firstRow="1" w:lastRow="0" w:firstColumn="1" w:lastColumn="0" w:noHBand="0" w:noVBand="1"/>
      </w:tblPr>
      <w:tblGrid>
        <w:gridCol w:w="3310"/>
        <w:gridCol w:w="6896"/>
      </w:tblGrid>
      <w:tr w:rsidR="003A5A50" w14:paraId="24A0CCF1" w14:textId="77777777" w:rsidTr="003A5A50">
        <w:trPr>
          <w:cnfStyle w:val="100000000000" w:firstRow="1" w:lastRow="0" w:firstColumn="0" w:lastColumn="0" w:oddVBand="0" w:evenVBand="0" w:oddHBand="0" w:evenHBand="0" w:firstRowFirstColumn="0" w:firstRowLastColumn="0" w:lastRowFirstColumn="0" w:lastRowLastColumn="0"/>
        </w:trPr>
        <w:tc>
          <w:tcPr>
            <w:tcW w:w="3310" w:type="dxa"/>
          </w:tcPr>
          <w:p w14:paraId="2DD4C82D" w14:textId="77777777" w:rsidR="003A5A50" w:rsidRDefault="00CB4873">
            <w:pPr>
              <w:pStyle w:val="cTableHeader"/>
              <w:spacing w:before="0" w:after="0"/>
            </w:pPr>
            <w:r>
              <w:t>Work package</w:t>
            </w:r>
          </w:p>
        </w:tc>
        <w:tc>
          <w:tcPr>
            <w:tcW w:w="6895" w:type="dxa"/>
          </w:tcPr>
          <w:p w14:paraId="57103A7E" w14:textId="77777777" w:rsidR="003A5A50" w:rsidRDefault="00CB4873">
            <w:pPr>
              <w:pStyle w:val="cTableHeader"/>
              <w:spacing w:before="0" w:after="0"/>
            </w:pPr>
            <w:r>
              <w:t>Illustrative execution and independent review approach</w:t>
            </w:r>
          </w:p>
        </w:tc>
      </w:tr>
      <w:tr w:rsidR="003A5A50" w14:paraId="64AC15D7" w14:textId="77777777" w:rsidTr="003A5A50">
        <w:tc>
          <w:tcPr>
            <w:tcW w:w="3310" w:type="dxa"/>
          </w:tcPr>
          <w:p w14:paraId="47E2F2DF" w14:textId="77777777" w:rsidR="003A5A50" w:rsidRDefault="00CB4873">
            <w:pPr>
              <w:pStyle w:val="cTableBody"/>
              <w:spacing w:before="0" w:after="0"/>
            </w:pPr>
            <w:r>
              <w:t>1. Dual-reference plant, site, and construction-system design</w:t>
            </w:r>
          </w:p>
        </w:tc>
        <w:tc>
          <w:tcPr>
            <w:tcW w:w="6895" w:type="dxa"/>
          </w:tcPr>
          <w:p w14:paraId="688C2D20" w14:textId="77777777" w:rsidR="003A5A50" w:rsidRDefault="00CB4873">
            <w:pPr>
              <w:pStyle w:val="cTableBody"/>
              <w:spacing w:before="0" w:after="0"/>
            </w:pPr>
            <w:r>
              <w:t>Parallel HTR and Hualong One design-authority teams plus an owner systems integrator; independent constructability/economics review.</w:t>
            </w:r>
          </w:p>
        </w:tc>
      </w:tr>
      <w:tr w:rsidR="003A5A50" w14:paraId="016CEB31" w14:textId="77777777" w:rsidTr="003A5A50">
        <w:tc>
          <w:tcPr>
            <w:tcW w:w="3310" w:type="dxa"/>
          </w:tcPr>
          <w:p w14:paraId="38CEC48E" w14:textId="77777777" w:rsidR="003A5A50" w:rsidRDefault="00CB4873">
            <w:pPr>
              <w:pStyle w:val="cTableBody"/>
              <w:spacing w:before="0" w:after="0"/>
            </w:pPr>
            <w:r>
              <w:t>2. Excavation, earthworks, and precision rock-cutting machines</w:t>
            </w:r>
          </w:p>
        </w:tc>
        <w:tc>
          <w:tcPr>
            <w:tcW w:w="6895" w:type="dxa"/>
          </w:tcPr>
          <w:p w14:paraId="6F574131" w14:textId="77777777" w:rsidR="003A5A50" w:rsidRDefault="00CB4873">
            <w:pPr>
              <w:pStyle w:val="cTableBody"/>
              <w:spacing w:before="0" w:after="0"/>
            </w:pPr>
            <w:r>
              <w:t>Chinese tunnel/shaft and heavy-equipment OEMs; nuclear civil contractor; geotechnical universities; independent full-scale test witnesses.</w:t>
            </w:r>
          </w:p>
        </w:tc>
      </w:tr>
      <w:tr w:rsidR="003A5A50" w14:paraId="487CCD85" w14:textId="77777777" w:rsidTr="003A5A50">
        <w:tc>
          <w:tcPr>
            <w:tcW w:w="3310" w:type="dxa"/>
          </w:tcPr>
          <w:p w14:paraId="4A8769FA" w14:textId="77777777" w:rsidR="003A5A50" w:rsidRDefault="00CB4873">
            <w:pPr>
              <w:pStyle w:val="cTableBody"/>
              <w:spacing w:before="0" w:after="0"/>
            </w:pPr>
            <w:r>
              <w:t>3. Material handling, spoil removal, and machine exchange</w:t>
            </w:r>
          </w:p>
        </w:tc>
        <w:tc>
          <w:tcPr>
            <w:tcW w:w="6895" w:type="dxa"/>
          </w:tcPr>
          <w:p w14:paraId="47F977FC" w14:textId="77777777" w:rsidR="003A5A50" w:rsidRDefault="00CB4873">
            <w:pPr>
              <w:pStyle w:val="cTableBody"/>
              <w:spacing w:before="0" w:after="0"/>
            </w:pPr>
            <w:r>
              <w:t>Mining/material-flow suppliers, hoist/conveyor firms, site-logistics contractors, controls integrator; independent throughput/recovery test team.</w:t>
            </w:r>
          </w:p>
        </w:tc>
      </w:tr>
      <w:tr w:rsidR="003A5A50" w14:paraId="690A6021" w14:textId="77777777" w:rsidTr="003A5A50">
        <w:tc>
          <w:tcPr>
            <w:tcW w:w="3310" w:type="dxa"/>
          </w:tcPr>
          <w:p w14:paraId="76E55263" w14:textId="77777777" w:rsidR="003A5A50" w:rsidRDefault="00CB4873">
            <w:pPr>
              <w:pStyle w:val="cTableBody"/>
              <w:spacing w:before="0" w:after="0"/>
            </w:pPr>
            <w:r>
              <w:t>4. Heavy lift, gantry, crane, rail, and positioning systems</w:t>
            </w:r>
          </w:p>
        </w:tc>
        <w:tc>
          <w:tcPr>
            <w:tcW w:w="6895" w:type="dxa"/>
          </w:tcPr>
          <w:p w14:paraId="56968F75" w14:textId="77777777" w:rsidR="003A5A50" w:rsidRDefault="00CB4873">
            <w:pPr>
              <w:pStyle w:val="cTableBody"/>
              <w:spacing w:before="0" w:after="0"/>
            </w:pPr>
            <w:r>
              <w:t>Chinese crane/heavy-lift/rail/SPMT OEMs and nuclear EPCs; separate structural/lifting-code reviewer and proof-load witness.</w:t>
            </w:r>
          </w:p>
        </w:tc>
      </w:tr>
      <w:tr w:rsidR="003A5A50" w14:paraId="4882C384" w14:textId="77777777" w:rsidTr="003A5A50">
        <w:tc>
          <w:tcPr>
            <w:tcW w:w="3310" w:type="dxa"/>
          </w:tcPr>
          <w:p w14:paraId="4E16D004" w14:textId="77777777" w:rsidR="003A5A50" w:rsidRDefault="00CB4873">
            <w:pPr>
              <w:pStyle w:val="cTableBody"/>
              <w:spacing w:before="0" w:after="0"/>
            </w:pPr>
            <w:r>
              <w:t>5. Concrete, rebar, formwork, steel-liner, and structural automation</w:t>
            </w:r>
          </w:p>
        </w:tc>
        <w:tc>
          <w:tcPr>
            <w:tcW w:w="6895" w:type="dxa"/>
          </w:tcPr>
          <w:p w14:paraId="5C371739" w14:textId="77777777" w:rsidR="003A5A50" w:rsidRDefault="00CB4873">
            <w:pPr>
              <w:pStyle w:val="cTableBody"/>
              <w:spacing w:before="0" w:after="0"/>
            </w:pPr>
            <w:r>
              <w:t>Huaxing/qualified nuclear civil teams, concrete/rebar OEMs, steel-liner fabricators, structural universities; independent materials/NDE/QA laboratories.</w:t>
            </w:r>
          </w:p>
        </w:tc>
      </w:tr>
      <w:tr w:rsidR="003A5A50" w14:paraId="0590F416" w14:textId="77777777" w:rsidTr="003A5A50">
        <w:tc>
          <w:tcPr>
            <w:tcW w:w="3310" w:type="dxa"/>
          </w:tcPr>
          <w:p w14:paraId="5B9388AD" w14:textId="77777777" w:rsidR="003A5A50" w:rsidRDefault="00CB4873">
            <w:pPr>
              <w:pStyle w:val="cTableBody"/>
              <w:spacing w:before="0" w:after="0"/>
            </w:pPr>
            <w:r>
              <w:t>6. Heavy-module transport and site-logistics system</w:t>
            </w:r>
          </w:p>
        </w:tc>
        <w:tc>
          <w:tcPr>
            <w:tcW w:w="6895" w:type="dxa"/>
          </w:tcPr>
          <w:p w14:paraId="45EF3A00" w14:textId="77777777" w:rsidR="003A5A50" w:rsidRDefault="00CB4873">
            <w:pPr>
              <w:pStyle w:val="cTableBody"/>
              <w:spacing w:before="0" w:after="0"/>
            </w:pPr>
            <w:r>
              <w:t>Heavy-transport, CRRC/rail, SPMT, port/route/bridge engineers, factory module teams; independent transport safety and route audit.</w:t>
            </w:r>
          </w:p>
        </w:tc>
      </w:tr>
      <w:tr w:rsidR="003A5A50" w14:paraId="0B41451B" w14:textId="77777777" w:rsidTr="003A5A50">
        <w:tc>
          <w:tcPr>
            <w:tcW w:w="3310" w:type="dxa"/>
          </w:tcPr>
          <w:p w14:paraId="24F09A8E" w14:textId="77777777" w:rsidR="003A5A50" w:rsidRDefault="00CB4873">
            <w:pPr>
              <w:pStyle w:val="cTableBody"/>
              <w:spacing w:before="0" w:after="0"/>
            </w:pPr>
            <w:r>
              <w:t>7. Reactor-island and support-module installation automation</w:t>
            </w:r>
          </w:p>
        </w:tc>
        <w:tc>
          <w:tcPr>
            <w:tcW w:w="6895" w:type="dxa"/>
          </w:tcPr>
          <w:p w14:paraId="3D65F3A8" w14:textId="77777777" w:rsidR="003A5A50" w:rsidRDefault="00CB4873">
            <w:pPr>
              <w:pStyle w:val="cTableBody"/>
              <w:spacing w:before="0" w:after="0"/>
            </w:pPr>
            <w:r>
              <w:t>HTR and PWR vendor/EPC installation teams, heavy fabrication, industrial robotics, welding/NDE/metrology suppliers; owner-direct installation reviewers.</w:t>
            </w:r>
          </w:p>
        </w:tc>
      </w:tr>
      <w:tr w:rsidR="003A5A50" w14:paraId="3436513C" w14:textId="77777777" w:rsidTr="003A5A50">
        <w:tc>
          <w:tcPr>
            <w:tcW w:w="3310" w:type="dxa"/>
          </w:tcPr>
          <w:p w14:paraId="6204E4D0" w14:textId="77777777" w:rsidR="003A5A50" w:rsidRDefault="00CB4873">
            <w:pPr>
              <w:pStyle w:val="cTableBody"/>
              <w:spacing w:before="0" w:after="0"/>
            </w:pPr>
            <w:r>
              <w:t>8. Digital twin, autonomy, metrology, and nuclear QA data thread</w:t>
            </w:r>
          </w:p>
        </w:tc>
        <w:tc>
          <w:tcPr>
            <w:tcW w:w="6895" w:type="dxa"/>
          </w:tcPr>
          <w:p w14:paraId="70CAEEC1" w14:textId="77777777" w:rsidR="003A5A50" w:rsidRDefault="00CB4873">
            <w:pPr>
              <w:pStyle w:val="cTableBody"/>
              <w:spacing w:before="0" w:after="0"/>
            </w:pPr>
            <w:r>
              <w:t>Chinese industrial digital/controls providers, universities, metrology vendors and nuclear QA specialists; independent software V&amp;V and cyber teams.</w:t>
            </w:r>
          </w:p>
        </w:tc>
      </w:tr>
      <w:tr w:rsidR="003A5A50" w14:paraId="2B1E6AD8" w14:textId="77777777" w:rsidTr="003A5A50">
        <w:tc>
          <w:tcPr>
            <w:tcW w:w="3310" w:type="dxa"/>
          </w:tcPr>
          <w:p w14:paraId="22D72CA9" w14:textId="77777777" w:rsidR="003A5A50" w:rsidRDefault="00CB4873">
            <w:pPr>
              <w:pStyle w:val="cTableBody"/>
              <w:spacing w:before="0" w:after="0"/>
            </w:pPr>
            <w:r>
              <w:t>9. Integrated dual-track pilot site and end-to-end demonstration</w:t>
            </w:r>
          </w:p>
        </w:tc>
        <w:tc>
          <w:tcPr>
            <w:tcW w:w="6895" w:type="dxa"/>
          </w:tcPr>
          <w:p w14:paraId="33D91C46" w14:textId="77777777" w:rsidR="003A5A50" w:rsidRDefault="00CB4873">
            <w:pPr>
              <w:pStyle w:val="cTableBody"/>
              <w:spacing w:before="0" w:after="0"/>
            </w:pPr>
            <w:r>
              <w:t>Neutral China-based system integrator with separate HTR and PWR test-zone leads; owner-direct safety, cost, schedule, quality and test witnesses.</w:t>
            </w:r>
          </w:p>
        </w:tc>
      </w:tr>
      <w:tr w:rsidR="003A5A50" w14:paraId="3F0491D9" w14:textId="77777777" w:rsidTr="003A5A50">
        <w:tc>
          <w:tcPr>
            <w:tcW w:w="3310" w:type="dxa"/>
          </w:tcPr>
          <w:p w14:paraId="48F5A9E6" w14:textId="77777777" w:rsidR="003A5A50" w:rsidRDefault="00CB4873">
            <w:pPr>
              <w:pStyle w:val="cTableBody"/>
              <w:spacing w:before="0" w:after="0"/>
            </w:pPr>
            <w:r>
              <w:t>10. Program management, nuclear QA, China licensing support, and independent review</w:t>
            </w:r>
          </w:p>
        </w:tc>
        <w:tc>
          <w:tcPr>
            <w:tcW w:w="6895" w:type="dxa"/>
          </w:tcPr>
          <w:p w14:paraId="1383B6B2" w14:textId="77777777" w:rsidR="003A5A50" w:rsidRDefault="00CB4873">
            <w:pPr>
              <w:pStyle w:val="cTableBody"/>
              <w:spacing w:before="0" w:after="0"/>
            </w:pPr>
            <w:r>
              <w:t>China-based public-interest program office, independent estimator/auditor, nuclear QA/licensing advisers, legal/data-rights support, and advisory panels.</w:t>
            </w:r>
          </w:p>
        </w:tc>
      </w:tr>
    </w:tbl>
    <w:p w14:paraId="2D5BFABD" w14:textId="27B423CB" w:rsidR="003A5A50" w:rsidRDefault="00CB4873">
      <w:pPr>
        <w:pStyle w:val="cSubject"/>
        <w:keepNext/>
        <w:spacing w:before="280" w:after="280"/>
      </w:pPr>
      <w:r>
        <w:rPr>
          <w:b w:val="0"/>
        </w:rPr>
        <w:lastRenderedPageBreak/>
        <w:t xml:space="preserve">Managing organization versus </w:t>
      </w:r>
      <w:r w:rsidR="00F137C4">
        <w:rPr>
          <w:b w:val="0"/>
        </w:rPr>
        <w:t>R</w:t>
      </w:r>
      <w:r>
        <w:rPr>
          <w:b w:val="0"/>
        </w:rPr>
        <w:t>ecipient</w:t>
      </w:r>
    </w:p>
    <w:p w14:paraId="677D0822" w14:textId="2A0A1E93" w:rsidR="00C764CE" w:rsidRPr="00F137C4" w:rsidRDefault="00CB4873" w:rsidP="00F137C4">
      <w:r>
        <w:t>Managing Organization self-award, related-party, competition, pricing, conflict, audit, and recipient-transition rules are governed by the common framework. For this China dual-reference initiative, ownership and affiliation among CNNC-, CGN-, HTR-vendor, university, EPC, equipment-OEM, and Managing Organization entities must be visible so that HTR, PWR, common-platform, and conventional-construction comparisons remain credible.</w:t>
      </w:r>
      <w:bookmarkStart w:id="29" w:name="_Toc237866631"/>
      <w:bookmarkStart w:id="30" w:name="_Toc237987305"/>
    </w:p>
    <w:p w14:paraId="42ADE8BA" w14:textId="77777777" w:rsidR="003A5A50" w:rsidRDefault="00CB4873">
      <w:pPr>
        <w:pStyle w:val="Heading1"/>
        <w:spacing w:before="0" w:after="280"/>
      </w:pPr>
      <w:bookmarkStart w:id="31" w:name="_Toc238204712"/>
      <w:r>
        <w:lastRenderedPageBreak/>
        <w:t>Project Management</w:t>
      </w:r>
      <w:bookmarkEnd w:id="29"/>
      <w:bookmarkEnd w:id="30"/>
      <w:bookmarkEnd w:id="31"/>
    </w:p>
    <w:p w14:paraId="24C60263" w14:textId="77777777" w:rsidR="00E43E8F" w:rsidRDefault="00CB4873" w:rsidP="000D749E">
      <w:pPr>
        <w:pStyle w:val="cUserPromptHeading"/>
      </w:pPr>
      <w:r>
        <w:t>Prompt to AI:</w:t>
      </w:r>
      <w:r w:rsidR="000D749E">
        <w:t xml:space="preserve"> </w:t>
      </w:r>
      <w:r w:rsidRPr="000D749E">
        <w:rPr>
          <w:rStyle w:val="UserPromptTextChar"/>
          <w:b w:val="0"/>
          <w:bCs w:val="0"/>
        </w:rPr>
        <w:t>What project-management provisions are specific to this China-based HTR + PWR site-construction-automation initiative after incorporating the Climate Moonshot Portfolio Common Framework?</w:t>
      </w:r>
    </w:p>
    <w:p w14:paraId="5B564922" w14:textId="77777777" w:rsidR="00E43E8F" w:rsidRDefault="00CB4873">
      <w:pPr>
        <w:pStyle w:val="cSubject"/>
      </w:pPr>
      <w:r>
        <w:t>Response From AI:</w:t>
      </w:r>
    </w:p>
    <w:p w14:paraId="6057A437" w14:textId="38DAEBD8" w:rsidR="00C764CE" w:rsidRPr="00F137C4" w:rsidRDefault="00CB4873" w:rsidP="00F137C4">
      <w:r>
        <w:t xml:space="preserve">Portfolio-wide governance, Managing Organization selection, fiduciary controls, procurement, financial controls, reserve governance, independent review, audit, conflicts, open-source/data rights, and transition rules </w:t>
      </w:r>
      <w:r w:rsidR="00F137C4">
        <w:t xml:space="preserve">are specified in the </w:t>
      </w:r>
      <w:hyperlink r:id="rId43" w:anchor="framework" w:history="1">
        <w:r w:rsidR="00F137C4">
          <w:rPr>
            <w:rStyle w:val="bhyperlinkChar"/>
          </w:rPr>
          <w:t>Moonshot</w:t>
        </w:r>
        <w:r w:rsidR="00F137C4" w:rsidRPr="00D14B0C">
          <w:rPr>
            <w:rStyle w:val="bhyperlinkChar"/>
          </w:rPr>
          <w:t xml:space="preserve"> Common Framework</w:t>
        </w:r>
      </w:hyperlink>
      <w:r>
        <w:t>. This chapter states only the additional technical-management structure required by the dual-reference nuclear program.</w:t>
      </w:r>
    </w:p>
    <w:tbl>
      <w:tblPr>
        <w:tblStyle w:val="gswTableStyle"/>
        <w:tblW w:w="10026" w:type="dxa"/>
        <w:tblLayout w:type="fixed"/>
        <w:tblLook w:val="04A0" w:firstRow="1" w:lastRow="0" w:firstColumn="1" w:lastColumn="0" w:noHBand="0" w:noVBand="1"/>
      </w:tblPr>
      <w:tblGrid>
        <w:gridCol w:w="2088"/>
        <w:gridCol w:w="4319"/>
        <w:gridCol w:w="3619"/>
      </w:tblGrid>
      <w:tr w:rsidR="003A5A50" w14:paraId="10FAEAD6" w14:textId="77777777" w:rsidTr="003A5A50">
        <w:trPr>
          <w:cnfStyle w:val="100000000000" w:firstRow="1" w:lastRow="0" w:firstColumn="0" w:lastColumn="0" w:oddVBand="0" w:evenVBand="0" w:oddHBand="0" w:evenHBand="0" w:firstRowFirstColumn="0" w:firstRowLastColumn="0" w:lastRowFirstColumn="0" w:lastRowLastColumn="0"/>
          <w:tblHeader/>
        </w:trPr>
        <w:tc>
          <w:tcPr>
            <w:tcW w:w="2088" w:type="dxa"/>
          </w:tcPr>
          <w:p w14:paraId="1D43C4FF" w14:textId="77777777" w:rsidR="003A5A50" w:rsidRDefault="00CB4873">
            <w:pPr>
              <w:pStyle w:val="cTableHeader"/>
              <w:spacing w:before="0" w:after="0"/>
            </w:pPr>
            <w:r>
              <w:t>Entity</w:t>
            </w:r>
          </w:p>
        </w:tc>
        <w:tc>
          <w:tcPr>
            <w:tcW w:w="4319" w:type="dxa"/>
          </w:tcPr>
          <w:p w14:paraId="4BE93D82" w14:textId="77777777" w:rsidR="003A5A50" w:rsidRDefault="00CB4873">
            <w:pPr>
              <w:pStyle w:val="cTableHeader"/>
              <w:spacing w:before="0" w:after="0"/>
            </w:pPr>
            <w:r>
              <w:t>Initiative-specific responsibility</w:t>
            </w:r>
          </w:p>
        </w:tc>
        <w:tc>
          <w:tcPr>
            <w:tcW w:w="3619" w:type="dxa"/>
          </w:tcPr>
          <w:p w14:paraId="4DE97A05" w14:textId="77777777" w:rsidR="003A5A50" w:rsidRDefault="00CB4873">
            <w:pPr>
              <w:pStyle w:val="cTableHeader"/>
              <w:spacing w:before="0" w:after="0"/>
            </w:pPr>
            <w:r>
              <w:t>Program-specific limit / interface</w:t>
            </w:r>
          </w:p>
        </w:tc>
      </w:tr>
      <w:tr w:rsidR="003A5A50" w14:paraId="321609CC" w14:textId="77777777" w:rsidTr="003A5A50">
        <w:tc>
          <w:tcPr>
            <w:tcW w:w="2088" w:type="dxa"/>
          </w:tcPr>
          <w:p w14:paraId="050FBF21" w14:textId="77777777" w:rsidR="003A5A50" w:rsidRDefault="00CB4873">
            <w:pPr>
              <w:pStyle w:val="cTableBody"/>
              <w:spacing w:before="0" w:after="0"/>
            </w:pPr>
            <w:r>
              <w:t>Program Manager / PMO</w:t>
            </w:r>
          </w:p>
        </w:tc>
        <w:tc>
          <w:tcPr>
            <w:tcW w:w="4319" w:type="dxa"/>
          </w:tcPr>
          <w:p w14:paraId="48240EFC" w14:textId="77777777" w:rsidR="003A5A50" w:rsidRDefault="00CB4873">
            <w:pPr>
              <w:pStyle w:val="cTableBody"/>
              <w:spacing w:before="0" w:after="0"/>
            </w:pPr>
            <w:r>
              <w:t>Own one integrated China execution baseline across both reactor tracks, the dual-track pilot site, and the ten baseline work packages.</w:t>
            </w:r>
          </w:p>
        </w:tc>
        <w:tc>
          <w:tcPr>
            <w:tcW w:w="3619" w:type="dxa"/>
          </w:tcPr>
          <w:p w14:paraId="2A5FA3A7" w14:textId="77777777" w:rsidR="003A5A50" w:rsidRDefault="00CB4873">
            <w:pPr>
              <w:pStyle w:val="cTableBody"/>
              <w:spacing w:before="0" w:after="0"/>
            </w:pPr>
            <w:r>
              <w:t>Uses the common-framework fiduciary and procurement controls; may not waive licensed reactor interfaces, nuclear QA, independent review, or reserved Funding Source decisions.</w:t>
            </w:r>
          </w:p>
        </w:tc>
      </w:tr>
      <w:tr w:rsidR="003A5A50" w14:paraId="0C18D94F" w14:textId="77777777" w:rsidTr="003A5A50">
        <w:tc>
          <w:tcPr>
            <w:tcW w:w="2088" w:type="dxa"/>
          </w:tcPr>
          <w:p w14:paraId="12829F91" w14:textId="77777777" w:rsidR="003A5A50" w:rsidRDefault="00CB4873">
            <w:pPr>
              <w:pStyle w:val="cTableBody"/>
              <w:spacing w:before="0" w:after="0"/>
            </w:pPr>
            <w:r>
              <w:t>Chief Engineer / Common Platform Design Authority</w:t>
            </w:r>
          </w:p>
        </w:tc>
        <w:tc>
          <w:tcPr>
            <w:tcW w:w="4319" w:type="dxa"/>
          </w:tcPr>
          <w:p w14:paraId="383049F4" w14:textId="77777777" w:rsidR="003A5A50" w:rsidRDefault="00CB4873">
            <w:pPr>
              <w:pStyle w:val="cTableBody"/>
              <w:spacing w:before="0" w:after="0"/>
            </w:pPr>
            <w:r>
              <w:t>Own the construction-machine architecture, common mechanical/data interfaces, verification strategy, configuration control, and common-versus-reactor-specific decisions.</w:t>
            </w:r>
          </w:p>
        </w:tc>
        <w:tc>
          <w:tcPr>
            <w:tcW w:w="3619" w:type="dxa"/>
          </w:tcPr>
          <w:p w14:paraId="2F91EC09" w14:textId="77777777" w:rsidR="003A5A50" w:rsidRDefault="00CB4873">
            <w:pPr>
              <w:pStyle w:val="cTableBody"/>
              <w:spacing w:before="0" w:after="0"/>
            </w:pPr>
            <w:r>
              <w:t>Cannot alter controlled HTR or PWR nuclear interfaces without the applicable Reference Design Authority.</w:t>
            </w:r>
          </w:p>
        </w:tc>
      </w:tr>
      <w:tr w:rsidR="003A5A50" w14:paraId="118EF82F" w14:textId="77777777" w:rsidTr="003A5A50">
        <w:tc>
          <w:tcPr>
            <w:tcW w:w="2088" w:type="dxa"/>
          </w:tcPr>
          <w:p w14:paraId="30555C7B" w14:textId="77777777" w:rsidR="003A5A50" w:rsidRDefault="00CB4873">
            <w:pPr>
              <w:pStyle w:val="cTableBody"/>
              <w:spacing w:before="0" w:after="0"/>
            </w:pPr>
            <w:r>
              <w:t>HTR Reference Design Authority</w:t>
            </w:r>
          </w:p>
        </w:tc>
        <w:tc>
          <w:tcPr>
            <w:tcW w:w="4319" w:type="dxa"/>
          </w:tcPr>
          <w:p w14:paraId="55C997AD" w14:textId="77777777" w:rsidR="003A5A50" w:rsidRDefault="00CB4873">
            <w:pPr>
              <w:pStyle w:val="cTableBody"/>
              <w:spacing w:before="0" w:after="0"/>
            </w:pPr>
            <w:r>
              <w:t>Own HTR-PM/HTR-PM600 construction assumptions, loads, tolerances, sequence, safety-related boundaries, and approved interfaces used by the automation program.</w:t>
            </w:r>
          </w:p>
        </w:tc>
        <w:tc>
          <w:tcPr>
            <w:tcW w:w="3619" w:type="dxa"/>
          </w:tcPr>
          <w:p w14:paraId="31CC9C25" w14:textId="77777777" w:rsidR="003A5A50" w:rsidRDefault="00CB4873">
            <w:pPr>
              <w:pStyle w:val="cTableBody"/>
              <w:spacing w:before="0" w:after="0"/>
            </w:pPr>
            <w:r>
              <w:t>Does not independently certify common-platform economics, machine performance, or PWR work.</w:t>
            </w:r>
          </w:p>
        </w:tc>
      </w:tr>
      <w:tr w:rsidR="003A5A50" w14:paraId="669B8DDD" w14:textId="77777777" w:rsidTr="003A5A50">
        <w:tc>
          <w:tcPr>
            <w:tcW w:w="2088" w:type="dxa"/>
          </w:tcPr>
          <w:p w14:paraId="34D3D427" w14:textId="77777777" w:rsidR="003A5A50" w:rsidRDefault="00CB4873">
            <w:pPr>
              <w:pStyle w:val="cTableBody"/>
              <w:spacing w:before="0" w:after="0"/>
            </w:pPr>
            <w:r>
              <w:t>PWR Reference Design Authority</w:t>
            </w:r>
          </w:p>
        </w:tc>
        <w:tc>
          <w:tcPr>
            <w:tcW w:w="4319" w:type="dxa"/>
          </w:tcPr>
          <w:p w14:paraId="3D7EB509" w14:textId="77777777" w:rsidR="003A5A50" w:rsidRDefault="00CB4873">
            <w:pPr>
              <w:pStyle w:val="cTableBody"/>
              <w:spacing w:before="0" w:after="0"/>
            </w:pPr>
            <w:r>
              <w:t>Own Hualong One/HPR1000 construction assumptions, containment/nuclear-island interfaces, loads, tolerances, sequence, and safety classifications.</w:t>
            </w:r>
          </w:p>
        </w:tc>
        <w:tc>
          <w:tcPr>
            <w:tcW w:w="3619" w:type="dxa"/>
          </w:tcPr>
          <w:p w14:paraId="40F3DE14" w14:textId="77777777" w:rsidR="003A5A50" w:rsidRDefault="00CB4873">
            <w:pPr>
              <w:pStyle w:val="cTableBody"/>
              <w:spacing w:before="0" w:after="0"/>
            </w:pPr>
            <w:r>
              <w:t>Does not independently certify common-platform economics, machine performance, or HTR work.</w:t>
            </w:r>
          </w:p>
        </w:tc>
      </w:tr>
      <w:tr w:rsidR="003A5A50" w14:paraId="08166C41" w14:textId="77777777" w:rsidTr="003A5A50">
        <w:tc>
          <w:tcPr>
            <w:tcW w:w="2088" w:type="dxa"/>
          </w:tcPr>
          <w:p w14:paraId="789E4700" w14:textId="77777777" w:rsidR="003A5A50" w:rsidRDefault="00CB4873">
            <w:pPr>
              <w:pStyle w:val="cTableBody"/>
              <w:spacing w:before="0" w:after="0"/>
            </w:pPr>
            <w:r>
              <w:t>Independent Nuclear QA / Safety / Economics Authorities</w:t>
            </w:r>
          </w:p>
        </w:tc>
        <w:tc>
          <w:tcPr>
            <w:tcW w:w="4319" w:type="dxa"/>
          </w:tcPr>
          <w:p w14:paraId="6B16C488" w14:textId="77777777" w:rsidR="003A5A50" w:rsidRDefault="00CB4873">
            <w:pPr>
              <w:pStyle w:val="cTableBody"/>
              <w:spacing w:before="0" w:after="0"/>
            </w:pPr>
            <w:r>
              <w:t>Witness or independently reconstruct quality, pilot safety, software/metrology performance, cost, schedule, and acceptance evidence.</w:t>
            </w:r>
          </w:p>
        </w:tc>
        <w:tc>
          <w:tcPr>
            <w:tcW w:w="3619" w:type="dxa"/>
          </w:tcPr>
          <w:p w14:paraId="637E8738" w14:textId="77777777" w:rsidR="003A5A50" w:rsidRDefault="00CB4873">
            <w:pPr>
              <w:pStyle w:val="cTableBody"/>
              <w:spacing w:before="0" w:after="0"/>
            </w:pPr>
            <w:r>
              <w:t>Must remain institutionally separate from the performer whose claim is being accepted and retain hold/withhold/stop authority within charter.</w:t>
            </w:r>
          </w:p>
        </w:tc>
      </w:tr>
      <w:tr w:rsidR="003A5A50" w14:paraId="7561AFC2" w14:textId="77777777" w:rsidTr="003A5A50">
        <w:tc>
          <w:tcPr>
            <w:tcW w:w="2088" w:type="dxa"/>
          </w:tcPr>
          <w:p w14:paraId="5F43A538" w14:textId="77777777" w:rsidR="003A5A50" w:rsidRDefault="00CB4873">
            <w:pPr>
              <w:pStyle w:val="cTableBody"/>
              <w:spacing w:before="0" w:after="0"/>
            </w:pPr>
            <w:r>
              <w:t>China Pilot / Transition Leads</w:t>
            </w:r>
          </w:p>
        </w:tc>
        <w:tc>
          <w:tcPr>
            <w:tcW w:w="4319" w:type="dxa"/>
          </w:tcPr>
          <w:p w14:paraId="41264A9B" w14:textId="77777777" w:rsidR="003A5A50" w:rsidRDefault="00CB4873">
            <w:pPr>
              <w:pStyle w:val="cTableBody"/>
              <w:spacing w:before="0" w:after="0"/>
            </w:pPr>
            <w:r>
              <w:t>Run the HTR and PWR test zones and prepare separate Year-4 first-site transition packages for the two reactor tracks.</w:t>
            </w:r>
          </w:p>
        </w:tc>
        <w:tc>
          <w:tcPr>
            <w:tcW w:w="3619" w:type="dxa"/>
          </w:tcPr>
          <w:p w14:paraId="75090069" w14:textId="77777777" w:rsidR="003A5A50" w:rsidRDefault="00CB4873">
            <w:pPr>
              <w:pStyle w:val="cTableBody"/>
              <w:spacing w:before="0" w:after="0"/>
            </w:pPr>
            <w:r>
              <w:t>Phase II or first licensed deployment is separately authorized; evidence may justify proceeding with one track, both tracks, or neither.</w:t>
            </w:r>
          </w:p>
        </w:tc>
      </w:tr>
    </w:tbl>
    <w:p w14:paraId="3FA089CE" w14:textId="77777777" w:rsidR="00E43E8F" w:rsidRDefault="00CB4873" w:rsidP="00F137C4">
      <w:pPr>
        <w:pStyle w:val="cSubject"/>
        <w:keepNext/>
      </w:pPr>
      <w:r>
        <w:lastRenderedPageBreak/>
        <w:t>Initiative-specific management requirements</w:t>
      </w:r>
    </w:p>
    <w:p w14:paraId="0CD38612" w14:textId="77777777" w:rsidR="00E43E8F" w:rsidRDefault="00CB4873">
      <w:pPr>
        <w:pStyle w:val="blist-bullets"/>
      </w:pPr>
      <w:r>
        <w:t>The Managing Organization must be capable of China-based nuclear procurement and project execution, including coordination with qualified Chinese design authorities, nuclear civil contractors, equipment OEMs, test institutes, and applicable regulator interfaces.</w:t>
      </w:r>
    </w:p>
    <w:p w14:paraId="29CB1909" w14:textId="77777777" w:rsidR="00E43E8F" w:rsidRDefault="00CB4873">
      <w:pPr>
        <w:pStyle w:val="blist-bullets"/>
      </w:pPr>
      <w:r>
        <w:t>Maintain two controlled reactor-reference baselines and one common-machine/interface baseline. Changes affecting reactor geometry, loads, tolerances, nuclear QA, or safety classification require concurrence from the applicable reference design authority.</w:t>
      </w:r>
    </w:p>
    <w:p w14:paraId="6F8C4675" w14:textId="77777777" w:rsidR="00E43E8F" w:rsidRDefault="00CB4873">
      <w:pPr>
        <w:pStyle w:val="blist-bullets"/>
      </w:pPr>
      <w:r>
        <w:t>Independent acceptance is required for nuclear lifting, representative civil test articles, autonomy/functional-safety behavior, metrology/NDE, digital QA records, and the bottom-up HTR/PWR cost-and-schedule comparison.</w:t>
      </w:r>
    </w:p>
    <w:p w14:paraId="7377EEB0" w14:textId="77777777" w:rsidR="00E43E8F" w:rsidRDefault="00CB4873">
      <w:pPr>
        <w:pStyle w:val="blist-bullets"/>
      </w:pPr>
      <w:r>
        <w:t>By Year 4, maintain separate HTR and PWR first-site transition packages. Follow-on funding need not be split evenly; it should follow measured savings, quality, safety, licensing feasibility, and deployment value.</w:t>
      </w:r>
    </w:p>
    <w:p w14:paraId="5B0CBD43" w14:textId="77777777" w:rsidR="003A5A50" w:rsidRDefault="00CB4873">
      <w:pPr>
        <w:pStyle w:val="Heading1"/>
        <w:spacing w:before="0" w:after="280"/>
      </w:pPr>
      <w:bookmarkStart w:id="32" w:name="_Toc237866632"/>
      <w:bookmarkStart w:id="33" w:name="_Toc237987306"/>
      <w:bookmarkStart w:id="34" w:name="_Toc238204713"/>
      <w:r>
        <w:lastRenderedPageBreak/>
        <w:t>Funding Source Requirements</w:t>
      </w:r>
      <w:bookmarkEnd w:id="32"/>
      <w:bookmarkEnd w:id="33"/>
      <w:bookmarkEnd w:id="34"/>
    </w:p>
    <w:p w14:paraId="3B7D8188" w14:textId="77777777" w:rsidR="000A0D68" w:rsidRDefault="000A0D68" w:rsidP="000A0D68">
      <w:r>
        <w:t>We assume the F</w:t>
      </w:r>
      <w:r w:rsidRPr="00EE160D">
        <w:t xml:space="preserve">unding Source </w:t>
      </w:r>
      <w:r>
        <w:t>aims to</w:t>
      </w:r>
      <w:r w:rsidRPr="00EE160D">
        <w:t xml:space="preserve"> maximize climate benefit per dollar</w:t>
      </w:r>
      <w:r>
        <w:t xml:space="preserve"> spent, as opposed to maximize financial return on an investment. This is sometimes referred to as “climate money”, and it differs from the traditional investment portfolio. Sources of climate money include high-net-worth individuals, foundations, and governments. </w:t>
      </w:r>
    </w:p>
    <w:p w14:paraId="67FAB6C3" w14:textId="7FD9D3C7" w:rsidR="00C764CE" w:rsidRPr="008E53D0" w:rsidRDefault="00CB4873" w:rsidP="008E53D0">
      <w:r>
        <w:t xml:space="preserve">The portfolio-wide Funding Source requirements </w:t>
      </w:r>
      <w:r w:rsidR="008E53D0">
        <w:t xml:space="preserve">are specified in the </w:t>
      </w:r>
      <w:hyperlink r:id="rId44" w:anchor="framework" w:history="1">
        <w:r w:rsidR="008E53D0">
          <w:rPr>
            <w:rStyle w:val="bhyperlinkChar"/>
          </w:rPr>
          <w:t>Moonshot</w:t>
        </w:r>
        <w:r w:rsidR="008E53D0" w:rsidRPr="00D14B0C">
          <w:rPr>
            <w:rStyle w:val="bhyperlinkChar"/>
          </w:rPr>
          <w:t xml:space="preserve"> Common Framework</w:t>
        </w:r>
      </w:hyperlink>
      <w:r>
        <w:t>. The additions below address the dual reactor reference, Chinese nuclear context, controlled reactor-vendor information, and the need for a fair measured comparison between HTR, PWR, common-platform, and conventional construction.</w:t>
      </w:r>
    </w:p>
    <w:tbl>
      <w:tblPr>
        <w:tblStyle w:val="gswTableStyle"/>
        <w:tblW w:w="9936" w:type="dxa"/>
        <w:tblLayout w:type="fixed"/>
        <w:tblLook w:val="04A0" w:firstRow="1" w:lastRow="0" w:firstColumn="1" w:lastColumn="0" w:noHBand="0" w:noVBand="1"/>
      </w:tblPr>
      <w:tblGrid>
        <w:gridCol w:w="2519"/>
        <w:gridCol w:w="7417"/>
      </w:tblGrid>
      <w:tr w:rsidR="003A5A50" w14:paraId="06E5791D" w14:textId="77777777" w:rsidTr="003A5A50">
        <w:trPr>
          <w:cnfStyle w:val="100000000000" w:firstRow="1" w:lastRow="0" w:firstColumn="0" w:lastColumn="0" w:oddVBand="0" w:evenVBand="0" w:oddHBand="0" w:evenHBand="0" w:firstRowFirstColumn="0" w:firstRowLastColumn="0" w:lastRowFirstColumn="0" w:lastRowLastColumn="0"/>
        </w:trPr>
        <w:tc>
          <w:tcPr>
            <w:tcW w:w="2519" w:type="dxa"/>
          </w:tcPr>
          <w:p w14:paraId="18424164" w14:textId="77777777" w:rsidR="003A5A50" w:rsidRDefault="00CB4873">
            <w:pPr>
              <w:pStyle w:val="cTableHeader"/>
              <w:spacing w:before="0" w:after="0"/>
            </w:pPr>
            <w:r>
              <w:t>Requirement</w:t>
            </w:r>
          </w:p>
        </w:tc>
        <w:tc>
          <w:tcPr>
            <w:tcW w:w="7416" w:type="dxa"/>
          </w:tcPr>
          <w:p w14:paraId="40D3580B" w14:textId="77777777" w:rsidR="003A5A50" w:rsidRDefault="00CB4873">
            <w:pPr>
              <w:pStyle w:val="cTableHeader"/>
              <w:spacing w:before="0" w:after="0"/>
            </w:pPr>
            <w:r>
              <w:t>Initiative-specific addition to the common framework</w:t>
            </w:r>
          </w:p>
        </w:tc>
      </w:tr>
      <w:tr w:rsidR="003A5A50" w14:paraId="43BB163A" w14:textId="77777777" w:rsidTr="003A5A50">
        <w:tc>
          <w:tcPr>
            <w:tcW w:w="2519" w:type="dxa"/>
          </w:tcPr>
          <w:p w14:paraId="2C63FC38" w14:textId="77777777" w:rsidR="003A5A50" w:rsidRDefault="00CB4873">
            <w:pPr>
              <w:pStyle w:val="cTableBody"/>
              <w:spacing w:before="0" w:after="0"/>
            </w:pPr>
            <w:r>
              <w:t>China dual-reference mission</w:t>
            </w:r>
          </w:p>
        </w:tc>
        <w:tc>
          <w:tcPr>
            <w:tcW w:w="7416" w:type="dxa"/>
          </w:tcPr>
          <w:p w14:paraId="12CFAA0B" w14:textId="77777777" w:rsidR="003A5A50" w:rsidRDefault="00CB4873">
            <w:pPr>
              <w:pStyle w:val="cTableBody"/>
              <w:spacing w:before="0" w:after="0"/>
            </w:pPr>
            <w:r>
              <w:t>Spend only on the five-year site-construction-automation mission for HTR-PM/HTR-PM600 and Hualong One/HPR1000-class reference plants, plus the non-nuclear pilot and required China-specific engineering/support.</w:t>
            </w:r>
          </w:p>
        </w:tc>
      </w:tr>
      <w:tr w:rsidR="003A5A50" w14:paraId="40285ED8" w14:textId="77777777" w:rsidTr="003A5A50">
        <w:tc>
          <w:tcPr>
            <w:tcW w:w="2519" w:type="dxa"/>
          </w:tcPr>
          <w:p w14:paraId="7B508BAE" w14:textId="77777777" w:rsidR="003A5A50" w:rsidRDefault="00CB4873">
            <w:pPr>
              <w:pStyle w:val="cTableBody"/>
              <w:spacing w:before="0" w:after="0"/>
            </w:pPr>
            <w:r>
              <w:t>Two controlled construction baselines</w:t>
            </w:r>
          </w:p>
        </w:tc>
        <w:tc>
          <w:tcPr>
            <w:tcW w:w="7416" w:type="dxa"/>
          </w:tcPr>
          <w:p w14:paraId="5C0B7F88" w14:textId="77777777" w:rsidR="003A5A50" w:rsidRDefault="00CB4873">
            <w:pPr>
              <w:pStyle w:val="cTableBody"/>
              <w:spacing w:before="0" w:after="0"/>
            </w:pPr>
            <w:r>
              <w:t>Freeze auditable HTR and PWR quantities, sequences, loads, tolerances, safety classifications, site assumptions, conventional labor/equipment baselines, and cost/schedule models before claiming automation savings.</w:t>
            </w:r>
          </w:p>
        </w:tc>
      </w:tr>
      <w:tr w:rsidR="003A5A50" w14:paraId="5CE7CC74" w14:textId="77777777" w:rsidTr="003A5A50">
        <w:tc>
          <w:tcPr>
            <w:tcW w:w="2519" w:type="dxa"/>
          </w:tcPr>
          <w:p w14:paraId="67CB6786" w14:textId="77777777" w:rsidR="003A5A50" w:rsidRDefault="00CB4873">
            <w:pPr>
              <w:pStyle w:val="cTableBody"/>
              <w:spacing w:before="0" w:after="0"/>
            </w:pPr>
            <w:r>
              <w:t>Fair HTR/PWR/common-platform comparison</w:t>
            </w:r>
          </w:p>
        </w:tc>
        <w:tc>
          <w:tcPr>
            <w:tcW w:w="7416" w:type="dxa"/>
          </w:tcPr>
          <w:p w14:paraId="014F5E78" w14:textId="77777777" w:rsidR="003A5A50" w:rsidRDefault="00CB4873">
            <w:pPr>
              <w:pStyle w:val="cTableBody"/>
              <w:spacing w:before="0" w:after="0"/>
            </w:pPr>
            <w:r>
              <w:t>Do not preselect a reactor-track winner. Every major machine and process change reports HTR, PWR, common-platform, and conventional-baseline impacts using consistent accounting boundaries.</w:t>
            </w:r>
          </w:p>
        </w:tc>
      </w:tr>
      <w:tr w:rsidR="003A5A50" w14:paraId="417039D9" w14:textId="77777777" w:rsidTr="003A5A50">
        <w:tc>
          <w:tcPr>
            <w:tcW w:w="2519" w:type="dxa"/>
          </w:tcPr>
          <w:p w14:paraId="439B5416" w14:textId="77777777" w:rsidR="003A5A50" w:rsidRDefault="00CB4873">
            <w:pPr>
              <w:pStyle w:val="cTableBody"/>
              <w:spacing w:before="0" w:after="0"/>
            </w:pPr>
            <w:r>
              <w:t>Chinese nuclear QA, licensing, and security</w:t>
            </w:r>
          </w:p>
        </w:tc>
        <w:tc>
          <w:tcPr>
            <w:tcW w:w="7416" w:type="dxa"/>
          </w:tcPr>
          <w:p w14:paraId="38F59C0C" w14:textId="77777777" w:rsidR="003A5A50" w:rsidRDefault="00CB4873">
            <w:pPr>
              <w:pStyle w:val="cTableBody"/>
              <w:spacing w:before="0" w:after="0"/>
            </w:pPr>
            <w:r>
              <w:t>Apply the relevant Chinese nuclear construction QA, licensing/support, cybersecurity, physical-security, controlled-design-data, site-permit, and record requirements to the work actually performed.</w:t>
            </w:r>
          </w:p>
        </w:tc>
      </w:tr>
      <w:tr w:rsidR="003A5A50" w14:paraId="51BDDCB2" w14:textId="77777777" w:rsidTr="003A5A50">
        <w:tc>
          <w:tcPr>
            <w:tcW w:w="2519" w:type="dxa"/>
          </w:tcPr>
          <w:p w14:paraId="09680A3C" w14:textId="77777777" w:rsidR="003A5A50" w:rsidRDefault="00CB4873">
            <w:pPr>
              <w:pStyle w:val="cTableBody"/>
              <w:spacing w:before="0" w:after="0"/>
            </w:pPr>
            <w:r>
              <w:t>Reactor-vendor background data / machine foreground rights</w:t>
            </w:r>
          </w:p>
        </w:tc>
        <w:tc>
          <w:tcPr>
            <w:tcW w:w="7416" w:type="dxa"/>
          </w:tcPr>
          <w:p w14:paraId="775D4F73" w14:textId="77777777" w:rsidR="003A5A50" w:rsidRDefault="00CB4873">
            <w:pPr>
              <w:pStyle w:val="cTableBody"/>
              <w:spacing w:before="0" w:after="0"/>
            </w:pPr>
            <w:r>
              <w:t>Protect narrowly identified reactor-vendor background data and lawful controlled information while preserving broad sponsor rights in funded construction machines, software, interfaces, test evidence, maintenance data, and manufacturing packages.</w:t>
            </w:r>
          </w:p>
        </w:tc>
      </w:tr>
      <w:tr w:rsidR="003A5A50" w14:paraId="5801F711" w14:textId="77777777" w:rsidTr="003A5A50">
        <w:tc>
          <w:tcPr>
            <w:tcW w:w="2519" w:type="dxa"/>
          </w:tcPr>
          <w:p w14:paraId="7BC8847C" w14:textId="77777777" w:rsidR="003A5A50" w:rsidRDefault="00CB4873">
            <w:pPr>
              <w:pStyle w:val="cTableBody"/>
              <w:spacing w:before="0" w:after="0"/>
            </w:pPr>
            <w:r>
              <w:t>Human-supervised autonomy</w:t>
            </w:r>
          </w:p>
        </w:tc>
        <w:tc>
          <w:tcPr>
            <w:tcW w:w="7416" w:type="dxa"/>
          </w:tcPr>
          <w:p w14:paraId="568F717F" w14:textId="77777777" w:rsidR="003A5A50" w:rsidRDefault="00CB4873">
            <w:pPr>
              <w:pStyle w:val="cTableBody"/>
              <w:spacing w:before="0" w:after="0"/>
            </w:pPr>
            <w:r>
              <w:t>Define operating domains, authorization, geofencing, safe stop, intervention, fault recovery, logging, and cyber controls; unattended operation is not assumed by the five-year program.</w:t>
            </w:r>
          </w:p>
        </w:tc>
      </w:tr>
      <w:tr w:rsidR="003A5A50" w14:paraId="252A0C62" w14:textId="77777777" w:rsidTr="003A5A50">
        <w:tc>
          <w:tcPr>
            <w:tcW w:w="2519" w:type="dxa"/>
          </w:tcPr>
          <w:p w14:paraId="5E703086" w14:textId="77777777" w:rsidR="003A5A50" w:rsidRDefault="00CB4873">
            <w:pPr>
              <w:pStyle w:val="cTableBody"/>
              <w:spacing w:before="0" w:after="0"/>
            </w:pPr>
            <w:r>
              <w:t>Independent HTR/PWR verification</w:t>
            </w:r>
          </w:p>
        </w:tc>
        <w:tc>
          <w:tcPr>
            <w:tcW w:w="7416" w:type="dxa"/>
          </w:tcPr>
          <w:p w14:paraId="11026D5C" w14:textId="77777777" w:rsidR="003A5A50" w:rsidRDefault="00CB4873">
            <w:pPr>
              <w:pStyle w:val="cTableBody"/>
              <w:spacing w:before="0" w:after="0"/>
            </w:pPr>
            <w:r>
              <w:t>No HTR vendor, PWR vendor, EPC, machine builder, or Managing Organization affiliate solely certifies its own safety, quality, productivity, site $/W, schedule, LCOE effect, or readiness claim.</w:t>
            </w:r>
          </w:p>
        </w:tc>
      </w:tr>
      <w:tr w:rsidR="003A5A50" w14:paraId="22D18F58" w14:textId="77777777" w:rsidTr="003A5A50">
        <w:tc>
          <w:tcPr>
            <w:tcW w:w="2519" w:type="dxa"/>
          </w:tcPr>
          <w:p w14:paraId="5929DAA6" w14:textId="77777777" w:rsidR="003A5A50" w:rsidRDefault="00CB4873">
            <w:pPr>
              <w:pStyle w:val="cTableBody"/>
              <w:spacing w:before="0" w:after="0"/>
            </w:pPr>
            <w:r>
              <w:t>Common interfaces / deliberate divergence</w:t>
            </w:r>
          </w:p>
        </w:tc>
        <w:tc>
          <w:tcPr>
            <w:tcW w:w="7416" w:type="dxa"/>
          </w:tcPr>
          <w:p w14:paraId="35B60459" w14:textId="77777777" w:rsidR="003A5A50" w:rsidRDefault="00CB4873">
            <w:pPr>
              <w:pStyle w:val="cTableBody"/>
              <w:spacing w:before="0" w:after="0"/>
            </w:pPr>
            <w:r>
              <w:t>Prefer common lifting, transport, mechanical, electrical, data, metrology, and records interfaces; document when reactor-specific geometry, sequence, or nuclear requirements make separate tooling superior.</w:t>
            </w:r>
          </w:p>
        </w:tc>
      </w:tr>
      <w:tr w:rsidR="003A5A50" w14:paraId="17ECB818" w14:textId="77777777" w:rsidTr="003A5A50">
        <w:tc>
          <w:tcPr>
            <w:tcW w:w="2519" w:type="dxa"/>
          </w:tcPr>
          <w:p w14:paraId="5C74E19B" w14:textId="77777777" w:rsidR="003A5A50" w:rsidRDefault="00CB4873">
            <w:pPr>
              <w:pStyle w:val="cTableBody"/>
              <w:spacing w:before="0" w:after="0"/>
            </w:pPr>
            <w:r>
              <w:t>China supply-chain diligence</w:t>
            </w:r>
          </w:p>
        </w:tc>
        <w:tc>
          <w:tcPr>
            <w:tcW w:w="7416" w:type="dxa"/>
          </w:tcPr>
          <w:p w14:paraId="0AFFF1D2" w14:textId="77777777" w:rsidR="003A5A50" w:rsidRDefault="00CB4873">
            <w:pPr>
              <w:pStyle w:val="cTableBody"/>
              <w:spacing w:before="0" w:after="0"/>
            </w:pPr>
            <w:r>
              <w:t>Screen major suppliers and critical parts for qualification, counterfeit risk, corruption, sanctions/export constraints, cybersecurity, forced-labor concerns, single-source dependency, and transition/second-source risk as applicable.</w:t>
            </w:r>
          </w:p>
        </w:tc>
      </w:tr>
      <w:tr w:rsidR="003A5A50" w14:paraId="1A03259B" w14:textId="77777777" w:rsidTr="003A5A50">
        <w:tc>
          <w:tcPr>
            <w:tcW w:w="2519" w:type="dxa"/>
          </w:tcPr>
          <w:p w14:paraId="6F5F2A09" w14:textId="77777777" w:rsidR="003A5A50" w:rsidRDefault="00CB4873">
            <w:pPr>
              <w:pStyle w:val="cTableBody"/>
              <w:spacing w:before="0" w:after="0"/>
            </w:pPr>
            <w:r>
              <w:lastRenderedPageBreak/>
              <w:t>Separate Phase II / first-site authorization</w:t>
            </w:r>
          </w:p>
        </w:tc>
        <w:tc>
          <w:tcPr>
            <w:tcW w:w="7416" w:type="dxa"/>
          </w:tcPr>
          <w:p w14:paraId="30DC99C0" w14:textId="77777777" w:rsidR="003A5A50" w:rsidRDefault="00CB4873">
            <w:pPr>
              <w:pStyle w:val="cTableBody"/>
              <w:spacing w:before="0" w:after="0"/>
            </w:pPr>
            <w:r>
              <w:t>Completion of this R&amp;D program does not authorize a licensed plant, commercial construction, or equal follow-on funding for both reactor tracks. The Phase II decision is evidence-based and separately approved.</w:t>
            </w:r>
          </w:p>
        </w:tc>
      </w:tr>
    </w:tbl>
    <w:p w14:paraId="05C67065" w14:textId="77777777" w:rsidR="00E43E8F" w:rsidRDefault="00CB4873">
      <w:pPr>
        <w:pStyle w:val="cSubject"/>
      </w:pPr>
      <w:r>
        <w:t>Program-specific record additions</w:t>
      </w:r>
    </w:p>
    <w:p w14:paraId="28D2984D" w14:textId="77777777" w:rsidR="00E43E8F" w:rsidRDefault="00CB4873">
      <w:pPr>
        <w:pStyle w:val="blist-bullets"/>
      </w:pPr>
      <w:r>
        <w:t>Controlled HTR and PWR construction quantities, sequences, assumptions, conventional baselines, and change history.</w:t>
      </w:r>
    </w:p>
    <w:p w14:paraId="322991FF" w14:textId="77777777" w:rsidR="00E43E8F" w:rsidRDefault="00CB4873">
      <w:pPr>
        <w:pStyle w:val="blist-bullets"/>
      </w:pPr>
      <w:r>
        <w:t>Machine and pilot configurations, proof-load/precision/throughput/reliability evidence, failures, nonconformances, and corrective actions.</w:t>
      </w:r>
    </w:p>
    <w:p w14:paraId="7FD2BD2C" w14:textId="77777777" w:rsidR="00E43E8F" w:rsidRDefault="00CB4873">
      <w:pPr>
        <w:pStyle w:val="blist-bullets"/>
      </w:pPr>
      <w:r>
        <w:t>An indexed record of China-specific code, licensing-support, nuclear-QA, cybersecurity, physical-security, and controlled-data assumptions or restrictions that affect reuse.</w:t>
      </w:r>
    </w:p>
    <w:p w14:paraId="52B04382" w14:textId="77777777" w:rsidR="00E43E8F" w:rsidRDefault="00CB4873">
      <w:pPr>
        <w:pStyle w:val="blist-bullets"/>
      </w:pPr>
      <w:r>
        <w:t>Side-by-side HTR/PWR/conventional estimates for site-executed $/W, total plant CAPEX effect, build time, plant-gate LCOE, delivered-electricity scenarios, and useful process heat.</w:t>
      </w:r>
    </w:p>
    <w:p w14:paraId="4F1ABC40" w14:textId="77777777" w:rsidR="00E43E8F" w:rsidRDefault="00CB4873">
      <w:pPr>
        <w:pStyle w:val="cSubject"/>
      </w:pPr>
      <w:r>
        <w:t>Climate-benefit metric</w:t>
      </w:r>
    </w:p>
    <w:p w14:paraId="4FB4BDEA" w14:textId="77777777" w:rsidR="00E43E8F" w:rsidRDefault="00CB4873">
      <w:r>
        <w:t>Do not claim climate benefit from prototype completion alone. Report the independently estimated reduction in cost and delivery time of standardized 24/7 low-carbon electricity and useful heat, multiplied by plausible Chinese deployment scale and adjusted for technical, licensing, financing, siting, transmission, and adoption risk. Publish HTR and PWR results side by side. A potential HTR siting/transmission advantage should remain a regulator-credible scenario to test rather than an assumed regulatory dist</w:t>
      </w:r>
      <w:r>
        <w:t>ance.</w:t>
      </w:r>
    </w:p>
    <w:p w14:paraId="63E68B9A" w14:textId="77777777" w:rsidR="003A5A50" w:rsidRDefault="00CB4873">
      <w:pPr>
        <w:pStyle w:val="Heading1"/>
        <w:spacing w:before="280" w:after="280"/>
      </w:pPr>
      <w:bookmarkStart w:id="35" w:name="_Toc238204714"/>
      <w:r>
        <w:lastRenderedPageBreak/>
        <w:t>Top Nuclear Construction and Automation References</w:t>
      </w:r>
      <w:bookmarkEnd w:id="35"/>
    </w:p>
    <w:p w14:paraId="1E868BBB" w14:textId="77777777" w:rsidR="003A5A50" w:rsidRDefault="00CB4873">
      <w:pPr>
        <w:pStyle w:val="cUserPromptText"/>
        <w:spacing w:before="280" w:after="280"/>
      </w:pPr>
      <w:r>
        <w:rPr>
          <w:b/>
        </w:rPr>
        <w:t xml:space="preserve">Prompt to AI: </w:t>
      </w:r>
      <w:r>
        <w:t>Identify and summarize the top papers, reports, and major references most relevant to a China-based program that automates site construction for both HTR-PM and Hualong One-class PWR plants. Explain why each matters and what it does not establish.</w:t>
      </w:r>
    </w:p>
    <w:p w14:paraId="2AAB5748" w14:textId="77777777" w:rsidR="003A5A50" w:rsidRDefault="00CB4873">
      <w:pPr>
        <w:keepNext/>
        <w:spacing w:before="280" w:after="280"/>
      </w:pPr>
      <w:r>
        <w:rPr>
          <w:b/>
          <w:color w:val="4F81BD"/>
          <w:u w:val="single"/>
        </w:rPr>
        <w:t>Response From AI:</w:t>
      </w:r>
    </w:p>
    <w:p w14:paraId="0A40308A" w14:textId="77777777" w:rsidR="003A5A50" w:rsidRDefault="00CB4873">
      <w:pPr>
        <w:spacing w:before="280" w:after="280"/>
      </w:pPr>
      <w:r>
        <w:t>The list combines HTR-PM safety and construction references, current Hualong One serial-construction and automation evidence, China nuclear-program context, nuclear cost/construction studies, modularization, digital engineering, and heavy-equipment robotics. It is not a systematic review. Before procurement, commission a formal Chinese-language search of NNSA requirements, GB/NB/T standards, CNNC/CGN construction procedures, patents, supplier data, lessons learned, and current project records.</w:t>
      </w:r>
    </w:p>
    <w:p w14:paraId="5B92C744" w14:textId="77777777" w:rsidR="003A5A50" w:rsidRDefault="00CB4873">
      <w:pPr>
        <w:pStyle w:val="Heading2"/>
        <w:spacing w:before="280"/>
      </w:pPr>
      <w:r>
        <w:t>HTR / HTR-PM Design, Safety, and Operations</w:t>
      </w:r>
    </w:p>
    <w:p w14:paraId="28F37131" w14:textId="77777777" w:rsidR="003A5A50" w:rsidRDefault="00CB4873">
      <w:pPr>
        <w:pStyle w:val="cPaperTitle"/>
        <w:spacing w:before="280" w:after="280"/>
      </w:pPr>
      <w:r>
        <w:t>Zhang (2006), “Design Aspects of the Chinese Modular High-Temperature Gas-Cooled Reactor HTR-PM.”</w:t>
      </w:r>
    </w:p>
    <w:p w14:paraId="1E4A3773" w14:textId="77777777" w:rsidR="003A5A50" w:rsidRDefault="00CB4873">
      <w:pPr>
        <w:spacing w:before="280" w:after="280"/>
        <w:ind w:left="360"/>
      </w:pPr>
      <w:r>
        <w:t>HTR-PM design lineage and safety concepts; useful for separating reactor-specific systems from construction tasks and defining the passive-safety basis behind the HTR-PM track.</w:t>
      </w:r>
    </w:p>
    <w:p w14:paraId="203DF7AB" w14:textId="77777777" w:rsidR="003A5A50" w:rsidRDefault="00CB4873">
      <w:pPr>
        <w:spacing w:before="280" w:after="280"/>
        <w:ind w:left="360"/>
      </w:pPr>
      <w:r>
        <w:t>Limitation: Orientation only; not a controlled as-built construction package or evidence that a proposed automated civil layout is licensable.</w:t>
      </w:r>
    </w:p>
    <w:p w14:paraId="04531A24" w14:textId="77777777" w:rsidR="003A5A50" w:rsidRDefault="00CB4873">
      <w:pPr>
        <w:pStyle w:val="bhyperlink"/>
        <w:spacing w:after="280"/>
        <w:ind w:left="360"/>
      </w:pPr>
      <w:r>
        <w:rPr>
          <w:rStyle w:val="bhyperlinkChar"/>
        </w:rPr>
        <w:t>https://inis.iaea.org/</w:t>
      </w:r>
    </w:p>
    <w:p w14:paraId="031E8157" w14:textId="77777777" w:rsidR="003A5A50" w:rsidRDefault="00CB4873">
      <w:pPr>
        <w:pStyle w:val="cPaperTitle"/>
        <w:spacing w:before="280" w:after="280"/>
      </w:pPr>
      <w:r>
        <w:t>Zhang (2009), “Current Status and Technical Description of Chinese 2 x 250 MWth HTR-PM Demonstration Plant.”</w:t>
      </w:r>
    </w:p>
    <w:p w14:paraId="4454AB2A" w14:textId="77777777" w:rsidR="003A5A50" w:rsidRDefault="00CB4873">
      <w:pPr>
        <w:spacing w:before="280" w:after="280"/>
        <w:ind w:left="360"/>
      </w:pPr>
      <w:r>
        <w:t>Defines representative HTR-PM component sizes, module count, systems, and arrangement needed to bound lifting, excavation, transport, and installation machinery.</w:t>
      </w:r>
    </w:p>
    <w:p w14:paraId="7F374BD0" w14:textId="77777777" w:rsidR="003A5A50" w:rsidRDefault="00CB4873">
      <w:pPr>
        <w:spacing w:before="280" w:after="280"/>
        <w:ind w:left="360"/>
      </w:pPr>
      <w:r>
        <w:t>Limitation: Predates completion and commercial operation; current controlled design and as-built data should supersede it.</w:t>
      </w:r>
    </w:p>
    <w:p w14:paraId="07646E71" w14:textId="77777777" w:rsidR="003A5A50" w:rsidRDefault="00CB4873">
      <w:pPr>
        <w:pStyle w:val="bhyperlink"/>
        <w:spacing w:after="280"/>
        <w:ind w:left="360"/>
      </w:pPr>
      <w:r>
        <w:rPr>
          <w:rStyle w:val="bhyperlinkChar"/>
        </w:rPr>
        <w:t>https://doi.org/10.1016/j.nucengdes.2009.02.023</w:t>
      </w:r>
    </w:p>
    <w:p w14:paraId="32ED8C8A" w14:textId="77777777" w:rsidR="003A5A50" w:rsidRDefault="00CB4873">
      <w:pPr>
        <w:pStyle w:val="cPaperTitle"/>
        <w:spacing w:before="280" w:after="280"/>
      </w:pPr>
      <w:r>
        <w:lastRenderedPageBreak/>
        <w:t>Zhang (2016), “The Shidao Bay 200 MWe HTR-PM Demonstration Power Plant: An Engineering and Technological Innovation.”</w:t>
      </w:r>
    </w:p>
    <w:p w14:paraId="5E355968" w14:textId="77777777" w:rsidR="003A5A50" w:rsidRDefault="00CB4873">
      <w:pPr>
        <w:spacing w:before="280" w:after="280"/>
        <w:ind w:left="360"/>
      </w:pPr>
      <w:r>
        <w:t>Provides the HTR-PM engineering basis, 250 MWth modules, 567 C steam design, construction history, and multi-module economics discussion relevant to the HTR-PM reference track.</w:t>
      </w:r>
    </w:p>
    <w:p w14:paraId="3FB3CB5D" w14:textId="77777777" w:rsidR="003A5A50" w:rsidRDefault="00CB4873">
      <w:pPr>
        <w:spacing w:before="280" w:after="280"/>
        <w:ind w:left="360"/>
      </w:pPr>
      <w:r>
        <w:t>Limitation: Does not validate the Climate Moonshot underground arrangement or a construction-automation cost target.</w:t>
      </w:r>
    </w:p>
    <w:p w14:paraId="6F8D8DCB" w14:textId="77777777" w:rsidR="003A5A50" w:rsidRDefault="00CB4873">
      <w:pPr>
        <w:pStyle w:val="bhyperlink"/>
        <w:spacing w:after="280"/>
        <w:ind w:left="360"/>
      </w:pPr>
      <w:r>
        <w:rPr>
          <w:rStyle w:val="bhyperlinkChar"/>
        </w:rPr>
        <w:t>https://www.engineering.org.cn/engi/EN/10.1016/J.ENG.2016.01.020</w:t>
      </w:r>
    </w:p>
    <w:p w14:paraId="24858AE0" w14:textId="77777777" w:rsidR="003A5A50" w:rsidRDefault="00CB4873">
      <w:pPr>
        <w:pStyle w:val="cPaperTitle"/>
        <w:spacing w:before="280" w:after="280"/>
      </w:pPr>
      <w:r>
        <w:t>Zhang (2024), “Loss-of-Cooling Tests Validate the Inherent Safety of the World’s First Commercial Small Modular Reactor,” Joule.</w:t>
      </w:r>
    </w:p>
    <w:p w14:paraId="322D7D08" w14:textId="77777777" w:rsidR="003A5A50" w:rsidRDefault="00CB4873">
      <w:pPr>
        <w:spacing w:before="280" w:after="280"/>
        <w:ind w:left="360"/>
      </w:pPr>
      <w:r>
        <w:t>Full-scale safety tests support the passive/inherent-safety rationale that motivates evaluating different HTR-PM siting and emergency-planning scenarios.</w:t>
      </w:r>
    </w:p>
    <w:p w14:paraId="16226497" w14:textId="77777777" w:rsidR="003A5A50" w:rsidRDefault="00CB4873">
      <w:pPr>
        <w:spacing w:before="280" w:after="280"/>
        <w:ind w:left="360"/>
      </w:pPr>
      <w:r>
        <w:t>Limitation: Thermal safety behavior does not itself prove closer siting, lower transmission cost, or lower construction cost; regulators decide site requirements.</w:t>
      </w:r>
    </w:p>
    <w:p w14:paraId="4079AFAD" w14:textId="77777777" w:rsidR="003A5A50" w:rsidRDefault="00CB4873">
      <w:pPr>
        <w:pStyle w:val="bhyperlink"/>
        <w:spacing w:after="280"/>
        <w:ind w:left="360"/>
      </w:pPr>
      <w:r>
        <w:rPr>
          <w:rStyle w:val="bhyperlinkChar"/>
        </w:rPr>
        <w:t>https://www.sciencedirect.com/science/article/pii/S2542435124002903</w:t>
      </w:r>
    </w:p>
    <w:p w14:paraId="175549E1" w14:textId="77777777" w:rsidR="003A5A50" w:rsidRDefault="00CB4873">
      <w:pPr>
        <w:pStyle w:val="cPaperTitle"/>
        <w:spacing w:before="280" w:after="280"/>
      </w:pPr>
      <w:r>
        <w:t>Dong (2025), “Testing the Multi-Modular Design and Inherent Safety Features of a Commercial Nuclear Power Plant,” Nature Communications.</w:t>
      </w:r>
    </w:p>
    <w:p w14:paraId="3E0001E6" w14:textId="77777777" w:rsidR="003A5A50" w:rsidRDefault="00CB4873">
      <w:pPr>
        <w:spacing w:before="280" w:after="280"/>
        <w:ind w:left="360"/>
      </w:pPr>
      <w:r>
        <w:t>Peer-reviewed evidence on multi-module HTR-PM operation and safety behavior; relevant to repeated-module construction and the case for industrial heat.</w:t>
      </w:r>
    </w:p>
    <w:p w14:paraId="2155A122" w14:textId="77777777" w:rsidR="003A5A50" w:rsidRDefault="00CB4873">
      <w:pPr>
        <w:spacing w:before="280" w:after="280"/>
        <w:ind w:left="360"/>
      </w:pPr>
      <w:r>
        <w:t>Limitation: Does not establish automated construction economics or the licensing of new civil arrangements.</w:t>
      </w:r>
    </w:p>
    <w:p w14:paraId="6D136140" w14:textId="77777777" w:rsidR="003A5A50" w:rsidRDefault="00CB4873">
      <w:pPr>
        <w:pStyle w:val="bhyperlink"/>
        <w:spacing w:after="280"/>
        <w:ind w:left="360"/>
      </w:pPr>
      <w:r>
        <w:rPr>
          <w:rStyle w:val="bhyperlinkChar"/>
        </w:rPr>
        <w:t>https://www.nature.com/articles/s41467-025-58194-7</w:t>
      </w:r>
    </w:p>
    <w:p w14:paraId="1B86D488" w14:textId="77777777" w:rsidR="003A5A50" w:rsidRDefault="00CB4873">
      <w:pPr>
        <w:pStyle w:val="Heading2"/>
        <w:spacing w:before="280"/>
      </w:pPr>
      <w:r>
        <w:t>Hualong One and the Chinese Nuclear Program</w:t>
      </w:r>
    </w:p>
    <w:p w14:paraId="1E9417AF" w14:textId="77777777" w:rsidR="003A5A50" w:rsidRDefault="00CB4873">
      <w:pPr>
        <w:pStyle w:val="cPaperTitle"/>
        <w:spacing w:before="280" w:after="280"/>
      </w:pPr>
      <w:r>
        <w:t>CNNC (2025), “The Hualong One: China’s Solution for the Global Clean Energy Transition.”</w:t>
      </w:r>
    </w:p>
    <w:p w14:paraId="325D69D8" w14:textId="77777777" w:rsidR="003A5A50" w:rsidRDefault="00CB4873">
      <w:pPr>
        <w:spacing w:before="280" w:after="280"/>
        <w:ind w:left="360"/>
      </w:pPr>
      <w:r>
        <w:t>Primary industry reference for the Hualong One serial-build program, supply chain, standardized deployment, and unit scale; useful for selecting the PWR reference plant.</w:t>
      </w:r>
    </w:p>
    <w:p w14:paraId="44B25212" w14:textId="77777777" w:rsidR="003A5A50" w:rsidRDefault="00CB4873">
      <w:pPr>
        <w:spacing w:before="280" w:after="280"/>
        <w:ind w:left="360"/>
      </w:pPr>
      <w:r>
        <w:t>Limitation: Promotional/owner material; independent cost and schedule verification remains necessary.</w:t>
      </w:r>
    </w:p>
    <w:p w14:paraId="080344C6" w14:textId="77777777" w:rsidR="003A5A50" w:rsidRDefault="00CB4873">
      <w:pPr>
        <w:pStyle w:val="bhyperlink"/>
        <w:spacing w:after="280"/>
        <w:ind w:left="360"/>
      </w:pPr>
      <w:r>
        <w:rPr>
          <w:rStyle w:val="bhyperlinkChar"/>
        </w:rPr>
        <w:lastRenderedPageBreak/>
        <w:t>https://en.cnnc.com.cn/2025-05/12/c_1091926.htm</w:t>
      </w:r>
    </w:p>
    <w:p w14:paraId="0072174E" w14:textId="77777777" w:rsidR="003A5A50" w:rsidRDefault="00CB4873">
      <w:pPr>
        <w:pStyle w:val="cPaperTitle"/>
        <w:spacing w:before="280" w:after="280"/>
      </w:pPr>
      <w:r>
        <w:t>CNNC (2026), “Fuqing Nuclear Power Surpasses 400 Billion kWh.”</w:t>
      </w:r>
    </w:p>
    <w:p w14:paraId="33F4C7BB" w14:textId="77777777" w:rsidR="003A5A50" w:rsidRDefault="00CB4873">
      <w:pPr>
        <w:spacing w:before="280" w:after="280"/>
        <w:ind w:left="360"/>
      </w:pPr>
      <w:r>
        <w:t>Documents the first Hualong One construction duration of 68.7 months and the continuing emphasis on standardization and digital intelligence; useful as a real Chinese schedule baseline.</w:t>
      </w:r>
    </w:p>
    <w:p w14:paraId="509F13D8" w14:textId="77777777" w:rsidR="003A5A50" w:rsidRDefault="00CB4873">
      <w:pPr>
        <w:spacing w:before="280" w:after="280"/>
        <w:ind w:left="360"/>
      </w:pPr>
      <w:r>
        <w:t>Limitation: A first-of-a-kind record does not by itself establish the schedule of later units or the savings from the proposed automation program.</w:t>
      </w:r>
    </w:p>
    <w:p w14:paraId="01C932AE" w14:textId="77777777" w:rsidR="003A5A50" w:rsidRDefault="00CB4873">
      <w:pPr>
        <w:pStyle w:val="bhyperlink"/>
        <w:spacing w:after="280"/>
        <w:ind w:left="360"/>
      </w:pPr>
      <w:r>
        <w:rPr>
          <w:rStyle w:val="bhyperlinkChar"/>
        </w:rPr>
        <w:t>https://en.cnnc.com.cn/2026-06/01/c_1187358.htm</w:t>
      </w:r>
    </w:p>
    <w:p w14:paraId="1EA9F9E8" w14:textId="77777777" w:rsidR="003A5A50" w:rsidRDefault="00CB4873">
      <w:pPr>
        <w:pStyle w:val="cPaperTitle"/>
        <w:spacing w:before="280" w:after="280"/>
      </w:pPr>
      <w:r>
        <w:t>CGN (2026), “Taipingling Unit 2 Achieves First Grid Connection and Power Generation.”</w:t>
      </w:r>
    </w:p>
    <w:p w14:paraId="79E4F1B4" w14:textId="77777777" w:rsidR="003A5A50" w:rsidRDefault="00CB4873">
      <w:pPr>
        <w:spacing w:before="280" w:after="280"/>
        <w:ind w:left="360"/>
      </w:pPr>
      <w:r>
        <w:t>Shows current Hualong One construction already using smart construction systems, modularization, automatic welding, integrated hoisting, digital handover, and robots; the program should extend rather than duplicate this work.</w:t>
      </w:r>
    </w:p>
    <w:p w14:paraId="5F196E9D" w14:textId="77777777" w:rsidR="003A5A50" w:rsidRDefault="00CB4873">
      <w:pPr>
        <w:spacing w:before="280" w:after="280"/>
        <w:ind w:left="360"/>
      </w:pPr>
      <w:r>
        <w:t>Limitation: Company reporting does not quantify the counterfactual cost or schedule without each technology; the program must instrument and independently audit those effects.</w:t>
      </w:r>
    </w:p>
    <w:p w14:paraId="6DB57059" w14:textId="77777777" w:rsidR="003A5A50" w:rsidRDefault="00CB4873">
      <w:pPr>
        <w:pStyle w:val="bhyperlink"/>
        <w:spacing w:after="280"/>
        <w:ind w:left="360"/>
      </w:pPr>
      <w:r w:rsidRPr="009D46E6">
        <w:rPr>
          <w:rStyle w:val="bhyperlinkChar"/>
          <w:sz w:val="20"/>
          <w:szCs w:val="18"/>
        </w:rPr>
        <w:t>https://en.cgnpc.com.cn/encgn/pressReleases/2026-07/21/content_44c301fbe6d744c3b880896edc8c5442.shtml</w:t>
      </w:r>
    </w:p>
    <w:p w14:paraId="64A3F513" w14:textId="77777777" w:rsidR="003A5A50" w:rsidRDefault="00CB4873">
      <w:pPr>
        <w:pStyle w:val="cPaperTitle"/>
        <w:spacing w:before="280" w:after="280"/>
      </w:pPr>
      <w:r>
        <w:t>IAEA (2026), China Country Nuclear Power Profile / PRIS.</w:t>
      </w:r>
    </w:p>
    <w:p w14:paraId="00FDC5BA" w14:textId="77777777" w:rsidR="003A5A50" w:rsidRDefault="00CB4873">
      <w:pPr>
        <w:spacing w:before="280" w:after="280"/>
        <w:ind w:left="360"/>
      </w:pPr>
      <w:r>
        <w:t>Provides authoritative context on the scale of China’s operating and under-construction nuclear fleet, supporting the premise that a reusable machine fleet could have many deployment opportunities.</w:t>
      </w:r>
    </w:p>
    <w:p w14:paraId="229732A9" w14:textId="77777777" w:rsidR="003A5A50" w:rsidRDefault="00CB4873">
      <w:pPr>
        <w:spacing w:before="280" w:after="280"/>
        <w:ind w:left="360"/>
      </w:pPr>
      <w:r>
        <w:t>Limitation: Fleet counts and program context do not prove any particular reactor design or construction machine is economic.</w:t>
      </w:r>
    </w:p>
    <w:p w14:paraId="1D7F38D1" w14:textId="77777777" w:rsidR="003A5A50" w:rsidRDefault="00CB4873" w:rsidP="009D46E6">
      <w:pPr>
        <w:pStyle w:val="bhyperlink"/>
        <w:spacing w:after="280"/>
        <w:ind w:left="360" w:right="-972"/>
      </w:pPr>
      <w:r>
        <w:rPr>
          <w:rStyle w:val="bhyperlinkChar"/>
        </w:rPr>
        <w:t>https://cnpp.iaea.org/public/countries/CN/profile/highlights</w:t>
      </w:r>
    </w:p>
    <w:p w14:paraId="34B36A7A" w14:textId="77777777" w:rsidR="003A5A50" w:rsidRDefault="00CB4873">
      <w:pPr>
        <w:pStyle w:val="Heading2"/>
        <w:spacing w:before="280"/>
      </w:pPr>
      <w:r>
        <w:t>Nuclear Cost and Project Delivery</w:t>
      </w:r>
    </w:p>
    <w:p w14:paraId="6208A385" w14:textId="77777777" w:rsidR="003A5A50" w:rsidRDefault="00CB4873">
      <w:pPr>
        <w:pStyle w:val="cPaperTitle"/>
        <w:spacing w:before="280" w:after="280"/>
      </w:pPr>
      <w:r>
        <w:t>MIT (2018), “The Future of Nuclear Energy in a Carbon-Constrained World.”</w:t>
      </w:r>
    </w:p>
    <w:p w14:paraId="00761BAB" w14:textId="77777777" w:rsidR="003A5A50" w:rsidRDefault="00CB4873">
      <w:pPr>
        <w:spacing w:before="280" w:after="280"/>
        <w:ind w:left="360"/>
      </w:pPr>
      <w:r>
        <w:t>Identifies construction cost, design maturity, owner capability, standardization, and project delivery as central barriers to lower nuclear cost.</w:t>
      </w:r>
    </w:p>
    <w:p w14:paraId="4E1031F5" w14:textId="77777777" w:rsidR="003A5A50" w:rsidRDefault="00CB4873">
      <w:pPr>
        <w:spacing w:before="280" w:after="280"/>
        <w:ind w:left="360"/>
      </w:pPr>
      <w:r>
        <w:lastRenderedPageBreak/>
        <w:t>Limitation: Broad recommendations do not validate this dual-reference machine portfolio or its budget.</w:t>
      </w:r>
    </w:p>
    <w:p w14:paraId="5E595EBE" w14:textId="77777777" w:rsidR="003A5A50" w:rsidRDefault="00CB4873">
      <w:pPr>
        <w:pStyle w:val="bhyperlink"/>
        <w:spacing w:after="280"/>
        <w:ind w:left="360"/>
      </w:pPr>
      <w:r>
        <w:rPr>
          <w:rStyle w:val="bhyperlinkChar"/>
        </w:rPr>
        <w:t>https://energy.mit.edu/wp-content/uploads/2018/09/The-Future-of-Nuclear-Energy-in-a-Carbon-Constrained-World.pdf</w:t>
      </w:r>
    </w:p>
    <w:p w14:paraId="2594830E" w14:textId="77777777" w:rsidR="003A5A50" w:rsidRDefault="00CB4873">
      <w:pPr>
        <w:pStyle w:val="cPaperTitle"/>
        <w:spacing w:before="280" w:after="280"/>
      </w:pPr>
      <w:r>
        <w:t>OECD Nuclear Energy Agency (2020), “Reducing the Costs of Nuclear Power.”</w:t>
      </w:r>
    </w:p>
    <w:p w14:paraId="4D74765E" w14:textId="77777777" w:rsidR="003A5A50" w:rsidRDefault="00CB4873">
      <w:pPr>
        <w:spacing w:before="280" w:after="280"/>
        <w:ind w:left="360"/>
      </w:pPr>
      <w:r>
        <w:t>Framework for cost drivers across design, regulation, financing, supply chain, repeat build, project governance, and construction.</w:t>
      </w:r>
    </w:p>
    <w:p w14:paraId="07EDDC87" w14:textId="77777777" w:rsidR="003A5A50" w:rsidRDefault="00CB4873">
      <w:pPr>
        <w:spacing w:before="280" w:after="280"/>
        <w:ind w:left="360"/>
      </w:pPr>
      <w:r>
        <w:t>Limitation: Automation is one lever; financing, design changes, weak owner capability, or poor regulation can erase construction savings.</w:t>
      </w:r>
    </w:p>
    <w:p w14:paraId="4B31DB7E" w14:textId="77777777" w:rsidR="003A5A50" w:rsidRDefault="00CB4873">
      <w:pPr>
        <w:pStyle w:val="bhyperlink"/>
        <w:spacing w:after="280"/>
        <w:ind w:left="360"/>
      </w:pPr>
      <w:r>
        <w:rPr>
          <w:rStyle w:val="bhyperlinkChar"/>
        </w:rPr>
        <w:t>https://www.oecd-nea.org/jcms/pl_37787/</w:t>
      </w:r>
    </w:p>
    <w:p w14:paraId="52BE504E" w14:textId="77777777" w:rsidR="003A5A50" w:rsidRDefault="00CB4873">
      <w:pPr>
        <w:pStyle w:val="cPaperTitle"/>
        <w:spacing w:before="280" w:after="280"/>
      </w:pPr>
      <w:r>
        <w:t>Energy Technologies Institute (2018), “The ETI Nuclear Cost Drivers Project.”</w:t>
      </w:r>
    </w:p>
    <w:p w14:paraId="6A1BB0E0" w14:textId="77777777" w:rsidR="003A5A50" w:rsidRDefault="00CB4873">
      <w:pPr>
        <w:spacing w:before="280" w:after="280"/>
        <w:ind w:left="360"/>
      </w:pPr>
      <w:r>
        <w:t>Evidence on repeat build, mature design, owner capability, contracting, productivity, and supply-chain conditions associated with lower cost.</w:t>
      </w:r>
    </w:p>
    <w:p w14:paraId="435D7AD5" w14:textId="77777777" w:rsidR="003A5A50" w:rsidRDefault="00CB4873">
      <w:pPr>
        <w:spacing w:before="280" w:after="280"/>
        <w:ind w:left="360"/>
      </w:pPr>
      <w:r>
        <w:t>Limitation: UK-focused evidence must be translated carefully to Chinese labor, supply chain, regulation, and serial construction.</w:t>
      </w:r>
    </w:p>
    <w:p w14:paraId="743E2813" w14:textId="77777777" w:rsidR="003A5A50" w:rsidRDefault="00CB4873">
      <w:pPr>
        <w:pStyle w:val="bhyperlink"/>
        <w:spacing w:after="280"/>
        <w:ind w:left="360"/>
      </w:pPr>
      <w:r>
        <w:rPr>
          <w:rStyle w:val="bhyperlinkChar"/>
        </w:rPr>
        <w:t>https://es.catapult.org.uk/report/nuclear-cost-drivers/</w:t>
      </w:r>
    </w:p>
    <w:p w14:paraId="0F9453EC" w14:textId="77777777" w:rsidR="003A5A50" w:rsidRDefault="00CB4873">
      <w:pPr>
        <w:pStyle w:val="cPaperTitle"/>
        <w:spacing w:before="280" w:after="280"/>
      </w:pPr>
      <w:r>
        <w:t>EPRI (2019), “Economics-Based R&amp;D Roadmap for Nuclear Power Plant Construction.”</w:t>
      </w:r>
    </w:p>
    <w:p w14:paraId="48643151" w14:textId="77777777" w:rsidR="003A5A50" w:rsidRDefault="00CB4873">
      <w:pPr>
        <w:spacing w:before="280" w:after="280"/>
        <w:ind w:left="360"/>
      </w:pPr>
      <w:r>
        <w:t>A useful model for prioritizing construction R&amp;D by measurable economic leverage and stage-gating rather than technological novelty alone.</w:t>
      </w:r>
    </w:p>
    <w:p w14:paraId="46C4CD30" w14:textId="77777777" w:rsidR="003A5A50" w:rsidRDefault="00CB4873">
      <w:pPr>
        <w:spacing w:before="280" w:after="280"/>
        <w:ind w:left="360"/>
      </w:pPr>
      <w:r>
        <w:t>Limitation: Does not prescribe the HTR-PM/PWR allocation or prove a specific machine will save money.</w:t>
      </w:r>
    </w:p>
    <w:p w14:paraId="07007F56" w14:textId="77777777" w:rsidR="003A5A50" w:rsidRDefault="00CB4873" w:rsidP="009D46E6">
      <w:pPr>
        <w:pStyle w:val="bhyperlink"/>
        <w:spacing w:after="280"/>
        <w:ind w:left="360" w:right="-882"/>
      </w:pPr>
      <w:r>
        <w:rPr>
          <w:rStyle w:val="bhyperlinkChar"/>
        </w:rPr>
        <w:t>https://gain.inl.gov/gain-epri-neis-workshop-about-economics-based-rd-for-nuclear-power-construction/</w:t>
      </w:r>
    </w:p>
    <w:p w14:paraId="3921B200" w14:textId="77777777" w:rsidR="003A5A50" w:rsidRDefault="00CB4873">
      <w:pPr>
        <w:pStyle w:val="cPaperTitle"/>
        <w:spacing w:before="280" w:after="280"/>
      </w:pPr>
      <w:r>
        <w:t>IAEA (2020), “Management of Nuclear Power Plant Projects,” Nuclear Energy Series No. NG-T-1.6.</w:t>
      </w:r>
    </w:p>
    <w:p w14:paraId="5CB686D6" w14:textId="77777777" w:rsidR="003A5A50" w:rsidRDefault="00CB4873">
      <w:pPr>
        <w:spacing w:before="280" w:after="280"/>
        <w:ind w:left="360"/>
      </w:pPr>
      <w:r>
        <w:t>Provides a harmonized owner/operator framework for managing nuclear projects from initiation through closeout, including roles, interfaces, scope, schedule, cost, quality, procurement, risk, configuration, construction, commissioning, and lessons learned. It is directly relevant to the proposed owner-led program office and stage-gate structure.</w:t>
      </w:r>
    </w:p>
    <w:p w14:paraId="615F9B9A" w14:textId="77777777" w:rsidR="003A5A50" w:rsidRDefault="00CB4873">
      <w:pPr>
        <w:spacing w:before="280" w:after="280"/>
        <w:ind w:left="360"/>
      </w:pPr>
      <w:r>
        <w:lastRenderedPageBreak/>
        <w:t>Limitation: General international project-management guidance does not determine the Chinese contracting model, HTR/PWR machine portfolio, construction baseline, or measured savings from automation; those require China-specific execution data and independent cost/schedule evidence.</w:t>
      </w:r>
    </w:p>
    <w:p w14:paraId="2BE1574F" w14:textId="77777777" w:rsidR="003A5A50" w:rsidRDefault="00CB4873">
      <w:pPr>
        <w:pStyle w:val="bhyperlink"/>
        <w:spacing w:after="280"/>
        <w:ind w:left="360"/>
      </w:pPr>
      <w:r>
        <w:rPr>
          <w:rStyle w:val="bhyperlinkChar"/>
        </w:rPr>
        <w:t>https://www.iaea.org/publications/13499/management-of-nuclear-power-plant-projects</w:t>
      </w:r>
    </w:p>
    <w:p w14:paraId="7EDF4EE8" w14:textId="77777777" w:rsidR="003A5A50" w:rsidRDefault="00CB4873">
      <w:pPr>
        <w:pStyle w:val="Heading2"/>
        <w:spacing w:before="280"/>
      </w:pPr>
      <w:r>
        <w:t>Nuclear Construction, Modularization, and Digital Engineering</w:t>
      </w:r>
    </w:p>
    <w:p w14:paraId="57E318FC" w14:textId="77777777" w:rsidR="003A5A50" w:rsidRDefault="00CB4873">
      <w:pPr>
        <w:pStyle w:val="cPaperTitle"/>
        <w:spacing w:before="280" w:after="280"/>
      </w:pPr>
      <w:r>
        <w:t>IAEA (2011), “Construction Technologies for Nuclear Power Plants.”</w:t>
      </w:r>
    </w:p>
    <w:p w14:paraId="3E425B61" w14:textId="77777777" w:rsidR="003A5A50" w:rsidRDefault="00CB4873">
      <w:pPr>
        <w:spacing w:before="280" w:after="280"/>
        <w:ind w:left="360"/>
      </w:pPr>
      <w:r>
        <w:t>Established practices in modularization, heavy lifting, prefabrication, concrete, planning, inspection, commissioning interfaces, and quality control.</w:t>
      </w:r>
    </w:p>
    <w:p w14:paraId="12B87E4B" w14:textId="77777777" w:rsidR="003A5A50" w:rsidRDefault="00CB4873">
      <w:pPr>
        <w:spacing w:before="280" w:after="280"/>
        <w:ind w:left="360"/>
      </w:pPr>
      <w:r>
        <w:t>Limitation: Current Chinese codes, Hualong One practices, autonomy, digital twins, and modern equipment must supplement it.</w:t>
      </w:r>
    </w:p>
    <w:p w14:paraId="4AD1C5DB" w14:textId="77777777" w:rsidR="003A5A50" w:rsidRDefault="00CB4873">
      <w:pPr>
        <w:pStyle w:val="bhyperlink"/>
        <w:spacing w:after="280"/>
        <w:ind w:left="360"/>
      </w:pPr>
      <w:r>
        <w:rPr>
          <w:rStyle w:val="bhyperlinkChar"/>
        </w:rPr>
        <w:t>https://www-pub.iaea.org/MTCD/Publications/PDF/P1526_Web.pdf</w:t>
      </w:r>
    </w:p>
    <w:p w14:paraId="6CA04EC1" w14:textId="77777777" w:rsidR="003A5A50" w:rsidRDefault="00CB4873">
      <w:pPr>
        <w:pStyle w:val="cPaperTitle"/>
        <w:spacing w:before="280" w:after="280"/>
      </w:pPr>
      <w:r>
        <w:t>U.S. NRC (2004), “Application of Advanced Construction Technologies to New Nuclear Power Plants.”</w:t>
      </w:r>
    </w:p>
    <w:p w14:paraId="5CFA270A" w14:textId="77777777" w:rsidR="003A5A50" w:rsidRDefault="00CB4873">
      <w:pPr>
        <w:spacing w:before="280" w:after="280"/>
        <w:ind w:left="360"/>
      </w:pPr>
      <w:r>
        <w:t>Useful regulatory reasoning on inspectability, traceability, design control, modular construction, advanced concrete, and acceptance evidence.</w:t>
      </w:r>
    </w:p>
    <w:p w14:paraId="03B89E40" w14:textId="77777777" w:rsidR="003A5A50" w:rsidRDefault="00CB4873">
      <w:pPr>
        <w:spacing w:before="280" w:after="280"/>
        <w:ind w:left="360"/>
      </w:pPr>
      <w:r>
        <w:t>Limitation: U.S. regulatory guidance is not Chinese licensing law and predates modern field robotics and digital construction.</w:t>
      </w:r>
    </w:p>
    <w:p w14:paraId="5C9BBB24" w14:textId="77777777" w:rsidR="003A5A50" w:rsidRDefault="00CB4873">
      <w:pPr>
        <w:pStyle w:val="bhyperlink"/>
        <w:spacing w:after="280"/>
        <w:ind w:left="360"/>
      </w:pPr>
      <w:r>
        <w:rPr>
          <w:rStyle w:val="bhyperlinkChar"/>
        </w:rPr>
        <w:t>https://www.nrc.gov/docs/ml0931/ml093160836.pdf</w:t>
      </w:r>
    </w:p>
    <w:p w14:paraId="5D672F44" w14:textId="77777777" w:rsidR="003A5A50" w:rsidRDefault="00CB4873">
      <w:pPr>
        <w:pStyle w:val="cPaperTitle"/>
        <w:spacing w:before="280" w:after="280"/>
      </w:pPr>
      <w:r>
        <w:t>Wrigley (2021), “Off-Site Modular Construction and Design in Nuclear Power.”</w:t>
      </w:r>
    </w:p>
    <w:p w14:paraId="5A8D1FB7" w14:textId="77777777" w:rsidR="003A5A50" w:rsidRDefault="00CB4873">
      <w:pPr>
        <w:spacing w:before="280" w:after="280"/>
        <w:ind w:left="360"/>
      </w:pPr>
      <w:r>
        <w:t>Explains benefits and limits of factory fabrication, transport, lifting, tolerance, inspection, rework, and module interfaces.</w:t>
      </w:r>
    </w:p>
    <w:p w14:paraId="73068B6A" w14:textId="77777777" w:rsidR="003A5A50" w:rsidRDefault="00CB4873">
      <w:pPr>
        <w:spacing w:before="280" w:after="280"/>
        <w:ind w:left="360"/>
      </w:pPr>
      <w:r>
        <w:t>Limitation: Larger or more factory-complete modules are not automatically cheaper; transport and connection complexity can offset gains.</w:t>
      </w:r>
    </w:p>
    <w:p w14:paraId="5D1F5CD7" w14:textId="77777777" w:rsidR="003A5A50" w:rsidRDefault="00CB4873">
      <w:pPr>
        <w:pStyle w:val="bhyperlink"/>
        <w:spacing w:after="280"/>
        <w:ind w:left="360"/>
      </w:pPr>
      <w:r>
        <w:rPr>
          <w:rStyle w:val="bhyperlinkChar"/>
        </w:rPr>
        <w:t>https://www.sciencedirect.com/science/article/abs/pii/S0149197021000354</w:t>
      </w:r>
    </w:p>
    <w:p w14:paraId="17397D59" w14:textId="77777777" w:rsidR="003A5A50" w:rsidRDefault="00CB4873">
      <w:pPr>
        <w:pStyle w:val="cPaperTitle"/>
        <w:spacing w:before="280" w:after="280"/>
      </w:pPr>
      <w:r>
        <w:lastRenderedPageBreak/>
        <w:t>Lloyd (2020), “Modular Manufacture and Construction of Nuclear Power Plants,” Cambridge.</w:t>
      </w:r>
    </w:p>
    <w:p w14:paraId="138A7FA0" w14:textId="77777777" w:rsidR="003A5A50" w:rsidRDefault="00CB4873">
      <w:pPr>
        <w:spacing w:before="280" w:after="280"/>
        <w:ind w:left="360"/>
      </w:pPr>
      <w:r>
        <w:t>Detailed treatment of modularization strategy, organizational interfaces, manufacturing, transport, installation, and learning.</w:t>
      </w:r>
    </w:p>
    <w:p w14:paraId="434ECAC2" w14:textId="77777777" w:rsidR="003A5A50" w:rsidRDefault="00CB4873">
      <w:pPr>
        <w:spacing w:before="280" w:after="280"/>
        <w:ind w:left="360"/>
      </w:pPr>
      <w:r>
        <w:t>Limitation: A thesis is not a Chinese code, vendor commitment, or qualification record.</w:t>
      </w:r>
    </w:p>
    <w:p w14:paraId="40C53FB4" w14:textId="77777777" w:rsidR="003A5A50" w:rsidRDefault="00CB4873">
      <w:pPr>
        <w:pStyle w:val="bhyperlink"/>
        <w:spacing w:after="280"/>
        <w:ind w:left="360"/>
      </w:pPr>
      <w:r>
        <w:rPr>
          <w:rStyle w:val="bhyperlinkChar"/>
        </w:rPr>
        <w:t>https://www.repository.cam.ac.uk/items/9b1eacd3-a74e-46fd-ba3c-e4f96df7bafb</w:t>
      </w:r>
    </w:p>
    <w:p w14:paraId="6A29C450" w14:textId="77777777" w:rsidR="003A5A50" w:rsidRDefault="00CB4873">
      <w:pPr>
        <w:pStyle w:val="cPaperTitle"/>
        <w:spacing w:before="280" w:after="280"/>
      </w:pPr>
      <w:r>
        <w:t>NRIC (2024), “Advanced Construction Technology Initiative Final Design Review Report.”</w:t>
      </w:r>
    </w:p>
    <w:p w14:paraId="5F5D2ECA" w14:textId="77777777" w:rsidR="003A5A50" w:rsidRDefault="00CB4873">
      <w:pPr>
        <w:spacing w:before="280" w:after="280"/>
        <w:ind w:left="360"/>
      </w:pPr>
      <w:r>
        <w:t>Modern precedent for full-scale non-nuclear nuclear-construction demonstrations, factory/site integration, and digitally documented test articles.</w:t>
      </w:r>
    </w:p>
    <w:p w14:paraId="14D8F3A5" w14:textId="77777777" w:rsidR="003A5A50" w:rsidRDefault="00CB4873">
      <w:pPr>
        <w:spacing w:before="280" w:after="280"/>
        <w:ind w:left="360"/>
      </w:pPr>
      <w:r>
        <w:t>Limitation: Uses different structural systems and regulatory context; results cannot simply be copied to HTR-PM or Hualong One.</w:t>
      </w:r>
    </w:p>
    <w:p w14:paraId="6207C8DF" w14:textId="77777777" w:rsidR="003A5A50" w:rsidRDefault="00CB4873">
      <w:pPr>
        <w:pStyle w:val="bhyperlink"/>
        <w:spacing w:after="280"/>
        <w:ind w:left="360"/>
      </w:pPr>
      <w:r w:rsidRPr="009D46E6">
        <w:rPr>
          <w:rStyle w:val="bhyperlinkChar"/>
          <w:sz w:val="20"/>
          <w:szCs w:val="18"/>
        </w:rPr>
        <w:t>https://nric.inl.gov/content/uploads/34/2024/11/RPT-24-79427-Rev-0-ACTI-Final-Design-Review-Report-1.pdf</w:t>
      </w:r>
    </w:p>
    <w:p w14:paraId="5FB1FB3C" w14:textId="77777777" w:rsidR="003A5A50" w:rsidRDefault="00CB4873">
      <w:pPr>
        <w:pStyle w:val="cPaperTitle"/>
        <w:spacing w:before="280" w:after="280"/>
      </w:pPr>
      <w:r>
        <w:t>Kropaczek (2023), “Digital Twins for Nuclear Power Plants and Facilities.”</w:t>
      </w:r>
    </w:p>
    <w:p w14:paraId="4A002009" w14:textId="77777777" w:rsidR="003A5A50" w:rsidRDefault="00CB4873">
      <w:pPr>
        <w:spacing w:before="280" w:after="280"/>
        <w:ind w:left="360"/>
      </w:pPr>
      <w:r>
        <w:t>Connects engineering models, data, uncertainty, configuration, and decision support; relevant to an auditable construction digital thread.</w:t>
      </w:r>
    </w:p>
    <w:p w14:paraId="01D9E10D" w14:textId="77777777" w:rsidR="003A5A50" w:rsidRDefault="00CB4873">
      <w:pPr>
        <w:spacing w:before="280" w:after="280"/>
        <w:ind w:left="360"/>
      </w:pPr>
      <w:r>
        <w:t>Limitation: A digital twin creates false confidence if inputs, calibration, configuration control, and verification are weak.</w:t>
      </w:r>
    </w:p>
    <w:p w14:paraId="1E9B52CB" w14:textId="77777777" w:rsidR="003A5A50" w:rsidRDefault="00CB4873">
      <w:pPr>
        <w:pStyle w:val="bhyperlink"/>
        <w:spacing w:after="280"/>
        <w:ind w:left="360"/>
      </w:pPr>
      <w:r>
        <w:rPr>
          <w:rStyle w:val="bhyperlinkChar"/>
        </w:rPr>
        <w:t>https://impact.ornl.gov/en/publications/digital-twins-for-nuclear-power-plants-and-facilities/</w:t>
      </w:r>
    </w:p>
    <w:p w14:paraId="47C3E986" w14:textId="77777777" w:rsidR="003A5A50" w:rsidRDefault="00CB4873">
      <w:pPr>
        <w:pStyle w:val="cPaperTitle"/>
        <w:spacing w:before="280" w:after="280"/>
      </w:pPr>
      <w:r>
        <w:t>Bhardwaj (2017), AISC Design Guide 32.</w:t>
      </w:r>
    </w:p>
    <w:p w14:paraId="41E297DD" w14:textId="77777777" w:rsidR="003A5A50" w:rsidRDefault="00CB4873">
      <w:pPr>
        <w:spacing w:before="280" w:after="280"/>
        <w:ind w:left="360"/>
      </w:pPr>
      <w:r>
        <w:t>Modular steel-plate composite structural methods provide a competing path to reduce formwork and rebar labor in nuclear structures and should be compared with conventional reinforced concrete.</w:t>
      </w:r>
    </w:p>
    <w:p w14:paraId="2CE8DF7D" w14:textId="77777777" w:rsidR="003A5A50" w:rsidRDefault="00CB4873">
      <w:pPr>
        <w:spacing w:before="280" w:after="280"/>
        <w:ind w:left="360"/>
      </w:pPr>
      <w:r>
        <w:t>Limitation: A structural method must satisfy the applicable Chinese design, seismic, fire, durability, fabrication, inspection, and licensing requirements.</w:t>
      </w:r>
    </w:p>
    <w:p w14:paraId="7CD28EF4" w14:textId="77777777" w:rsidR="003A5A50" w:rsidRDefault="00CB4873">
      <w:pPr>
        <w:pStyle w:val="bhyperlink"/>
        <w:spacing w:after="280"/>
        <w:ind w:left="360"/>
      </w:pPr>
      <w:r>
        <w:rPr>
          <w:rStyle w:val="bhyperlinkChar"/>
        </w:rPr>
        <w:t>https://www.aisc.org/</w:t>
      </w:r>
    </w:p>
    <w:p w14:paraId="34C330F6" w14:textId="77777777" w:rsidR="003A5A50" w:rsidRDefault="00CB4873">
      <w:pPr>
        <w:pStyle w:val="cPaperTitle"/>
        <w:spacing w:before="280" w:after="280"/>
      </w:pPr>
      <w:r>
        <w:lastRenderedPageBreak/>
        <w:t>Tomer (2024), “Perspectives on Potential Advanced Construction Technologies for Nuclear Energy,” INL.</w:t>
      </w:r>
    </w:p>
    <w:p w14:paraId="3F3A0CD5" w14:textId="77777777" w:rsidR="003A5A50" w:rsidRDefault="00CB4873">
      <w:pPr>
        <w:spacing w:before="280" w:after="280"/>
        <w:ind w:left="360"/>
      </w:pPr>
      <w:r>
        <w:t>Reviews advanced nuclear-construction opportunities through NRIC’s Advanced Construction Technology Initiative, including vertical-shaft construction, factory-fabricated steel/concrete modular wall systems, monitoring, and digital twins. It is unusually close to this initiative’s premise that construction technology should be developed and demonstrated as an explicit nuclear R&amp;D program.</w:t>
      </w:r>
    </w:p>
    <w:p w14:paraId="310B1B73" w14:textId="77777777" w:rsidR="003A5A50" w:rsidRDefault="00CB4873">
      <w:pPr>
        <w:spacing w:before="280" w:after="280"/>
        <w:ind w:left="360"/>
      </w:pPr>
      <w:r>
        <w:t>Limitation: The report is oriented toward U.S. advanced-reactor demonstrations and does not establish Chinese HTR-PM or Hualong One costs, codes, site conditions, or the economics of this proposed common machine fleet.</w:t>
      </w:r>
    </w:p>
    <w:p w14:paraId="1228DCFA" w14:textId="77777777" w:rsidR="003A5A50" w:rsidRDefault="00CB4873">
      <w:pPr>
        <w:pStyle w:val="bhyperlink"/>
        <w:spacing w:after="280"/>
        <w:ind w:left="360"/>
      </w:pPr>
      <w:r>
        <w:rPr>
          <w:rStyle w:val="bhyperlinkChar"/>
        </w:rPr>
        <w:t>https://inldigitallibrary.inl.gov/sites/sti/sti/Sort_89852.pdf</w:t>
      </w:r>
    </w:p>
    <w:p w14:paraId="44B22043" w14:textId="77777777" w:rsidR="003A5A50" w:rsidRDefault="00CB4873">
      <w:pPr>
        <w:pStyle w:val="cPaperTitle"/>
        <w:spacing w:before="280" w:after="280"/>
      </w:pPr>
      <w:r>
        <w:t>Wrigley (2024), “Modular Reactors: What Can We Learn from Modular Industrial Plants and Off Site Construction Research,” Nuclear Engineering and Technology.</w:t>
      </w:r>
    </w:p>
    <w:p w14:paraId="008C8216" w14:textId="77777777" w:rsidR="003A5A50" w:rsidRDefault="00CB4873">
      <w:pPr>
        <w:spacing w:before="280" w:after="280"/>
        <w:ind w:left="360"/>
      </w:pPr>
      <w:r>
        <w:t>Extends the nuclear modularization literature by drawing lessons from industrial plants and off-site construction, including module-design tools, logistics, supply chain, site planning, standardization, parallel work, factory quality, and commissioning before shipment. These lessons are relevant to deciding what work should move from the nuclear site into factories.</w:t>
      </w:r>
    </w:p>
    <w:p w14:paraId="29672E01" w14:textId="77777777" w:rsidR="003A5A50" w:rsidRDefault="00CB4873">
      <w:pPr>
        <w:spacing w:before="280" w:after="280"/>
        <w:ind w:left="360"/>
      </w:pPr>
      <w:r>
        <w:t>Limitation: The paper synthesizes modular-construction research rather than demonstrating a</w:t>
      </w:r>
      <w:r>
        <w:t xml:space="preserve"> HTR-PM or Hualong One project; estimated benefits depend on module size, transport, interfaces, factory capability, site congestion, and the amount of work that can actually be shifted off site.</w:t>
      </w:r>
    </w:p>
    <w:p w14:paraId="765CB60D" w14:textId="77777777" w:rsidR="003A5A50" w:rsidRDefault="00CB4873">
      <w:pPr>
        <w:pStyle w:val="bhyperlink"/>
        <w:spacing w:after="280"/>
        <w:ind w:left="360"/>
      </w:pPr>
      <w:r>
        <w:rPr>
          <w:rStyle w:val="bhyperlinkChar"/>
        </w:rPr>
        <w:t>https://doi.org/10.1016/j.net.2023.09.029</w:t>
      </w:r>
    </w:p>
    <w:p w14:paraId="5DC10652" w14:textId="77777777" w:rsidR="003A5A50" w:rsidRDefault="00CB4873">
      <w:pPr>
        <w:pStyle w:val="cPaperTitle"/>
        <w:spacing w:before="280" w:after="280"/>
      </w:pPr>
      <w:r>
        <w:t>NRIC / EPRI / GE Vernova (2025), “Advanced Construction Technology Initiative (ACTI)” Project Update.</w:t>
      </w:r>
    </w:p>
    <w:p w14:paraId="511C681B" w14:textId="77777777" w:rsidR="003A5A50" w:rsidRDefault="00CB4873">
      <w:pPr>
        <w:spacing w:before="280" w:after="280"/>
        <w:ind w:left="360"/>
      </w:pPr>
      <w:r>
        <w:t>Reports updated prototype testing and demonstration planning for diaphragm-plate steel-plate composite structures, automated welding, nondestructive examination, and digital twins. The work provides a current precedent for combining structural qualification, fabrication automation, inspection, and full-scale demonstration before deployment.</w:t>
      </w:r>
    </w:p>
    <w:p w14:paraId="49D2B85D" w14:textId="77777777" w:rsidR="003A5A50" w:rsidRDefault="00CB4873">
      <w:pPr>
        <w:spacing w:before="280" w:after="280"/>
        <w:ind w:left="360"/>
      </w:pPr>
      <w:r>
        <w:t>Limitation: This is a project presentation rather than a complete peer-reviewed cost study, and the demonstrated structural system is tied to a different reactor and regulatory context; it should inform test methods rather than be copied directly into either Chinese reference track.</w:t>
      </w:r>
    </w:p>
    <w:p w14:paraId="33F7987C" w14:textId="77777777" w:rsidR="003A5A50" w:rsidRDefault="00CB4873">
      <w:pPr>
        <w:pStyle w:val="bhyperlink"/>
        <w:spacing w:after="280"/>
        <w:ind w:left="360"/>
      </w:pPr>
      <w:r w:rsidRPr="009D46E6">
        <w:rPr>
          <w:rStyle w:val="bhyperlinkChar"/>
          <w:sz w:val="22"/>
          <w:szCs w:val="20"/>
        </w:rPr>
        <w:t>https://nric.inl.gov/content/uploads/34/2025/08/11-Advanced-Construction-Technology-Initiative-ACTI.pdf</w:t>
      </w:r>
    </w:p>
    <w:p w14:paraId="3CA19893" w14:textId="77777777" w:rsidR="003A5A50" w:rsidRDefault="00CB4873">
      <w:pPr>
        <w:pStyle w:val="Heading2"/>
        <w:spacing w:before="280"/>
      </w:pPr>
      <w:r>
        <w:lastRenderedPageBreak/>
        <w:t>Construction Robotics and Automation</w:t>
      </w:r>
    </w:p>
    <w:p w14:paraId="1E671CD7" w14:textId="77777777" w:rsidR="003A5A50" w:rsidRDefault="00CB4873">
      <w:pPr>
        <w:pStyle w:val="cPaperTitle"/>
        <w:spacing w:before="280" w:after="280"/>
      </w:pPr>
      <w:r>
        <w:t>Zhang (2021), “An Autonomous Excavator System for Material Loading Tasks,” Science Robotics.</w:t>
      </w:r>
    </w:p>
    <w:p w14:paraId="74CA2AFC" w14:textId="77777777" w:rsidR="003A5A50" w:rsidRDefault="00CB4873">
      <w:pPr>
        <w:spacing w:before="280" w:after="280"/>
        <w:ind w:left="360"/>
      </w:pPr>
      <w:r>
        <w:t>Shows sustained autonomous operation of full-size heavy equipment using perception, planning, and control, directly relevant to bounded site automation.</w:t>
      </w:r>
    </w:p>
    <w:p w14:paraId="0ADFFF4F" w14:textId="77777777" w:rsidR="003A5A50" w:rsidRDefault="00CB4873">
      <w:pPr>
        <w:spacing w:before="280" w:after="280"/>
        <w:ind w:left="360"/>
      </w:pPr>
      <w:r>
        <w:t>Limitation: Open-pit material loading is less constrained than nuclear excavation, precision finishing, lifting, and QA-controlled work.</w:t>
      </w:r>
    </w:p>
    <w:p w14:paraId="4E52339E" w14:textId="77777777" w:rsidR="003A5A50" w:rsidRDefault="00CB4873">
      <w:pPr>
        <w:pStyle w:val="bhyperlink"/>
        <w:spacing w:after="280"/>
        <w:ind w:left="360"/>
      </w:pPr>
      <w:r>
        <w:rPr>
          <w:rStyle w:val="bhyperlinkChar"/>
        </w:rPr>
        <w:t>https://www.science.org/doi/10.1126/scirobotics.abc3164</w:t>
      </w:r>
    </w:p>
    <w:p w14:paraId="42931DE6" w14:textId="77777777" w:rsidR="003A5A50" w:rsidRDefault="00CB4873">
      <w:pPr>
        <w:pStyle w:val="cPaperTitle"/>
        <w:spacing w:before="280" w:after="280"/>
      </w:pPr>
      <w:r>
        <w:t>Sotiropoulos (2020), “Autonomous Excavation of Rocks.”</w:t>
      </w:r>
    </w:p>
    <w:p w14:paraId="20EED0CE" w14:textId="77777777" w:rsidR="003A5A50" w:rsidRDefault="00CB4873">
      <w:pPr>
        <w:spacing w:before="280" w:after="280"/>
        <w:ind w:left="360"/>
      </w:pPr>
      <w:r>
        <w:t>Addresses uncertain rock contact, estimation, planning, and force-aware control relevant to excavation and precision finishing.</w:t>
      </w:r>
    </w:p>
    <w:p w14:paraId="04CD36EC" w14:textId="77777777" w:rsidR="003A5A50" w:rsidRDefault="00CB4873">
      <w:pPr>
        <w:spacing w:before="280" w:after="280"/>
        <w:ind w:left="360"/>
      </w:pPr>
      <w:r>
        <w:t>Limitation: Requires scale-up to maintainable, high-throughput, dust/water-tolerant industrial machinery with nuclear construction records.</w:t>
      </w:r>
    </w:p>
    <w:p w14:paraId="4FC0A52B" w14:textId="77777777" w:rsidR="003A5A50" w:rsidRDefault="00CB4873">
      <w:pPr>
        <w:pStyle w:val="bhyperlink"/>
        <w:spacing w:after="280"/>
        <w:ind w:left="360"/>
      </w:pPr>
      <w:r w:rsidRPr="009D46E6">
        <w:rPr>
          <w:rStyle w:val="bhyperlinkChar"/>
          <w:sz w:val="18"/>
          <w:szCs w:val="16"/>
        </w:rPr>
        <w:t>https://dspace.mit.edu/bitstream/handle/1721.1/128005/ICRA_2020___Automated_rock_scooping.pdf?isAllowed=y&amp;sequence=2</w:t>
      </w:r>
    </w:p>
    <w:p w14:paraId="2C8D4D9F" w14:textId="77777777" w:rsidR="003A5A50" w:rsidRDefault="00CB4873">
      <w:pPr>
        <w:pStyle w:val="cPaperTitle"/>
        <w:spacing w:before="280" w:after="280"/>
      </w:pPr>
      <w:r>
        <w:t>Tan (2024), “Development and Field Evaluation of a Rebar-Tying Robot.”</w:t>
      </w:r>
    </w:p>
    <w:p w14:paraId="43E78EEC" w14:textId="77777777" w:rsidR="003A5A50" w:rsidRDefault="00CB4873">
      <w:pPr>
        <w:spacing w:before="280" w:after="280"/>
        <w:ind w:left="360"/>
      </w:pPr>
      <w:r>
        <w:t>Demonstrates progress automating repetitive reinforcing-steel work, a major labor target in both HTR-PM linings and PWR basemats/containments.</w:t>
      </w:r>
    </w:p>
    <w:p w14:paraId="2562DC7C" w14:textId="77777777" w:rsidR="003A5A50" w:rsidRDefault="00CB4873">
      <w:pPr>
        <w:spacing w:before="280" w:after="280"/>
        <w:ind w:left="360"/>
      </w:pPr>
      <w:r>
        <w:t>Limitation: Dense nuclear reinforcement, embedments, congestion, weld/tie rules, access, tolerances, and inspection require separate qualification.</w:t>
      </w:r>
    </w:p>
    <w:p w14:paraId="5CB15856" w14:textId="77777777" w:rsidR="003A5A50" w:rsidRDefault="00CB4873">
      <w:pPr>
        <w:pStyle w:val="bhyperlink"/>
        <w:spacing w:after="280"/>
        <w:ind w:left="360"/>
      </w:pPr>
      <w:r>
        <w:rPr>
          <w:rStyle w:val="bhyperlinkChar"/>
        </w:rPr>
        <w:t>https://www.sciencedirect.com/science/article/abs/pii/S0921889024002100</w:t>
      </w:r>
    </w:p>
    <w:p w14:paraId="1A96CC89" w14:textId="77777777" w:rsidR="003A5A50" w:rsidRDefault="00CB4873">
      <w:pPr>
        <w:pStyle w:val="cPaperTitle"/>
        <w:spacing w:before="280" w:after="280"/>
      </w:pPr>
      <w:r>
        <w:t>Zhao (2022), “Autonomous Robots in Concrete Construction: A Review.”</w:t>
      </w:r>
    </w:p>
    <w:p w14:paraId="26316FD3" w14:textId="77777777" w:rsidR="003A5A50" w:rsidRDefault="00CB4873">
      <w:pPr>
        <w:spacing w:before="280" w:after="280"/>
        <w:ind w:left="360"/>
      </w:pPr>
      <w:r>
        <w:t>Catalogs robotic placement, printing, finishing, inspection, and sensing methods that can inform the concrete work packages.</w:t>
      </w:r>
    </w:p>
    <w:p w14:paraId="519BB324" w14:textId="77777777" w:rsidR="003A5A50" w:rsidRDefault="00CB4873">
      <w:pPr>
        <w:spacing w:before="280" w:after="280"/>
        <w:ind w:left="360"/>
      </w:pPr>
      <w:r>
        <w:t>Limitation: Most examples are not nuclear-grade, heavily reinforced, seismically qualified, or operated under Chinese nuclear QA.</w:t>
      </w:r>
    </w:p>
    <w:p w14:paraId="5D343C7A" w14:textId="77777777" w:rsidR="003A5A50" w:rsidRDefault="00CB4873">
      <w:pPr>
        <w:pStyle w:val="bhyperlink"/>
        <w:spacing w:after="280"/>
        <w:ind w:left="360"/>
      </w:pPr>
      <w:r>
        <w:rPr>
          <w:rStyle w:val="bhyperlinkChar"/>
        </w:rPr>
        <w:t>https://www.mdpi.com/2504-446X/6/12/424</w:t>
      </w:r>
    </w:p>
    <w:p w14:paraId="3800EA57" w14:textId="77777777" w:rsidR="003A5A50" w:rsidRDefault="00CB4873">
      <w:pPr>
        <w:pStyle w:val="cPaperTitle"/>
        <w:spacing w:before="280" w:after="280"/>
      </w:pPr>
      <w:r>
        <w:lastRenderedPageBreak/>
        <w:t>Yasutomi (2024), “Dual-Arm Construction Robot for Large-Scale Assembly.”</w:t>
      </w:r>
    </w:p>
    <w:p w14:paraId="162AD32A" w14:textId="77777777" w:rsidR="003A5A50" w:rsidRDefault="00CB4873">
      <w:pPr>
        <w:spacing w:before="280" w:after="280"/>
        <w:ind w:left="360"/>
      </w:pPr>
      <w:r>
        <w:t>Relevant to remote manipulation, fit-up, bolting, tool use, and assembly in constrained construction spaces.</w:t>
      </w:r>
    </w:p>
    <w:p w14:paraId="03F3B7A5" w14:textId="77777777" w:rsidR="003A5A50" w:rsidRDefault="00CB4873">
      <w:pPr>
        <w:spacing w:before="280" w:after="280"/>
        <w:ind w:left="360"/>
      </w:pPr>
      <w:r>
        <w:t>Limitation: The program should use conventional mechanization whenever it is more reliable, maintainable, inspectable, and economic than general-purpose robotics.</w:t>
      </w:r>
    </w:p>
    <w:p w14:paraId="37D8F010" w14:textId="77777777" w:rsidR="003A5A50" w:rsidRDefault="00CB4873">
      <w:pPr>
        <w:pStyle w:val="bhyperlink"/>
        <w:spacing w:after="280"/>
        <w:ind w:left="360"/>
      </w:pPr>
      <w:r>
        <w:rPr>
          <w:rStyle w:val="bhyperlinkChar"/>
        </w:rPr>
        <w:t>https://arxiv.org/abs/2403.19948</w:t>
      </w:r>
    </w:p>
    <w:p w14:paraId="187E555B" w14:textId="77777777" w:rsidR="003A5A50" w:rsidRDefault="00CB4873">
      <w:pPr>
        <w:pStyle w:val="cPaperTitle"/>
        <w:spacing w:before="0" w:after="280"/>
      </w:pPr>
      <w:r>
        <w:t>CNNC (2026), “New Robots Debut in Nuclear Power Construction.”</w:t>
      </w:r>
    </w:p>
    <w:p w14:paraId="419D38BC" w14:textId="77777777" w:rsidR="003A5A50" w:rsidRDefault="00CB4873">
      <w:pPr>
        <w:spacing w:before="280" w:after="280"/>
        <w:ind w:left="360"/>
      </w:pPr>
      <w:r>
        <w:t>Documents deployment by China Nuclear Industry Huaxing Construction of self-developed concrete-surface grinding and paint-putty robots at the Ningde nuclear project, including automatic operation, visual recognition, obstacle avoidance, measured productivity, dust collection, and acceptance testing. It is direct evidence that Chinese nuclear construction is already moving from laboratory robotics into field use.</w:t>
      </w:r>
    </w:p>
    <w:p w14:paraId="4796525F" w14:textId="77777777" w:rsidR="003A5A50" w:rsidRDefault="00CB4873">
      <w:pPr>
        <w:spacing w:before="280" w:after="280"/>
        <w:ind w:left="360"/>
      </w:pPr>
      <w:r>
        <w:t>Limitation: The robots address finishing work rather than nuclear-island excavation, rebar, concrete placement, heavy lift, or component installation, and company-reported productivity does not by itself establish lifecycle cost savings or qualification for safety-related construction tasks.</w:t>
      </w:r>
    </w:p>
    <w:p w14:paraId="6CE2EAB0" w14:textId="77777777" w:rsidR="003A5A50" w:rsidRDefault="00CB4873">
      <w:pPr>
        <w:pStyle w:val="bhyperlink"/>
        <w:spacing w:after="280"/>
        <w:ind w:left="360"/>
      </w:pPr>
      <w:r>
        <w:rPr>
          <w:rStyle w:val="bhyperlinkChar"/>
        </w:rPr>
        <w:t>https://en.cnnc.com.cn/2026-06/01/c_1187366.htm</w:t>
      </w:r>
    </w:p>
    <w:p w14:paraId="58525C85" w14:textId="77777777" w:rsidR="00DB7BD3" w:rsidRDefault="00CB4873">
      <w:pPr>
        <w:pStyle w:val="Heading1"/>
      </w:pPr>
      <w:bookmarkStart w:id="36" w:name="_Toc238204715"/>
      <w:r>
        <w:lastRenderedPageBreak/>
        <w:t>Top Researchers and Organizations</w:t>
      </w:r>
      <w:bookmarkEnd w:id="36"/>
    </w:p>
    <w:p w14:paraId="6AB43A72" w14:textId="77777777" w:rsidR="00DB7BD3" w:rsidRDefault="00CB4873">
      <w:pPr>
        <w:pStyle w:val="cUserPromptText"/>
      </w:pPr>
      <w:r>
        <w:rPr>
          <w:b/>
        </w:rPr>
        <w:t xml:space="preserve">Prompt to AI: </w:t>
      </w:r>
      <w:r>
        <w:t>Which organizations and external experts are especially useful to understand, consult, or recruit for a China-based HTR + Hualong One site-construction automation program, without duplicating the performer list in Purchase Order Recipients or the role-based Scientific and Engineering Advisory Panel?</w:t>
      </w:r>
    </w:p>
    <w:p w14:paraId="1F332958" w14:textId="77777777" w:rsidR="00DB7BD3" w:rsidRDefault="00CB4873">
      <w:pPr>
        <w:pStyle w:val="cSubject"/>
      </w:pPr>
      <w:r>
        <w:t>Response From AI:</w:t>
      </w:r>
    </w:p>
    <w:p w14:paraId="08C5C719" w14:textId="77777777" w:rsidR="00DB7BD3" w:rsidRDefault="00CB4873">
      <w:r>
        <w:t>Potential performers and vendors are listed in Purchase Order Recipients. This chapter instead highlights reference-design authorities and outside experts who could help challenge the technical case, economics, constructability, robotics, and digital verification. Names are illustrative; availability, conflicts, employer approval, Chinese data/security restrictions, and independence must be checked before appointment.</w:t>
      </w:r>
    </w:p>
    <w:tbl>
      <w:tblPr>
        <w:tblStyle w:val="gswTableStyle"/>
        <w:tblW w:w="0" w:type="auto"/>
        <w:tblInd w:w="172" w:type="dxa"/>
        <w:tblLook w:val="04A0" w:firstRow="1" w:lastRow="0" w:firstColumn="1" w:lastColumn="0" w:noHBand="0" w:noVBand="1"/>
      </w:tblPr>
      <w:tblGrid>
        <w:gridCol w:w="2506"/>
        <w:gridCol w:w="2517"/>
        <w:gridCol w:w="5029"/>
      </w:tblGrid>
      <w:tr w:rsidR="00DB7BD3" w14:paraId="5D63AD20" w14:textId="77777777" w:rsidTr="00DB7BD3">
        <w:trPr>
          <w:cnfStyle w:val="100000000000" w:firstRow="1" w:lastRow="0" w:firstColumn="0" w:lastColumn="0" w:oddVBand="0" w:evenVBand="0" w:oddHBand="0" w:evenHBand="0" w:firstRowFirstColumn="0" w:firstRowLastColumn="0" w:lastRowFirstColumn="0" w:lastRowLastColumn="0"/>
          <w:cantSplit/>
          <w:tblHeader/>
        </w:trPr>
        <w:tc>
          <w:tcPr>
            <w:tcW w:w="2592" w:type="dxa"/>
          </w:tcPr>
          <w:p w14:paraId="2673D16A" w14:textId="77777777" w:rsidR="00DB7BD3" w:rsidRDefault="00CB4873">
            <w:pPr>
              <w:pStyle w:val="cTableHeader"/>
            </w:pPr>
            <w:r>
              <w:t>Person / organization</w:t>
            </w:r>
          </w:p>
        </w:tc>
        <w:tc>
          <w:tcPr>
            <w:tcW w:w="2592" w:type="dxa"/>
          </w:tcPr>
          <w:p w14:paraId="4435A65A" w14:textId="77777777" w:rsidR="00DB7BD3" w:rsidRDefault="00CB4873">
            <w:pPr>
              <w:pStyle w:val="cTableHeader"/>
            </w:pPr>
            <w:r>
              <w:t>Primary relevance</w:t>
            </w:r>
          </w:p>
        </w:tc>
        <w:tc>
          <w:tcPr>
            <w:tcW w:w="5256" w:type="dxa"/>
          </w:tcPr>
          <w:p w14:paraId="593B922D" w14:textId="77777777" w:rsidR="00DB7BD3" w:rsidRDefault="00CB4873">
            <w:pPr>
              <w:pStyle w:val="cTableHeader"/>
            </w:pPr>
            <w:r>
              <w:t>Potential use</w:t>
            </w:r>
          </w:p>
        </w:tc>
      </w:tr>
      <w:tr w:rsidR="00DB7BD3" w14:paraId="1AA7DBC3" w14:textId="77777777" w:rsidTr="00DB7BD3">
        <w:trPr>
          <w:cantSplit/>
        </w:trPr>
        <w:tc>
          <w:tcPr>
            <w:tcW w:w="2592" w:type="dxa"/>
          </w:tcPr>
          <w:p w14:paraId="53F58A3A" w14:textId="77777777" w:rsidR="00DB7BD3" w:rsidRDefault="00CB4873">
            <w:pPr>
              <w:pStyle w:val="cTableBody"/>
            </w:pPr>
            <w:r>
              <w:t>Zuoyi Zhang / Tsinghua INET</w:t>
            </w:r>
          </w:p>
        </w:tc>
        <w:tc>
          <w:tcPr>
            <w:tcW w:w="2592" w:type="dxa"/>
          </w:tcPr>
          <w:p w14:paraId="0DC4B89A" w14:textId="77777777" w:rsidR="00DB7BD3" w:rsidRDefault="00CB4873">
            <w:pPr>
              <w:pStyle w:val="cTableBody"/>
            </w:pPr>
            <w:r>
              <w:t>HTR-PM technical authority</w:t>
            </w:r>
          </w:p>
        </w:tc>
        <w:tc>
          <w:tcPr>
            <w:tcW w:w="5256" w:type="dxa"/>
          </w:tcPr>
          <w:p w14:paraId="4EEAA424" w14:textId="77777777" w:rsidR="00DB7BD3" w:rsidRDefault="00CB4873">
            <w:pPr>
              <w:pStyle w:val="cTableBody"/>
            </w:pPr>
            <w:r>
              <w:t>HTR-PM design, multi-module safety, operating experience, industrialization, and authoritative construction interfaces.</w:t>
            </w:r>
          </w:p>
        </w:tc>
      </w:tr>
      <w:tr w:rsidR="00DB7BD3" w14:paraId="5237533E" w14:textId="77777777" w:rsidTr="00DB7BD3">
        <w:trPr>
          <w:cantSplit/>
        </w:trPr>
        <w:tc>
          <w:tcPr>
            <w:tcW w:w="2592" w:type="dxa"/>
          </w:tcPr>
          <w:p w14:paraId="34A683C9" w14:textId="77777777" w:rsidR="00DB7BD3" w:rsidRDefault="00CB4873">
            <w:pPr>
              <w:pStyle w:val="cTableBody"/>
            </w:pPr>
            <w:r>
              <w:t>CNNC / CNPE Hualong One design authority</w:t>
            </w:r>
          </w:p>
        </w:tc>
        <w:tc>
          <w:tcPr>
            <w:tcW w:w="2592" w:type="dxa"/>
          </w:tcPr>
          <w:p w14:paraId="731A757B" w14:textId="77777777" w:rsidR="00DB7BD3" w:rsidRDefault="00CB4873">
            <w:pPr>
              <w:pStyle w:val="cTableBody"/>
            </w:pPr>
            <w:r>
              <w:t>PWR design and standardization</w:t>
            </w:r>
          </w:p>
        </w:tc>
        <w:tc>
          <w:tcPr>
            <w:tcW w:w="5256" w:type="dxa"/>
          </w:tcPr>
          <w:p w14:paraId="5919EA1D" w14:textId="77777777" w:rsidR="00DB7BD3" w:rsidRDefault="00CB4873">
            <w:pPr>
              <w:pStyle w:val="cTableBody"/>
            </w:pPr>
            <w:r>
              <w:t>Controlled Hualong One nuclear-island interfaces, safety classifications, component loads, design changes, and serial-build lessons.</w:t>
            </w:r>
          </w:p>
        </w:tc>
      </w:tr>
      <w:tr w:rsidR="00DB7BD3" w14:paraId="5C534D19" w14:textId="77777777" w:rsidTr="00DB7BD3">
        <w:trPr>
          <w:cantSplit/>
        </w:trPr>
        <w:tc>
          <w:tcPr>
            <w:tcW w:w="2592" w:type="dxa"/>
          </w:tcPr>
          <w:p w14:paraId="2F816344" w14:textId="77777777" w:rsidR="00DB7BD3" w:rsidRDefault="00CB4873">
            <w:pPr>
              <w:pStyle w:val="cTableBody"/>
            </w:pPr>
            <w:r>
              <w:t>CGN Engineering or equivalent Hualong One construction authority</w:t>
            </w:r>
          </w:p>
        </w:tc>
        <w:tc>
          <w:tcPr>
            <w:tcW w:w="2592" w:type="dxa"/>
          </w:tcPr>
          <w:p w14:paraId="11C9F735" w14:textId="77777777" w:rsidR="00DB7BD3" w:rsidRDefault="00CB4873">
            <w:pPr>
              <w:pStyle w:val="cTableBody"/>
            </w:pPr>
            <w:r>
              <w:t>PWR construction delivery</w:t>
            </w:r>
          </w:p>
        </w:tc>
        <w:tc>
          <w:tcPr>
            <w:tcW w:w="5256" w:type="dxa"/>
          </w:tcPr>
          <w:p w14:paraId="0C1D5505" w14:textId="77777777" w:rsidR="00DB7BD3" w:rsidRDefault="00CB4873">
            <w:pPr>
              <w:pStyle w:val="cTableBody"/>
            </w:pPr>
            <w:r>
              <w:t>Current Chinese modularization, smart-site practice, automatic welding, integrated lifting, commissioning interfaces, and field productivity.</w:t>
            </w:r>
          </w:p>
        </w:tc>
      </w:tr>
      <w:tr w:rsidR="00DB7BD3" w14:paraId="41D5A082" w14:textId="77777777" w:rsidTr="00DB7BD3">
        <w:trPr>
          <w:cantSplit/>
        </w:trPr>
        <w:tc>
          <w:tcPr>
            <w:tcW w:w="2592" w:type="dxa"/>
          </w:tcPr>
          <w:p w14:paraId="02C19F56" w14:textId="77777777" w:rsidR="00DB7BD3" w:rsidRDefault="00CB4873">
            <w:pPr>
              <w:pStyle w:val="cTableBody"/>
            </w:pPr>
            <w:r>
              <w:t>Jacopo Buongiorno</w:t>
            </w:r>
          </w:p>
        </w:tc>
        <w:tc>
          <w:tcPr>
            <w:tcW w:w="2592" w:type="dxa"/>
          </w:tcPr>
          <w:p w14:paraId="590A6541" w14:textId="77777777" w:rsidR="00DB7BD3" w:rsidRDefault="00CB4873">
            <w:pPr>
              <w:pStyle w:val="cTableBody"/>
            </w:pPr>
            <w:r>
              <w:t>Nuclear systems and economics</w:t>
            </w:r>
          </w:p>
        </w:tc>
        <w:tc>
          <w:tcPr>
            <w:tcW w:w="5256" w:type="dxa"/>
          </w:tcPr>
          <w:p w14:paraId="7EDB6599" w14:textId="77777777" w:rsidR="00DB7BD3" w:rsidRDefault="00CB4873">
            <w:pPr>
              <w:pStyle w:val="cTableBody"/>
            </w:pPr>
            <w:r>
              <w:t>Independent challenge on nuclear economics, project delivery, safety, and comparison of reactor/construction pathways.</w:t>
            </w:r>
          </w:p>
        </w:tc>
      </w:tr>
      <w:tr w:rsidR="00DB7BD3" w14:paraId="0749C9B1" w14:textId="77777777" w:rsidTr="00DB7BD3">
        <w:trPr>
          <w:cantSplit/>
        </w:trPr>
        <w:tc>
          <w:tcPr>
            <w:tcW w:w="2592" w:type="dxa"/>
          </w:tcPr>
          <w:p w14:paraId="3B7B73DE" w14:textId="77777777" w:rsidR="00DB7BD3" w:rsidRDefault="00CB4873">
            <w:pPr>
              <w:pStyle w:val="cTableBody"/>
            </w:pPr>
            <w:r>
              <w:t>Koroush Shirvan</w:t>
            </w:r>
          </w:p>
        </w:tc>
        <w:tc>
          <w:tcPr>
            <w:tcW w:w="2592" w:type="dxa"/>
          </w:tcPr>
          <w:p w14:paraId="0A18E0EC" w14:textId="77777777" w:rsidR="00DB7BD3" w:rsidRDefault="00CB4873">
            <w:pPr>
              <w:pStyle w:val="cTableBody"/>
            </w:pPr>
            <w:r>
              <w:t>Reactor economics and licensing</w:t>
            </w:r>
          </w:p>
        </w:tc>
        <w:tc>
          <w:tcPr>
            <w:tcW w:w="5256" w:type="dxa"/>
          </w:tcPr>
          <w:p w14:paraId="777965F8" w14:textId="77777777" w:rsidR="00DB7BD3" w:rsidRDefault="00CB4873">
            <w:pPr>
              <w:pStyle w:val="cTableBody"/>
            </w:pPr>
            <w:r>
              <w:t>Cost, licensing, deployment, and bottom-up challenge to modeled automation savings.</w:t>
            </w:r>
          </w:p>
        </w:tc>
      </w:tr>
      <w:tr w:rsidR="00DB7BD3" w14:paraId="64B6381B" w14:textId="77777777" w:rsidTr="00DB7BD3">
        <w:trPr>
          <w:cantSplit/>
        </w:trPr>
        <w:tc>
          <w:tcPr>
            <w:tcW w:w="2592" w:type="dxa"/>
          </w:tcPr>
          <w:p w14:paraId="34CB42AC" w14:textId="77777777" w:rsidR="00DB7BD3" w:rsidRDefault="00CB4873">
            <w:pPr>
              <w:pStyle w:val="cTableBody"/>
            </w:pPr>
            <w:r>
              <w:t>Amit Varma</w:t>
            </w:r>
          </w:p>
        </w:tc>
        <w:tc>
          <w:tcPr>
            <w:tcW w:w="2592" w:type="dxa"/>
          </w:tcPr>
          <w:p w14:paraId="74C9A33D" w14:textId="77777777" w:rsidR="00DB7BD3" w:rsidRDefault="00CB4873">
            <w:pPr>
              <w:pStyle w:val="cTableBody"/>
            </w:pPr>
            <w:r>
              <w:t>Nuclear structural systems</w:t>
            </w:r>
          </w:p>
        </w:tc>
        <w:tc>
          <w:tcPr>
            <w:tcW w:w="5256" w:type="dxa"/>
          </w:tcPr>
          <w:p w14:paraId="7688446E" w14:textId="77777777" w:rsidR="00DB7BD3" w:rsidRDefault="00CB4873">
            <w:pPr>
              <w:pStyle w:val="cTableBody"/>
            </w:pPr>
            <w:r>
              <w:t>Large-scale nuclear structures, modular composite construction, concrete/steel systems, testing, and constructability.</w:t>
            </w:r>
          </w:p>
        </w:tc>
      </w:tr>
      <w:tr w:rsidR="00DB7BD3" w14:paraId="7298044D" w14:textId="77777777" w:rsidTr="00DB7BD3">
        <w:trPr>
          <w:cantSplit/>
        </w:trPr>
        <w:tc>
          <w:tcPr>
            <w:tcW w:w="2592" w:type="dxa"/>
          </w:tcPr>
          <w:p w14:paraId="3D933F4C" w14:textId="77777777" w:rsidR="00DB7BD3" w:rsidRDefault="00CB4873">
            <w:pPr>
              <w:pStyle w:val="cTableBody"/>
            </w:pPr>
            <w:r>
              <w:t>Martin Fischer</w:t>
            </w:r>
          </w:p>
        </w:tc>
        <w:tc>
          <w:tcPr>
            <w:tcW w:w="2592" w:type="dxa"/>
          </w:tcPr>
          <w:p w14:paraId="54F01821" w14:textId="77777777" w:rsidR="00DB7BD3" w:rsidRDefault="00CB4873">
            <w:pPr>
              <w:pStyle w:val="cTableBody"/>
            </w:pPr>
            <w:r>
              <w:t>Digital construction / project delivery</w:t>
            </w:r>
          </w:p>
        </w:tc>
        <w:tc>
          <w:tcPr>
            <w:tcW w:w="5256" w:type="dxa"/>
          </w:tcPr>
          <w:p w14:paraId="19DA9BCF" w14:textId="77777777" w:rsidR="00DB7BD3" w:rsidRDefault="00CB4873">
            <w:pPr>
              <w:pStyle w:val="cTableBody"/>
            </w:pPr>
            <w:r>
              <w:t>4-D modeling, virtual design and construction, work packaging, schedule integration, and project-performance measurement.</w:t>
            </w:r>
          </w:p>
        </w:tc>
      </w:tr>
      <w:tr w:rsidR="00DB7BD3" w14:paraId="21A9BC39" w14:textId="77777777" w:rsidTr="00DB7BD3">
        <w:trPr>
          <w:cantSplit/>
        </w:trPr>
        <w:tc>
          <w:tcPr>
            <w:tcW w:w="2592" w:type="dxa"/>
          </w:tcPr>
          <w:p w14:paraId="4CE9EF57" w14:textId="77777777" w:rsidR="00DB7BD3" w:rsidRDefault="00CB4873">
            <w:pPr>
              <w:pStyle w:val="cTableBody"/>
            </w:pPr>
            <w:r>
              <w:t>Vineet Kamat</w:t>
            </w:r>
          </w:p>
        </w:tc>
        <w:tc>
          <w:tcPr>
            <w:tcW w:w="2592" w:type="dxa"/>
          </w:tcPr>
          <w:p w14:paraId="458FAFB3" w14:textId="77777777" w:rsidR="00DB7BD3" w:rsidRDefault="00CB4873">
            <w:pPr>
              <w:pStyle w:val="cTableBody"/>
            </w:pPr>
            <w:r>
              <w:t>Construction robotics</w:t>
            </w:r>
          </w:p>
        </w:tc>
        <w:tc>
          <w:tcPr>
            <w:tcW w:w="5256" w:type="dxa"/>
          </w:tcPr>
          <w:p w14:paraId="345450BA" w14:textId="77777777" w:rsidR="00DB7BD3" w:rsidRDefault="00CB4873">
            <w:pPr>
              <w:pStyle w:val="cTableBody"/>
            </w:pPr>
            <w:r>
              <w:t>Autonomy, simulation, machine safety, human-supervised field deployment, and construction robotics.</w:t>
            </w:r>
          </w:p>
        </w:tc>
      </w:tr>
      <w:tr w:rsidR="00DB7BD3" w14:paraId="1706EB7B" w14:textId="77777777" w:rsidTr="00DB7BD3">
        <w:trPr>
          <w:cantSplit/>
        </w:trPr>
        <w:tc>
          <w:tcPr>
            <w:tcW w:w="2592" w:type="dxa"/>
          </w:tcPr>
          <w:p w14:paraId="07A6A995" w14:textId="77777777" w:rsidR="00DB7BD3" w:rsidRDefault="00CB4873">
            <w:pPr>
              <w:pStyle w:val="cTableBody"/>
            </w:pPr>
            <w:r>
              <w:t>Carl Haas</w:t>
            </w:r>
          </w:p>
        </w:tc>
        <w:tc>
          <w:tcPr>
            <w:tcW w:w="2592" w:type="dxa"/>
          </w:tcPr>
          <w:p w14:paraId="1FC46890" w14:textId="77777777" w:rsidR="00DB7BD3" w:rsidRDefault="00CB4873">
            <w:pPr>
              <w:pStyle w:val="cTableBody"/>
            </w:pPr>
            <w:r>
              <w:t>Construction automation / productivity</w:t>
            </w:r>
          </w:p>
        </w:tc>
        <w:tc>
          <w:tcPr>
            <w:tcW w:w="5256" w:type="dxa"/>
          </w:tcPr>
          <w:p w14:paraId="4CEC0EF7" w14:textId="77777777" w:rsidR="00DB7BD3" w:rsidRDefault="00CB4873">
            <w:pPr>
              <w:pStyle w:val="cTableBody"/>
            </w:pPr>
            <w:r>
              <w:t>Automation, modularization, work packaging, productivity measurement, and lifecycle economics.</w:t>
            </w:r>
          </w:p>
        </w:tc>
      </w:tr>
      <w:tr w:rsidR="00DB7BD3" w14:paraId="5868EAE9" w14:textId="77777777" w:rsidTr="00DB7BD3">
        <w:trPr>
          <w:cantSplit/>
        </w:trPr>
        <w:tc>
          <w:tcPr>
            <w:tcW w:w="2592" w:type="dxa"/>
          </w:tcPr>
          <w:p w14:paraId="7F8487AD" w14:textId="77777777" w:rsidR="00DB7BD3" w:rsidRDefault="00CB4873">
            <w:pPr>
              <w:pStyle w:val="cTableBody"/>
            </w:pPr>
            <w:r>
              <w:lastRenderedPageBreak/>
              <w:t>Mani Golparvar-Fard</w:t>
            </w:r>
          </w:p>
        </w:tc>
        <w:tc>
          <w:tcPr>
            <w:tcW w:w="2592" w:type="dxa"/>
          </w:tcPr>
          <w:p w14:paraId="1A55E851" w14:textId="77777777" w:rsidR="00DB7BD3" w:rsidRDefault="00CB4873">
            <w:pPr>
              <w:pStyle w:val="cTableBody"/>
            </w:pPr>
            <w:r>
              <w:t>Reality capture / digital verification</w:t>
            </w:r>
          </w:p>
        </w:tc>
        <w:tc>
          <w:tcPr>
            <w:tcW w:w="5256" w:type="dxa"/>
          </w:tcPr>
          <w:p w14:paraId="6CBE37A0" w14:textId="77777777" w:rsidR="00DB7BD3" w:rsidRDefault="00CB4873">
            <w:pPr>
              <w:pStyle w:val="cTableBody"/>
            </w:pPr>
            <w:r>
              <w:t>Computer vision, progress measurement, as-built comparison, and digital-twin verification.</w:t>
            </w:r>
          </w:p>
        </w:tc>
      </w:tr>
      <w:tr w:rsidR="00DB7BD3" w14:paraId="23E473FD" w14:textId="77777777" w:rsidTr="00DB7BD3">
        <w:trPr>
          <w:cantSplit/>
        </w:trPr>
        <w:tc>
          <w:tcPr>
            <w:tcW w:w="2592" w:type="dxa"/>
          </w:tcPr>
          <w:p w14:paraId="4C08DB2A" w14:textId="77777777" w:rsidR="00DB7BD3" w:rsidRDefault="00CB4873">
            <w:pPr>
              <w:pStyle w:val="cTableBody"/>
            </w:pPr>
            <w:r>
              <w:t>Independent Chinese nuclear QA / regulation expert</w:t>
            </w:r>
          </w:p>
        </w:tc>
        <w:tc>
          <w:tcPr>
            <w:tcW w:w="2592" w:type="dxa"/>
          </w:tcPr>
          <w:p w14:paraId="0ACCB107" w14:textId="77777777" w:rsidR="00DB7BD3" w:rsidRDefault="00CB4873">
            <w:pPr>
              <w:pStyle w:val="cTableBody"/>
            </w:pPr>
            <w:r>
              <w:t>Chinese nuclear QA and licensing</w:t>
            </w:r>
          </w:p>
        </w:tc>
        <w:tc>
          <w:tcPr>
            <w:tcW w:w="5256" w:type="dxa"/>
          </w:tcPr>
          <w:p w14:paraId="69B01A0E" w14:textId="77777777" w:rsidR="00DB7BD3" w:rsidRDefault="00CB4873">
            <w:pPr>
              <w:pStyle w:val="cTableBody"/>
            </w:pPr>
            <w:r>
              <w:t>Regulator expectations, hold points, records, nonconformance, construction qualification, and separation of vendor claims from acceptance.</w:t>
            </w:r>
          </w:p>
        </w:tc>
      </w:tr>
      <w:tr w:rsidR="00DB7BD3" w14:paraId="52CF285A" w14:textId="77777777" w:rsidTr="00DB7BD3">
        <w:trPr>
          <w:cantSplit/>
        </w:trPr>
        <w:tc>
          <w:tcPr>
            <w:tcW w:w="2592" w:type="dxa"/>
          </w:tcPr>
          <w:p w14:paraId="0E426FC7" w14:textId="77777777" w:rsidR="00DB7BD3" w:rsidRDefault="00CB4873">
            <w:pPr>
              <w:pStyle w:val="cTableBody"/>
            </w:pPr>
            <w:r>
              <w:t>Senior Chinese tunneling / heavy-equipment automation expert</w:t>
            </w:r>
          </w:p>
        </w:tc>
        <w:tc>
          <w:tcPr>
            <w:tcW w:w="2592" w:type="dxa"/>
          </w:tcPr>
          <w:p w14:paraId="25C6E7FB" w14:textId="77777777" w:rsidR="00DB7BD3" w:rsidRDefault="00CB4873">
            <w:pPr>
              <w:pStyle w:val="cTableBody"/>
            </w:pPr>
            <w:r>
              <w:t>Excavation and machinery</w:t>
            </w:r>
          </w:p>
        </w:tc>
        <w:tc>
          <w:tcPr>
            <w:tcW w:w="5256" w:type="dxa"/>
          </w:tcPr>
          <w:p w14:paraId="5ABE54FC" w14:textId="77777777" w:rsidR="00DB7BD3" w:rsidRDefault="00CB4873">
            <w:pPr>
              <w:pStyle w:val="cTableBody"/>
            </w:pPr>
            <w:r>
              <w:t>High-throughput excavation, machine reliability, maintainability, manufacturing scale, and automation under Chinese site conditions.</w:t>
            </w:r>
          </w:p>
        </w:tc>
      </w:tr>
    </w:tbl>
    <w:p w14:paraId="704BF89B" w14:textId="77777777" w:rsidR="00DB7BD3" w:rsidRDefault="00CB4873">
      <w:r>
        <w:t>Selection principle. Use these names and organizations as a starting map, not as a preselected team. Early technical work should be competed where practical, and independent reviewers should remain separate from organizations whose cost, safety, quality, or performance claims they are asked to accept.</w:t>
      </w:r>
    </w:p>
    <w:p w14:paraId="2D8D5270" w14:textId="77777777" w:rsidR="00DB7BD3" w:rsidRDefault="00CB4873">
      <w:pPr>
        <w:pStyle w:val="Heading1"/>
      </w:pPr>
      <w:bookmarkStart w:id="37" w:name="_Toc238204716"/>
      <w:r>
        <w:lastRenderedPageBreak/>
        <w:t>Scientific and Engineering Advisory Panel</w:t>
      </w:r>
      <w:bookmarkEnd w:id="37"/>
    </w:p>
    <w:p w14:paraId="21A05D8B" w14:textId="77777777" w:rsidR="00DB7BD3" w:rsidRDefault="00CB4873">
      <w:pPr>
        <w:pStyle w:val="cUserPromptText"/>
      </w:pPr>
      <w:r>
        <w:rPr>
          <w:b/>
        </w:rPr>
        <w:t xml:space="preserve">Prompt to AI: </w:t>
      </w:r>
      <w:r>
        <w:t>What expertise and role-based seats should a scientific and engineering panel include for the China HTR + PWR construction-automation program, and how should it operate without duplicating the list of researchers and organizations?</w:t>
      </w:r>
    </w:p>
    <w:p w14:paraId="20316295" w14:textId="77777777" w:rsidR="00DB7BD3" w:rsidRDefault="00CB4873">
      <w:pPr>
        <w:pStyle w:val="cSubject"/>
      </w:pPr>
      <w:r>
        <w:t>Response From AI:</w:t>
      </w:r>
    </w:p>
    <w:p w14:paraId="219FB3BD" w14:textId="77777777" w:rsidR="00DB7BD3" w:rsidRDefault="00CB4873">
      <w:r>
        <w:t>The panel should be role-based rather than a repeated roster of named experts. Candidates may be drawn from the preceding chapter, but final selection should follow conflict, data-access, independence, nationality/security, and availability review. The panel advises and challenges; it does not replace the licensed design authority, Chinese regulator, construction QA authority, owner, or site safety authority.</w:t>
      </w:r>
    </w:p>
    <w:tbl>
      <w:tblPr>
        <w:tblStyle w:val="gswTableStyle"/>
        <w:tblW w:w="0" w:type="auto"/>
        <w:tblInd w:w="172" w:type="dxa"/>
        <w:tblLook w:val="04A0" w:firstRow="1" w:lastRow="0" w:firstColumn="1" w:lastColumn="0" w:noHBand="0" w:noVBand="1"/>
      </w:tblPr>
      <w:tblGrid>
        <w:gridCol w:w="2146"/>
        <w:gridCol w:w="3580"/>
        <w:gridCol w:w="4326"/>
      </w:tblGrid>
      <w:tr w:rsidR="00DB7BD3" w14:paraId="1A9832B1" w14:textId="77777777" w:rsidTr="00DB7BD3">
        <w:trPr>
          <w:cnfStyle w:val="100000000000" w:firstRow="1" w:lastRow="0" w:firstColumn="0" w:lastColumn="0" w:oddVBand="0" w:evenVBand="0" w:oddHBand="0" w:evenHBand="0" w:firstRowFirstColumn="0" w:firstRowLastColumn="0" w:lastRowFirstColumn="0" w:lastRowLastColumn="0"/>
          <w:cantSplit/>
          <w:tblHeader/>
        </w:trPr>
        <w:tc>
          <w:tcPr>
            <w:tcW w:w="2232" w:type="dxa"/>
          </w:tcPr>
          <w:p w14:paraId="06BF29B0" w14:textId="77777777" w:rsidR="00DB7BD3" w:rsidRDefault="00CB4873">
            <w:pPr>
              <w:pStyle w:val="cTableHeader"/>
            </w:pPr>
            <w:r>
              <w:t>Panel seat</w:t>
            </w:r>
          </w:p>
        </w:tc>
        <w:tc>
          <w:tcPr>
            <w:tcW w:w="3744" w:type="dxa"/>
          </w:tcPr>
          <w:p w14:paraId="6EAEF81C" w14:textId="77777777" w:rsidR="00DB7BD3" w:rsidRDefault="00CB4873">
            <w:pPr>
              <w:pStyle w:val="cTableHeader"/>
            </w:pPr>
            <w:r>
              <w:t>Required expertise</w:t>
            </w:r>
          </w:p>
        </w:tc>
        <w:tc>
          <w:tcPr>
            <w:tcW w:w="4464" w:type="dxa"/>
          </w:tcPr>
          <w:p w14:paraId="49714CB2" w14:textId="77777777" w:rsidR="00DB7BD3" w:rsidRDefault="00CB4873">
            <w:pPr>
              <w:pStyle w:val="cTableHeader"/>
            </w:pPr>
            <w:r>
              <w:t>Primary review responsibility</w:t>
            </w:r>
          </w:p>
        </w:tc>
      </w:tr>
      <w:tr w:rsidR="00DB7BD3" w14:paraId="4CC018B8" w14:textId="77777777" w:rsidTr="00DB7BD3">
        <w:trPr>
          <w:cantSplit/>
        </w:trPr>
        <w:tc>
          <w:tcPr>
            <w:tcW w:w="2232" w:type="dxa"/>
          </w:tcPr>
          <w:p w14:paraId="5BDD6499" w14:textId="77777777" w:rsidR="00DB7BD3" w:rsidRDefault="00CB4873">
            <w:pPr>
              <w:pStyle w:val="cTableBody"/>
            </w:pPr>
            <w:r>
              <w:t>HTR reference seat</w:t>
            </w:r>
          </w:p>
        </w:tc>
        <w:tc>
          <w:tcPr>
            <w:tcW w:w="3744" w:type="dxa"/>
          </w:tcPr>
          <w:p w14:paraId="5769398B" w14:textId="77777777" w:rsidR="00DB7BD3" w:rsidRDefault="00CB4873">
            <w:pPr>
              <w:pStyle w:val="cTableBody"/>
            </w:pPr>
            <w:r>
              <w:t>HTR-PM/HTR-PM600 design, safety, operating and construction interfaces</w:t>
            </w:r>
          </w:p>
        </w:tc>
        <w:tc>
          <w:tcPr>
            <w:tcW w:w="4464" w:type="dxa"/>
          </w:tcPr>
          <w:p w14:paraId="7AD15BEA" w14:textId="77777777" w:rsidR="00DB7BD3" w:rsidRDefault="00CB4873">
            <w:pPr>
              <w:pStyle w:val="cTableBody"/>
            </w:pPr>
            <w:r>
              <w:t>HTR reference assumptions, repeated-cell construction, component envelopes, safety boundaries, and HTR-specific tooling.</w:t>
            </w:r>
          </w:p>
        </w:tc>
      </w:tr>
      <w:tr w:rsidR="00DB7BD3" w14:paraId="345C8FB4" w14:textId="77777777" w:rsidTr="00DB7BD3">
        <w:trPr>
          <w:cantSplit/>
        </w:trPr>
        <w:tc>
          <w:tcPr>
            <w:tcW w:w="2232" w:type="dxa"/>
          </w:tcPr>
          <w:p w14:paraId="0081164D" w14:textId="77777777" w:rsidR="00DB7BD3" w:rsidRDefault="00CB4873">
            <w:pPr>
              <w:pStyle w:val="cTableBody"/>
            </w:pPr>
            <w:r>
              <w:t>PWR design seat</w:t>
            </w:r>
          </w:p>
        </w:tc>
        <w:tc>
          <w:tcPr>
            <w:tcW w:w="3744" w:type="dxa"/>
          </w:tcPr>
          <w:p w14:paraId="73413813" w14:textId="77777777" w:rsidR="00DB7BD3" w:rsidRDefault="00CB4873">
            <w:pPr>
              <w:pStyle w:val="cTableBody"/>
            </w:pPr>
            <w:r>
              <w:t>Hualong One/HPR1000 nuclear-island design and safety classifications</w:t>
            </w:r>
          </w:p>
        </w:tc>
        <w:tc>
          <w:tcPr>
            <w:tcW w:w="4464" w:type="dxa"/>
          </w:tcPr>
          <w:p w14:paraId="28112246" w14:textId="77777777" w:rsidR="00DB7BD3" w:rsidRDefault="00CB4873">
            <w:pPr>
              <w:pStyle w:val="cTableBody"/>
            </w:pPr>
            <w:r>
              <w:t>Controlled PWR interfaces, loads, tolerances, containment/liner/embedments, and design-change boundaries.</w:t>
            </w:r>
          </w:p>
        </w:tc>
      </w:tr>
      <w:tr w:rsidR="00DB7BD3" w14:paraId="54FAE5B9" w14:textId="77777777" w:rsidTr="00DB7BD3">
        <w:trPr>
          <w:cantSplit/>
        </w:trPr>
        <w:tc>
          <w:tcPr>
            <w:tcW w:w="2232" w:type="dxa"/>
          </w:tcPr>
          <w:p w14:paraId="5E01AFAD" w14:textId="77777777" w:rsidR="00DB7BD3" w:rsidRDefault="00CB4873">
            <w:pPr>
              <w:pStyle w:val="cTableBody"/>
            </w:pPr>
            <w:r>
              <w:t>PWR construction seat</w:t>
            </w:r>
          </w:p>
        </w:tc>
        <w:tc>
          <w:tcPr>
            <w:tcW w:w="3744" w:type="dxa"/>
          </w:tcPr>
          <w:p w14:paraId="01BD5E09" w14:textId="77777777" w:rsidR="00DB7BD3" w:rsidRDefault="00CB4873">
            <w:pPr>
              <w:pStyle w:val="cTableBody"/>
            </w:pPr>
            <w:r>
              <w:t>Current Chinese Hualong One serial construction and commissioning</w:t>
            </w:r>
          </w:p>
        </w:tc>
        <w:tc>
          <w:tcPr>
            <w:tcW w:w="4464" w:type="dxa"/>
          </w:tcPr>
          <w:p w14:paraId="58CD3F1B" w14:textId="77777777" w:rsidR="00DB7BD3" w:rsidRDefault="00CB4873">
            <w:pPr>
              <w:pStyle w:val="cTableBody"/>
            </w:pPr>
            <w:r>
              <w:t>Baseline productivity, modularization, smart-site systems, automatic welding, heavy lifts, and what the Moonshot must improve rather than duplicate.</w:t>
            </w:r>
          </w:p>
        </w:tc>
      </w:tr>
      <w:tr w:rsidR="00DB7BD3" w14:paraId="5FD781A4" w14:textId="77777777" w:rsidTr="00DB7BD3">
        <w:trPr>
          <w:cantSplit/>
        </w:trPr>
        <w:tc>
          <w:tcPr>
            <w:tcW w:w="2232" w:type="dxa"/>
          </w:tcPr>
          <w:p w14:paraId="384BBECD" w14:textId="77777777" w:rsidR="00DB7BD3" w:rsidRDefault="00CB4873">
            <w:pPr>
              <w:pStyle w:val="cTableBody"/>
            </w:pPr>
            <w:r>
              <w:t>Nuclear economics / licensing seat</w:t>
            </w:r>
          </w:p>
        </w:tc>
        <w:tc>
          <w:tcPr>
            <w:tcW w:w="3744" w:type="dxa"/>
          </w:tcPr>
          <w:p w14:paraId="4CE39B15" w14:textId="77777777" w:rsidR="00DB7BD3" w:rsidRDefault="00CB4873">
            <w:pPr>
              <w:pStyle w:val="cTableBody"/>
            </w:pPr>
            <w:r>
              <w:t>Cost engineering, licensing, project delivery, financing</w:t>
            </w:r>
          </w:p>
        </w:tc>
        <w:tc>
          <w:tcPr>
            <w:tcW w:w="4464" w:type="dxa"/>
          </w:tcPr>
          <w:p w14:paraId="52C161F3" w14:textId="77777777" w:rsidR="00DB7BD3" w:rsidRDefault="00CB4873">
            <w:pPr>
              <w:pStyle w:val="cTableBody"/>
            </w:pPr>
            <w:r>
              <w:t>Baseline fairness, site $/W, total CAPEX/LCOE reconstruction, schedule/financing effects, siting assumptions, and Phase II evidence.</w:t>
            </w:r>
          </w:p>
        </w:tc>
      </w:tr>
      <w:tr w:rsidR="00DB7BD3" w14:paraId="455DADC6" w14:textId="77777777" w:rsidTr="00DB7BD3">
        <w:trPr>
          <w:cantSplit/>
        </w:trPr>
        <w:tc>
          <w:tcPr>
            <w:tcW w:w="2232" w:type="dxa"/>
          </w:tcPr>
          <w:p w14:paraId="69954CAA" w14:textId="77777777" w:rsidR="00DB7BD3" w:rsidRDefault="00CB4873">
            <w:pPr>
              <w:pStyle w:val="cTableBody"/>
            </w:pPr>
            <w:r>
              <w:t>Civil / structural / geotechnical seat</w:t>
            </w:r>
          </w:p>
        </w:tc>
        <w:tc>
          <w:tcPr>
            <w:tcW w:w="3744" w:type="dxa"/>
          </w:tcPr>
          <w:p w14:paraId="1FAAF8AA" w14:textId="77777777" w:rsidR="00DB7BD3" w:rsidRDefault="00CB4873">
            <w:pPr>
              <w:pStyle w:val="cTableBody"/>
            </w:pPr>
            <w:r>
              <w:t>Nuclear concrete, steel structures, shafts, basemats, containment, seismic and temporary works</w:t>
            </w:r>
          </w:p>
        </w:tc>
        <w:tc>
          <w:tcPr>
            <w:tcW w:w="4464" w:type="dxa"/>
          </w:tcPr>
          <w:p w14:paraId="7D12629A" w14:textId="77777777" w:rsidR="00DB7BD3" w:rsidRDefault="00CB4873">
            <w:pPr>
              <w:pStyle w:val="cTableBody"/>
            </w:pPr>
            <w:r>
              <w:t>Full-scale HTR/PWR civil test articles, structural qualification, tolerances, durability, rework, and constructability.</w:t>
            </w:r>
          </w:p>
        </w:tc>
      </w:tr>
      <w:tr w:rsidR="00DB7BD3" w14:paraId="4015315B" w14:textId="77777777" w:rsidTr="00DB7BD3">
        <w:trPr>
          <w:cantSplit/>
        </w:trPr>
        <w:tc>
          <w:tcPr>
            <w:tcW w:w="2232" w:type="dxa"/>
          </w:tcPr>
          <w:p w14:paraId="35E05A46" w14:textId="77777777" w:rsidR="00DB7BD3" w:rsidRDefault="00CB4873">
            <w:pPr>
              <w:pStyle w:val="cTableBody"/>
            </w:pPr>
            <w:r>
              <w:t>Machines / heavy handling seat</w:t>
            </w:r>
          </w:p>
        </w:tc>
        <w:tc>
          <w:tcPr>
            <w:tcW w:w="3744" w:type="dxa"/>
          </w:tcPr>
          <w:p w14:paraId="7AF404FF" w14:textId="77777777" w:rsidR="00DB7BD3" w:rsidRDefault="00CB4873">
            <w:pPr>
              <w:pStyle w:val="cTableBody"/>
            </w:pPr>
            <w:r>
              <w:t>Construction/mining equipment, cranes, rail/SPMT, reliability and maintenance</w:t>
            </w:r>
          </w:p>
        </w:tc>
        <w:tc>
          <w:tcPr>
            <w:tcW w:w="4464" w:type="dxa"/>
          </w:tcPr>
          <w:p w14:paraId="7E70951B" w14:textId="77777777" w:rsidR="00DB7BD3" w:rsidRDefault="00CB4873">
            <w:pPr>
              <w:pStyle w:val="cTableBody"/>
            </w:pPr>
            <w:r>
              <w:t>Machine architecture, proof loads, throughput, maintainability, commonality, failure recovery, and factory-to-site logistics.</w:t>
            </w:r>
          </w:p>
        </w:tc>
      </w:tr>
      <w:tr w:rsidR="00DB7BD3" w14:paraId="64575EC0" w14:textId="77777777" w:rsidTr="00DB7BD3">
        <w:trPr>
          <w:cantSplit/>
        </w:trPr>
        <w:tc>
          <w:tcPr>
            <w:tcW w:w="2232" w:type="dxa"/>
          </w:tcPr>
          <w:p w14:paraId="08135657" w14:textId="77777777" w:rsidR="00DB7BD3" w:rsidRDefault="00CB4873">
            <w:pPr>
              <w:pStyle w:val="cTableBody"/>
            </w:pPr>
            <w:r>
              <w:t>Robotics / functional safety seat</w:t>
            </w:r>
          </w:p>
        </w:tc>
        <w:tc>
          <w:tcPr>
            <w:tcW w:w="3744" w:type="dxa"/>
          </w:tcPr>
          <w:p w14:paraId="68E3F8C2" w14:textId="77777777" w:rsidR="00DB7BD3" w:rsidRDefault="00CB4873">
            <w:pPr>
              <w:pStyle w:val="cTableBody"/>
            </w:pPr>
            <w:r>
              <w:t>Autonomy, perception, controls, human-machine interaction</w:t>
            </w:r>
          </w:p>
        </w:tc>
        <w:tc>
          <w:tcPr>
            <w:tcW w:w="4464" w:type="dxa"/>
          </w:tcPr>
          <w:p w14:paraId="0CCB0A50" w14:textId="77777777" w:rsidR="00DB7BD3" w:rsidRDefault="00CB4873">
            <w:pPr>
              <w:pStyle w:val="cTableBody"/>
            </w:pPr>
            <w:r>
              <w:t>Operating domains, safe stop, intervention, fault recovery, bounded autonomy, and field qualification.</w:t>
            </w:r>
          </w:p>
        </w:tc>
      </w:tr>
      <w:tr w:rsidR="00DB7BD3" w14:paraId="6C7D5881" w14:textId="77777777" w:rsidTr="00DB7BD3">
        <w:trPr>
          <w:cantSplit/>
        </w:trPr>
        <w:tc>
          <w:tcPr>
            <w:tcW w:w="2232" w:type="dxa"/>
          </w:tcPr>
          <w:p w14:paraId="06DAD4BA" w14:textId="77777777" w:rsidR="00DB7BD3" w:rsidRDefault="00CB4873">
            <w:pPr>
              <w:pStyle w:val="cTableBody"/>
            </w:pPr>
            <w:r>
              <w:t>Digital / metrology / QA seat</w:t>
            </w:r>
          </w:p>
        </w:tc>
        <w:tc>
          <w:tcPr>
            <w:tcW w:w="3744" w:type="dxa"/>
          </w:tcPr>
          <w:p w14:paraId="141FA968" w14:textId="77777777" w:rsidR="00DB7BD3" w:rsidRDefault="00CB4873">
            <w:pPr>
              <w:pStyle w:val="cTableBody"/>
            </w:pPr>
            <w:r>
              <w:t>Digital twins, software V&amp;V, reality capture, NDE, configuration and nuclear QA</w:t>
            </w:r>
          </w:p>
        </w:tc>
        <w:tc>
          <w:tcPr>
            <w:tcW w:w="4464" w:type="dxa"/>
          </w:tcPr>
          <w:p w14:paraId="1DB2B959" w14:textId="77777777" w:rsidR="00DB7BD3" w:rsidRDefault="00CB4873">
            <w:pPr>
              <w:pStyle w:val="cTableBody"/>
            </w:pPr>
            <w:r>
              <w:t>Data thread, calibration, traceability, cybersecurity, as-built evidence, nonconformance, and independent acceptance.</w:t>
            </w:r>
          </w:p>
        </w:tc>
      </w:tr>
      <w:tr w:rsidR="00DB7BD3" w14:paraId="1000D827" w14:textId="77777777" w:rsidTr="00DB7BD3">
        <w:trPr>
          <w:cantSplit/>
        </w:trPr>
        <w:tc>
          <w:tcPr>
            <w:tcW w:w="2232" w:type="dxa"/>
          </w:tcPr>
          <w:p w14:paraId="1FB95084" w14:textId="77777777" w:rsidR="00DB7BD3" w:rsidRDefault="00CB4873">
            <w:pPr>
              <w:pStyle w:val="cTableBody"/>
            </w:pPr>
            <w:r>
              <w:lastRenderedPageBreak/>
              <w:t>Independent Chinese QA / regulation seat</w:t>
            </w:r>
          </w:p>
        </w:tc>
        <w:tc>
          <w:tcPr>
            <w:tcW w:w="3744" w:type="dxa"/>
          </w:tcPr>
          <w:p w14:paraId="235290FA" w14:textId="77777777" w:rsidR="00DB7BD3" w:rsidRDefault="00CB4873">
            <w:pPr>
              <w:pStyle w:val="cTableBody"/>
            </w:pPr>
            <w:r>
              <w:t>Chinese nuclear construction QA and regulator practice</w:t>
            </w:r>
          </w:p>
        </w:tc>
        <w:tc>
          <w:tcPr>
            <w:tcW w:w="4464" w:type="dxa"/>
          </w:tcPr>
          <w:p w14:paraId="31908310" w14:textId="77777777" w:rsidR="00DB7BD3" w:rsidRDefault="00CB4873">
            <w:pPr>
              <w:pStyle w:val="cTableBody"/>
            </w:pPr>
            <w:r>
              <w:t>Reality check on code, qualification, regulator engagement, controlled data, hold points, and first-site transition gaps.</w:t>
            </w:r>
          </w:p>
        </w:tc>
      </w:tr>
    </w:tbl>
    <w:p w14:paraId="0B7113C2" w14:textId="77777777" w:rsidR="00DB7BD3" w:rsidRDefault="00CB4873">
      <w:pPr>
        <w:pStyle w:val="Heading2"/>
      </w:pPr>
      <w:r>
        <w:t>Panel charter</w:t>
      </w:r>
    </w:p>
    <w:p w14:paraId="0C0FA6D0" w14:textId="77777777" w:rsidR="00DB7BD3" w:rsidRDefault="00CB4873">
      <w:r>
        <w:t>Review the two controlled reactor references, alternatives, common-versus-specific machine architecture, pilot design, safety/quality evidence, cost/schedule methods, failures, and major stage gates. Require written management responses to material findings and preserve dissent. Meet quarterly plus major design/test reviews, with direct access to permissible contractor data, pilot facilities, cost models, failures, and independent test evidence.</w:t>
      </w:r>
    </w:p>
    <w:p w14:paraId="4F7F28EB" w14:textId="77777777" w:rsidR="00DB7BD3" w:rsidRDefault="00CB4873">
      <w:r>
        <w:t>Maintain a conflict register and require recusal when members are affiliated with a bidder, reactor vendor, EPC, machine supplier, Managing Organization affiliate, or organization under review. No panel member or subcommittee should become the sole acceptance authority for work performed by that member’s institution.</w:t>
      </w:r>
    </w:p>
    <w:p w14:paraId="5C51916B" w14:textId="77777777" w:rsidR="00DB7BD3" w:rsidRDefault="00CB4873">
      <w:pPr>
        <w:pStyle w:val="Heading2"/>
      </w:pPr>
      <w:r>
        <w:t>Standing subcommittees</w:t>
      </w:r>
    </w:p>
    <w:tbl>
      <w:tblPr>
        <w:tblStyle w:val="gswTableStyle"/>
        <w:tblW w:w="0" w:type="auto"/>
        <w:tblInd w:w="172" w:type="dxa"/>
        <w:tblLook w:val="04A0" w:firstRow="1" w:lastRow="0" w:firstColumn="1" w:lastColumn="0" w:noHBand="0" w:noVBand="1"/>
      </w:tblPr>
      <w:tblGrid>
        <w:gridCol w:w="2302"/>
        <w:gridCol w:w="3453"/>
        <w:gridCol w:w="4297"/>
      </w:tblGrid>
      <w:tr w:rsidR="00DB7BD3" w14:paraId="73FF9F68" w14:textId="77777777" w:rsidTr="00DB7BD3">
        <w:trPr>
          <w:cnfStyle w:val="100000000000" w:firstRow="1" w:lastRow="0" w:firstColumn="0" w:lastColumn="0" w:oddVBand="0" w:evenVBand="0" w:oddHBand="0" w:evenHBand="0" w:firstRowFirstColumn="0" w:firstRowLastColumn="0" w:lastRowFirstColumn="0" w:lastRowLastColumn="0"/>
          <w:cantSplit/>
          <w:tblHeader/>
        </w:trPr>
        <w:tc>
          <w:tcPr>
            <w:tcW w:w="2376" w:type="dxa"/>
          </w:tcPr>
          <w:p w14:paraId="40448BBD" w14:textId="77777777" w:rsidR="00DB7BD3" w:rsidRDefault="00CB4873">
            <w:pPr>
              <w:pStyle w:val="cTableHeader"/>
            </w:pPr>
            <w:r>
              <w:t>Subcommittee</w:t>
            </w:r>
          </w:p>
        </w:tc>
        <w:tc>
          <w:tcPr>
            <w:tcW w:w="3600" w:type="dxa"/>
          </w:tcPr>
          <w:p w14:paraId="20B1B1A5" w14:textId="77777777" w:rsidR="00DB7BD3" w:rsidRDefault="00CB4873">
            <w:pPr>
              <w:pStyle w:val="cTableHeader"/>
            </w:pPr>
            <w:r>
              <w:t>Expertise</w:t>
            </w:r>
          </w:p>
        </w:tc>
        <w:tc>
          <w:tcPr>
            <w:tcW w:w="4464" w:type="dxa"/>
          </w:tcPr>
          <w:p w14:paraId="5BF8D491" w14:textId="77777777" w:rsidR="00DB7BD3" w:rsidRDefault="00CB4873">
            <w:pPr>
              <w:pStyle w:val="cTableHeader"/>
            </w:pPr>
            <w:r>
              <w:t>Key reviews</w:t>
            </w:r>
          </w:p>
        </w:tc>
      </w:tr>
      <w:tr w:rsidR="00DB7BD3" w14:paraId="1B372832" w14:textId="77777777" w:rsidTr="00DB7BD3">
        <w:trPr>
          <w:cantSplit/>
        </w:trPr>
        <w:tc>
          <w:tcPr>
            <w:tcW w:w="2376" w:type="dxa"/>
          </w:tcPr>
          <w:p w14:paraId="309345BA" w14:textId="77777777" w:rsidR="00DB7BD3" w:rsidRDefault="00CB4873">
            <w:pPr>
              <w:pStyle w:val="cTableBody"/>
            </w:pPr>
            <w:r>
              <w:t>Reactor references and nuclear safety</w:t>
            </w:r>
          </w:p>
        </w:tc>
        <w:tc>
          <w:tcPr>
            <w:tcW w:w="3600" w:type="dxa"/>
          </w:tcPr>
          <w:p w14:paraId="1CE6CE9C" w14:textId="77777777" w:rsidR="00DB7BD3" w:rsidRDefault="00CB4873">
            <w:pPr>
              <w:pStyle w:val="cTableBody"/>
            </w:pPr>
            <w:r>
              <w:t>HTR/HTGR; Hualong One/PWR; plant systems; China licensing</w:t>
            </w:r>
          </w:p>
        </w:tc>
        <w:tc>
          <w:tcPr>
            <w:tcW w:w="4464" w:type="dxa"/>
          </w:tcPr>
          <w:p w14:paraId="5D90E893" w14:textId="77777777" w:rsidR="00DB7BD3" w:rsidRDefault="00CB4873">
            <w:pPr>
              <w:pStyle w:val="cTableBody"/>
            </w:pPr>
            <w:r>
              <w:t>Reference boundaries, safety classifications, controlled data, machine interfaces, siting assumptions, and first-site gaps.</w:t>
            </w:r>
          </w:p>
        </w:tc>
      </w:tr>
      <w:tr w:rsidR="00DB7BD3" w14:paraId="43E92526" w14:textId="77777777" w:rsidTr="00DB7BD3">
        <w:trPr>
          <w:cantSplit/>
        </w:trPr>
        <w:tc>
          <w:tcPr>
            <w:tcW w:w="2376" w:type="dxa"/>
          </w:tcPr>
          <w:p w14:paraId="2E0DC302" w14:textId="77777777" w:rsidR="00DB7BD3" w:rsidRDefault="00CB4873">
            <w:pPr>
              <w:pStyle w:val="cTableBody"/>
            </w:pPr>
            <w:r>
              <w:t>Civil, structural, and underground</w:t>
            </w:r>
          </w:p>
        </w:tc>
        <w:tc>
          <w:tcPr>
            <w:tcW w:w="3600" w:type="dxa"/>
          </w:tcPr>
          <w:p w14:paraId="60FEEA15" w14:textId="77777777" w:rsidR="00DB7BD3" w:rsidRDefault="00CB4873">
            <w:pPr>
              <w:pStyle w:val="cTableBody"/>
            </w:pPr>
            <w:r>
              <w:t>Geotechnical, shafts/tunnels, basemats, containments, seismic, concrete, liners, temporary works</w:t>
            </w:r>
          </w:p>
        </w:tc>
        <w:tc>
          <w:tcPr>
            <w:tcW w:w="4464" w:type="dxa"/>
          </w:tcPr>
          <w:p w14:paraId="2E6716F9" w14:textId="77777777" w:rsidR="00DB7BD3" w:rsidRDefault="00CB4873">
            <w:pPr>
              <w:pStyle w:val="cTableBody"/>
            </w:pPr>
            <w:r>
              <w:t>HTR excavations/linings; PWR basemat/containment/liner; materials, tolerances, durability, constructability, and qualification.</w:t>
            </w:r>
          </w:p>
        </w:tc>
      </w:tr>
      <w:tr w:rsidR="00DB7BD3" w14:paraId="1A017340" w14:textId="77777777" w:rsidTr="00DB7BD3">
        <w:trPr>
          <w:cantSplit/>
        </w:trPr>
        <w:tc>
          <w:tcPr>
            <w:tcW w:w="2376" w:type="dxa"/>
          </w:tcPr>
          <w:p w14:paraId="624302B6" w14:textId="77777777" w:rsidR="00DB7BD3" w:rsidRDefault="00CB4873">
            <w:pPr>
              <w:pStyle w:val="cTableBody"/>
            </w:pPr>
            <w:r>
              <w:t>Machines, logistics, and heavy handling</w:t>
            </w:r>
          </w:p>
        </w:tc>
        <w:tc>
          <w:tcPr>
            <w:tcW w:w="3600" w:type="dxa"/>
          </w:tcPr>
          <w:p w14:paraId="3FCBED23" w14:textId="77777777" w:rsidR="00DB7BD3" w:rsidRDefault="00CB4873">
            <w:pPr>
              <w:pStyle w:val="cTableBody"/>
            </w:pPr>
            <w:r>
              <w:t>Construction/mining equipment, cranes, rail/SPMT, autonomy, functional safety, maintenance</w:t>
            </w:r>
          </w:p>
        </w:tc>
        <w:tc>
          <w:tcPr>
            <w:tcW w:w="4464" w:type="dxa"/>
          </w:tcPr>
          <w:p w14:paraId="0D553C92" w14:textId="77777777" w:rsidR="00DB7BD3" w:rsidRDefault="00CB4873">
            <w:pPr>
              <w:pStyle w:val="cTableBody"/>
            </w:pPr>
            <w:r>
              <w:t>Machine concepts, operating domains, proof loads, throughput, recovery, commonality, maintainability, and logistics.</w:t>
            </w:r>
          </w:p>
        </w:tc>
      </w:tr>
      <w:tr w:rsidR="00DB7BD3" w14:paraId="14DB88B7" w14:textId="77777777" w:rsidTr="00DB7BD3">
        <w:trPr>
          <w:cantSplit/>
        </w:trPr>
        <w:tc>
          <w:tcPr>
            <w:tcW w:w="2376" w:type="dxa"/>
          </w:tcPr>
          <w:p w14:paraId="44AF194B" w14:textId="77777777" w:rsidR="00DB7BD3" w:rsidRDefault="00CB4873">
            <w:pPr>
              <w:pStyle w:val="cTableBody"/>
            </w:pPr>
            <w:r>
              <w:t>Digital, metrology, and quality</w:t>
            </w:r>
          </w:p>
        </w:tc>
        <w:tc>
          <w:tcPr>
            <w:tcW w:w="3600" w:type="dxa"/>
          </w:tcPr>
          <w:p w14:paraId="0C6A312F" w14:textId="77777777" w:rsidR="00DB7BD3" w:rsidRDefault="00CB4873">
            <w:pPr>
              <w:pStyle w:val="cTableBody"/>
            </w:pPr>
            <w:r>
              <w:t>Digital twins, software V&amp;V, reality capture, configuration, NDE, nuclear QA</w:t>
            </w:r>
          </w:p>
        </w:tc>
        <w:tc>
          <w:tcPr>
            <w:tcW w:w="4464" w:type="dxa"/>
          </w:tcPr>
          <w:p w14:paraId="60ED90DE" w14:textId="77777777" w:rsidR="00DB7BD3" w:rsidRDefault="00CB4873">
            <w:pPr>
              <w:pStyle w:val="cTableBody"/>
            </w:pPr>
            <w:r>
              <w:t>Data architecture, calibration, cybersecurity, traceability, as-built evidence, nonconformance, and acceptance.</w:t>
            </w:r>
          </w:p>
        </w:tc>
      </w:tr>
      <w:tr w:rsidR="00DB7BD3" w14:paraId="46F440E6" w14:textId="77777777" w:rsidTr="00DB7BD3">
        <w:trPr>
          <w:cantSplit/>
        </w:trPr>
        <w:tc>
          <w:tcPr>
            <w:tcW w:w="2376" w:type="dxa"/>
          </w:tcPr>
          <w:p w14:paraId="451895D1" w14:textId="77777777" w:rsidR="00DB7BD3" w:rsidRDefault="00CB4873">
            <w:pPr>
              <w:pStyle w:val="cTableBody"/>
            </w:pPr>
            <w:r>
              <w:t>Economics, schedule, siting, and deployment</w:t>
            </w:r>
          </w:p>
        </w:tc>
        <w:tc>
          <w:tcPr>
            <w:tcW w:w="3600" w:type="dxa"/>
          </w:tcPr>
          <w:p w14:paraId="5B385BC0" w14:textId="77777777" w:rsidR="00DB7BD3" w:rsidRDefault="00CB4873">
            <w:pPr>
              <w:pStyle w:val="cTableBody"/>
            </w:pPr>
            <w:r>
              <w:t>Cost engineering, Chinese project delivery, financing, supply chain, transmission</w:t>
            </w:r>
          </w:p>
        </w:tc>
        <w:tc>
          <w:tcPr>
            <w:tcW w:w="4464" w:type="dxa"/>
          </w:tcPr>
          <w:p w14:paraId="1C24B303" w14:textId="77777777" w:rsidR="00DB7BD3" w:rsidRDefault="00CB4873">
            <w:pPr>
              <w:pStyle w:val="cTableBody"/>
            </w:pPr>
            <w:r>
              <w:t>Baseline fairness, site $/W, build time, total CAPEX/LCOE, delivered cost, learning, replication, and Phase II decisions.</w:t>
            </w:r>
          </w:p>
        </w:tc>
      </w:tr>
    </w:tbl>
    <w:p w14:paraId="236A83FC" w14:textId="77777777" w:rsidR="003A5A50" w:rsidRDefault="00CB4873">
      <w:pPr>
        <w:pStyle w:val="Heading1"/>
        <w:spacing w:before="0" w:after="280"/>
      </w:pPr>
      <w:bookmarkStart w:id="38" w:name="_Toc237866636"/>
      <w:bookmarkStart w:id="39" w:name="_Toc237987310"/>
      <w:bookmarkStart w:id="40" w:name="_Toc238204717"/>
      <w:r>
        <w:lastRenderedPageBreak/>
        <w:t>Management Advisory Panel</w:t>
      </w:r>
      <w:bookmarkEnd w:id="38"/>
      <w:bookmarkEnd w:id="39"/>
      <w:bookmarkEnd w:id="40"/>
    </w:p>
    <w:p w14:paraId="48561883" w14:textId="77777777" w:rsidR="00E43E8F" w:rsidRDefault="00CB4873" w:rsidP="000D749E">
      <w:pPr>
        <w:pStyle w:val="cUserPromptHeading"/>
      </w:pPr>
      <w:r>
        <w:t>Prompt to AI:</w:t>
      </w:r>
      <w:r w:rsidR="000D749E">
        <w:t xml:space="preserve"> </w:t>
      </w:r>
      <w:r w:rsidRPr="000D749E">
        <w:rPr>
          <w:rStyle w:val="UserPromptTextChar"/>
          <w:b w:val="0"/>
          <w:bCs w:val="0"/>
        </w:rPr>
        <w:t>What management-oversight expertise is uniquely needed for this China-based dual-reference nuclear construction program beyond the common Management Advisory Panel charter?</w:t>
      </w:r>
    </w:p>
    <w:p w14:paraId="29F73BBF" w14:textId="77777777" w:rsidR="00E43E8F" w:rsidRDefault="00CB4873">
      <w:pPr>
        <w:pStyle w:val="cSubject"/>
      </w:pPr>
      <w:r>
        <w:t>Response From AI:</w:t>
      </w:r>
    </w:p>
    <w:p w14:paraId="41EFF341" w14:textId="1065FB1A" w:rsidR="00C764CE" w:rsidRPr="00736937" w:rsidRDefault="00CB4873" w:rsidP="00736937">
      <w:r>
        <w:t xml:space="preserve">The </w:t>
      </w:r>
      <w:hyperlink r:id="rId45" w:anchor="framework" w:history="1">
        <w:r w:rsidR="00736937">
          <w:rPr>
            <w:rStyle w:val="bhyperlinkChar"/>
          </w:rPr>
          <w:t>Moonshot</w:t>
        </w:r>
        <w:r w:rsidR="00736937" w:rsidRPr="00D14B0C">
          <w:rPr>
            <w:rStyle w:val="bhyperlinkChar"/>
          </w:rPr>
          <w:t xml:space="preserve"> Common Framework</w:t>
        </w:r>
      </w:hyperlink>
      <w:r>
        <w:t xml:space="preserve"> governs the panel charter, independence, audit access, conflicts, escalation rights, reserve review, corrective action, and Managing Organization oversight. This initiative adds several seats or equivalent capabilities because it combines Chinese nuclear construction, large state-owned supply chains, controlled design information, and a head-to-head HTR/PWR comparison.</w:t>
      </w:r>
    </w:p>
    <w:tbl>
      <w:tblPr>
        <w:tblStyle w:val="gswTableStyle"/>
        <w:tblW w:w="10375" w:type="dxa"/>
        <w:tblLayout w:type="fixed"/>
        <w:tblLook w:val="04A0" w:firstRow="1" w:lastRow="0" w:firstColumn="1" w:lastColumn="0" w:noHBand="0" w:noVBand="1"/>
      </w:tblPr>
      <w:tblGrid>
        <w:gridCol w:w="3265"/>
        <w:gridCol w:w="1620"/>
        <w:gridCol w:w="5490"/>
      </w:tblGrid>
      <w:tr w:rsidR="003A5A50" w14:paraId="74E251E4" w14:textId="77777777" w:rsidTr="000119DA">
        <w:trPr>
          <w:cnfStyle w:val="100000000000" w:firstRow="1" w:lastRow="0" w:firstColumn="0" w:lastColumn="0" w:oddVBand="0" w:evenVBand="0" w:oddHBand="0" w:evenHBand="0" w:firstRowFirstColumn="0" w:firstRowLastColumn="0" w:lastRowFirstColumn="0" w:lastRowLastColumn="0"/>
          <w:tblHeader/>
        </w:trPr>
        <w:tc>
          <w:tcPr>
            <w:tcW w:w="3265" w:type="dxa"/>
          </w:tcPr>
          <w:p w14:paraId="2D53EF76" w14:textId="77777777" w:rsidR="003A5A50" w:rsidRDefault="00CB4873" w:rsidP="000119DA">
            <w:pPr>
              <w:pStyle w:val="cTableHeader"/>
              <w:spacing w:before="0" w:after="0"/>
              <w:ind w:right="-10"/>
            </w:pPr>
            <w:r>
              <w:t>Initiative-specific seat</w:t>
            </w:r>
          </w:p>
        </w:tc>
        <w:tc>
          <w:tcPr>
            <w:tcW w:w="1620" w:type="dxa"/>
          </w:tcPr>
          <w:p w14:paraId="08165C76" w14:textId="77777777" w:rsidR="003A5A50" w:rsidRDefault="00CB4873">
            <w:pPr>
              <w:pStyle w:val="cTableHeader"/>
              <w:spacing w:before="0" w:after="0"/>
            </w:pPr>
            <w:r>
              <w:t>Contribution</w:t>
            </w:r>
          </w:p>
        </w:tc>
        <w:tc>
          <w:tcPr>
            <w:tcW w:w="5490" w:type="dxa"/>
          </w:tcPr>
          <w:p w14:paraId="5CE5BF22" w14:textId="77777777" w:rsidR="003A5A50" w:rsidRDefault="00CB4873">
            <w:pPr>
              <w:pStyle w:val="cTableHeader"/>
              <w:spacing w:before="0" w:after="0"/>
            </w:pPr>
            <w:r>
              <w:t>Why this program needs it</w:t>
            </w:r>
          </w:p>
        </w:tc>
      </w:tr>
      <w:tr w:rsidR="003A5A50" w14:paraId="2CEA6240" w14:textId="77777777" w:rsidTr="000119DA">
        <w:tc>
          <w:tcPr>
            <w:tcW w:w="3265" w:type="dxa"/>
          </w:tcPr>
          <w:p w14:paraId="296C902A" w14:textId="77777777" w:rsidR="003A5A50" w:rsidRDefault="00CB4873" w:rsidP="000119DA">
            <w:pPr>
              <w:pStyle w:val="cTableBody"/>
              <w:spacing w:before="0" w:after="0"/>
              <w:ind w:right="-10"/>
            </w:pPr>
            <w:r>
              <w:t>Retired Chinese nuclear megaproject or regulatory leader</w:t>
            </w:r>
          </w:p>
        </w:tc>
        <w:tc>
          <w:tcPr>
            <w:tcW w:w="1620" w:type="dxa"/>
          </w:tcPr>
          <w:p w14:paraId="44E36A4F" w14:textId="77777777" w:rsidR="003A5A50" w:rsidRDefault="00CB4873">
            <w:pPr>
              <w:pStyle w:val="cTableBody"/>
              <w:spacing w:before="0" w:after="0"/>
            </w:pPr>
            <w:r>
              <w:t>China nuclear governance</w:t>
            </w:r>
          </w:p>
        </w:tc>
        <w:tc>
          <w:tcPr>
            <w:tcW w:w="5490" w:type="dxa"/>
          </w:tcPr>
          <w:p w14:paraId="63722460" w14:textId="77777777" w:rsidR="003A5A50" w:rsidRDefault="00CB4873">
            <w:pPr>
              <w:pStyle w:val="cTableBody"/>
              <w:spacing w:before="0" w:after="0"/>
            </w:pPr>
            <w:r>
              <w:t>Challenges the MO on nuclear safety culture, construction QA, regulator interfaces, licensing-support assumptions, and realistic first-site transition.</w:t>
            </w:r>
          </w:p>
        </w:tc>
      </w:tr>
      <w:tr w:rsidR="003A5A50" w14:paraId="3B7EB172" w14:textId="77777777" w:rsidTr="000119DA">
        <w:tc>
          <w:tcPr>
            <w:tcW w:w="3265" w:type="dxa"/>
          </w:tcPr>
          <w:p w14:paraId="36C7EFE4" w14:textId="77777777" w:rsidR="003A5A50" w:rsidRDefault="00CB4873" w:rsidP="000119DA">
            <w:pPr>
              <w:pStyle w:val="cTableBody"/>
              <w:spacing w:before="0" w:after="0"/>
              <w:ind w:right="-10"/>
            </w:pPr>
            <w:r>
              <w:t>Independent China nuclear-construction / commissioning executive</w:t>
            </w:r>
          </w:p>
        </w:tc>
        <w:tc>
          <w:tcPr>
            <w:tcW w:w="1620" w:type="dxa"/>
          </w:tcPr>
          <w:p w14:paraId="2F4AD1F9" w14:textId="77777777" w:rsidR="003A5A50" w:rsidRDefault="00CB4873">
            <w:pPr>
              <w:pStyle w:val="cTableBody"/>
              <w:spacing w:before="0" w:after="0"/>
            </w:pPr>
            <w:r>
              <w:t>Project delivery</w:t>
            </w:r>
          </w:p>
        </w:tc>
        <w:tc>
          <w:tcPr>
            <w:tcW w:w="5490" w:type="dxa"/>
          </w:tcPr>
          <w:p w14:paraId="6466169F" w14:textId="77777777" w:rsidR="003A5A50" w:rsidRDefault="00CB4873">
            <w:pPr>
              <w:pStyle w:val="cTableBody"/>
              <w:spacing w:before="0" w:after="0"/>
            </w:pPr>
            <w:r>
              <w:t>Reviews civil/structural automation, heavy lift, commissioning interfaces, owner capability, productivity evidence, and whether savings survive real site constraints.</w:t>
            </w:r>
          </w:p>
        </w:tc>
      </w:tr>
      <w:tr w:rsidR="003A5A50" w14:paraId="5F0AFC34" w14:textId="77777777" w:rsidTr="000119DA">
        <w:tc>
          <w:tcPr>
            <w:tcW w:w="3265" w:type="dxa"/>
          </w:tcPr>
          <w:p w14:paraId="066A3A89" w14:textId="77777777" w:rsidR="003A5A50" w:rsidRDefault="00CB4873" w:rsidP="000119DA">
            <w:pPr>
              <w:pStyle w:val="cTableBody"/>
              <w:spacing w:before="0" w:after="0"/>
              <w:ind w:right="-10"/>
            </w:pPr>
            <w:r>
              <w:t>China public-procurement / related-party controls expert</w:t>
            </w:r>
          </w:p>
        </w:tc>
        <w:tc>
          <w:tcPr>
            <w:tcW w:w="1620" w:type="dxa"/>
          </w:tcPr>
          <w:p w14:paraId="34543E43" w14:textId="77777777" w:rsidR="003A5A50" w:rsidRDefault="00CB4873">
            <w:pPr>
              <w:pStyle w:val="cTableBody"/>
              <w:spacing w:before="0" w:after="0"/>
            </w:pPr>
            <w:r>
              <w:t>Competition and integrity</w:t>
            </w:r>
          </w:p>
        </w:tc>
        <w:tc>
          <w:tcPr>
            <w:tcW w:w="5490" w:type="dxa"/>
          </w:tcPr>
          <w:p w14:paraId="1EE5556D" w14:textId="77777777" w:rsidR="003A5A50" w:rsidRDefault="00CB4873">
            <w:pPr>
              <w:pStyle w:val="cTableBody"/>
              <w:spacing w:before="0" w:after="0"/>
            </w:pPr>
            <w:r>
              <w:t>Reviews affiliation among state-owned groups, universities, EPCs, vendors, and MO-related entities so awards and HTR/PWR comparisons remain transparent.</w:t>
            </w:r>
          </w:p>
        </w:tc>
      </w:tr>
      <w:tr w:rsidR="003A5A50" w14:paraId="7456A481" w14:textId="77777777" w:rsidTr="000119DA">
        <w:tc>
          <w:tcPr>
            <w:tcW w:w="3265" w:type="dxa"/>
          </w:tcPr>
          <w:p w14:paraId="437A4D47" w14:textId="77777777" w:rsidR="003A5A50" w:rsidRDefault="00CB4873" w:rsidP="000119DA">
            <w:pPr>
              <w:pStyle w:val="cTableBody"/>
              <w:spacing w:before="0" w:after="0"/>
              <w:ind w:right="-10"/>
            </w:pPr>
            <w:r>
              <w:t>China/international IP, cyber, export, and controlled-data counsel</w:t>
            </w:r>
          </w:p>
        </w:tc>
        <w:tc>
          <w:tcPr>
            <w:tcW w:w="1620" w:type="dxa"/>
          </w:tcPr>
          <w:p w14:paraId="45F37655" w14:textId="77777777" w:rsidR="003A5A50" w:rsidRDefault="00CB4873">
            <w:pPr>
              <w:pStyle w:val="cTableBody"/>
              <w:spacing w:before="0" w:after="0"/>
            </w:pPr>
            <w:r>
              <w:t>Data rights and transition</w:t>
            </w:r>
          </w:p>
        </w:tc>
        <w:tc>
          <w:tcPr>
            <w:tcW w:w="5490" w:type="dxa"/>
          </w:tcPr>
          <w:p w14:paraId="280F770B" w14:textId="77777777" w:rsidR="003A5A50" w:rsidRDefault="00CB4873">
            <w:pPr>
              <w:pStyle w:val="cTableBody"/>
              <w:spacing w:before="0" w:after="0"/>
            </w:pPr>
            <w:r>
              <w:t>Reviews foreground machine rights, reactor-vendor background data, cybersecurity, controlled nuclear information, cross-border collaboration, second sourcing, and successor access.</w:t>
            </w:r>
          </w:p>
        </w:tc>
      </w:tr>
    </w:tbl>
    <w:p w14:paraId="3AF1DBF4" w14:textId="77777777" w:rsidR="00E43E8F" w:rsidRDefault="00CB4873">
      <w:r>
        <w:t>All other management-panel seats and responsibilities are supplied by the common framework. Technology-specific scientific and engineering review remains with the Scientific and Engineering Advisory Panel in this proposal.</w:t>
      </w:r>
    </w:p>
    <w:p w14:paraId="6B8FF97A" w14:textId="77777777" w:rsidR="003A5A50" w:rsidRDefault="00CB4873">
      <w:pPr>
        <w:pStyle w:val="Heading1"/>
        <w:spacing w:before="0" w:after="280"/>
      </w:pPr>
      <w:bookmarkStart w:id="41" w:name="_Toc237866637"/>
      <w:bookmarkStart w:id="42" w:name="_Toc237987311"/>
      <w:bookmarkStart w:id="43" w:name="_Toc238204718"/>
      <w:r>
        <w:lastRenderedPageBreak/>
        <w:t>Agreements</w:t>
      </w:r>
      <w:bookmarkEnd w:id="41"/>
      <w:bookmarkEnd w:id="42"/>
      <w:bookmarkEnd w:id="43"/>
    </w:p>
    <w:p w14:paraId="0D62B55C" w14:textId="77777777" w:rsidR="00E43E8F" w:rsidRDefault="00CB4873" w:rsidP="000D749E">
      <w:pPr>
        <w:pStyle w:val="cUserPromptHeading"/>
      </w:pPr>
      <w:r>
        <w:t>Prompt to AI:</w:t>
      </w:r>
      <w:r w:rsidR="000D749E">
        <w:t xml:space="preserve"> </w:t>
      </w:r>
      <w:r w:rsidRPr="000D749E">
        <w:rPr>
          <w:rStyle w:val="UserPromptTextChar"/>
          <w:b w:val="0"/>
          <w:bCs w:val="0"/>
        </w:rPr>
        <w:t>Which agreement provisions should remain inside this proposal after the portfolio-wide Funding Source-to-Managing Organization and Managing Organization-to-Recipient master terms are moved to the common framework?</w:t>
      </w:r>
    </w:p>
    <w:p w14:paraId="1ED43D9A" w14:textId="77777777" w:rsidR="00E43E8F" w:rsidRDefault="00CB4873">
      <w:pPr>
        <w:pStyle w:val="cSubject"/>
      </w:pPr>
      <w:r>
        <w:t>Response From AI:</w:t>
      </w:r>
    </w:p>
    <w:p w14:paraId="000EE049" w14:textId="0D9AE14C" w:rsidR="00C764CE" w:rsidRPr="00725CA7" w:rsidRDefault="00CB4873" w:rsidP="00725CA7">
      <w:r>
        <w:t xml:space="preserve">The generic master agreement terms </w:t>
      </w:r>
      <w:r w:rsidR="00725CA7">
        <w:t xml:space="preserve">are specified in the </w:t>
      </w:r>
      <w:hyperlink r:id="rId46" w:anchor="framework" w:history="1">
        <w:r w:rsidR="00725CA7">
          <w:rPr>
            <w:rStyle w:val="bhyperlinkChar"/>
          </w:rPr>
          <w:t>Moonshot</w:t>
        </w:r>
        <w:r w:rsidR="00725CA7" w:rsidRPr="00D14B0C">
          <w:rPr>
            <w:rStyle w:val="bhyperlinkChar"/>
          </w:rPr>
          <w:t xml:space="preserve"> Common Framework</w:t>
        </w:r>
      </w:hyperlink>
      <w:r>
        <w:t xml:space="preserve"> and are not repeated here. Final contracts would use those common terms plus the program-specific schedules below, adapted by counsel to the parties, Chinese law, nuclear requirements, and the actual procurement instrument.</w:t>
      </w:r>
    </w:p>
    <w:p w14:paraId="55BF03FF" w14:textId="77777777" w:rsidR="00E43E8F" w:rsidRDefault="00CB4873">
      <w:pPr>
        <w:pStyle w:val="Heading2"/>
      </w:pPr>
      <w:r>
        <w:t>Program-Specific Schedules to the Common Agreements</w:t>
      </w:r>
    </w:p>
    <w:tbl>
      <w:tblPr>
        <w:tblStyle w:val="gswTableStyle"/>
        <w:tblW w:w="10026" w:type="dxa"/>
        <w:tblLayout w:type="fixed"/>
        <w:tblLook w:val="04A0" w:firstRow="1" w:lastRow="0" w:firstColumn="1" w:lastColumn="0" w:noHBand="0" w:noVBand="1"/>
      </w:tblPr>
      <w:tblGrid>
        <w:gridCol w:w="2376"/>
        <w:gridCol w:w="7650"/>
      </w:tblGrid>
      <w:tr w:rsidR="003A5A50" w14:paraId="7F3FB00A" w14:textId="77777777" w:rsidTr="003A5A50">
        <w:trPr>
          <w:cnfStyle w:val="100000000000" w:firstRow="1" w:lastRow="0" w:firstColumn="0" w:lastColumn="0" w:oddVBand="0" w:evenVBand="0" w:oddHBand="0" w:evenHBand="0" w:firstRowFirstColumn="0" w:firstRowLastColumn="0" w:lastRowFirstColumn="0" w:lastRowLastColumn="0"/>
        </w:trPr>
        <w:tc>
          <w:tcPr>
            <w:tcW w:w="2376" w:type="dxa"/>
          </w:tcPr>
          <w:p w14:paraId="1C091F50" w14:textId="77777777" w:rsidR="003A5A50" w:rsidRDefault="00CB4873">
            <w:pPr>
              <w:pStyle w:val="cTableHeader"/>
              <w:spacing w:before="0" w:after="0"/>
            </w:pPr>
            <w:r>
              <w:t>Schedule</w:t>
            </w:r>
          </w:p>
        </w:tc>
        <w:tc>
          <w:tcPr>
            <w:tcW w:w="7649" w:type="dxa"/>
          </w:tcPr>
          <w:p w14:paraId="250300BA" w14:textId="77777777" w:rsidR="003A5A50" w:rsidRDefault="00CB4873">
            <w:pPr>
              <w:pStyle w:val="cTableHeader"/>
              <w:spacing w:before="0" w:after="0"/>
            </w:pPr>
            <w:r>
              <w:t>Initiative-specific contents</w:t>
            </w:r>
          </w:p>
        </w:tc>
      </w:tr>
      <w:tr w:rsidR="003A5A50" w14:paraId="3C90992D" w14:textId="77777777" w:rsidTr="003A5A50">
        <w:tc>
          <w:tcPr>
            <w:tcW w:w="2376" w:type="dxa"/>
          </w:tcPr>
          <w:p w14:paraId="495172FB" w14:textId="77777777" w:rsidR="003A5A50" w:rsidRDefault="00CB4873">
            <w:pPr>
              <w:pStyle w:val="cTableBody"/>
              <w:spacing w:before="0" w:after="0"/>
            </w:pPr>
            <w:r>
              <w:t>A - Program / Statement of Work</w:t>
            </w:r>
          </w:p>
        </w:tc>
        <w:tc>
          <w:tcPr>
            <w:tcW w:w="7649" w:type="dxa"/>
          </w:tcPr>
          <w:p w14:paraId="54B4F10E" w14:textId="77777777" w:rsidR="003A5A50" w:rsidRDefault="00CB4873">
            <w:pPr>
              <w:pStyle w:val="cTableBody"/>
              <w:spacing w:before="0" w:after="0"/>
            </w:pPr>
            <w:r>
              <w:t>Dual HTR-PM/HTR-PM600 and Hualong One/HPR1000 reference baselines; common-machine mission; ten baseline work packages; non-nuclear dual-track pilot; exclusions; China locations/interfaces.</w:t>
            </w:r>
          </w:p>
        </w:tc>
      </w:tr>
      <w:tr w:rsidR="003A5A50" w14:paraId="4CBD7790" w14:textId="77777777" w:rsidTr="003A5A50">
        <w:tc>
          <w:tcPr>
            <w:tcW w:w="2376" w:type="dxa"/>
          </w:tcPr>
          <w:p w14:paraId="12512D31" w14:textId="77777777" w:rsidR="003A5A50" w:rsidRDefault="00CB4873">
            <w:pPr>
              <w:pStyle w:val="cTableBody"/>
              <w:spacing w:before="0" w:after="0"/>
            </w:pPr>
            <w:r>
              <w:t>B - Budget / Payment</w:t>
            </w:r>
          </w:p>
        </w:tc>
        <w:tc>
          <w:tcPr>
            <w:tcW w:w="7649" w:type="dxa"/>
          </w:tcPr>
          <w:p w14:paraId="4F3F5C1C" w14:textId="77777777" w:rsidR="003A5A50" w:rsidRDefault="00CB4873">
            <w:pPr>
              <w:pStyle w:val="cTableBody"/>
              <w:spacing w:before="0" w:after="0"/>
            </w:pPr>
            <w:r>
              <w:t>$800M baseline technical program plus $200M centrally controlled reserve; annual profile; HTR-only, PWR-only, and common-platform cost tags; initiative-specific acceptance holdbacks.</w:t>
            </w:r>
          </w:p>
        </w:tc>
      </w:tr>
      <w:tr w:rsidR="003A5A50" w14:paraId="56520A71" w14:textId="77777777" w:rsidTr="003A5A50">
        <w:tc>
          <w:tcPr>
            <w:tcW w:w="2376" w:type="dxa"/>
          </w:tcPr>
          <w:p w14:paraId="1BA09D8A" w14:textId="77777777" w:rsidR="003A5A50" w:rsidRDefault="00CB4873">
            <w:pPr>
              <w:pStyle w:val="cTableBody"/>
              <w:spacing w:before="0" w:after="0"/>
            </w:pPr>
            <w:r>
              <w:t>C - Milestones / Stage Gates</w:t>
            </w:r>
          </w:p>
        </w:tc>
        <w:tc>
          <w:tcPr>
            <w:tcW w:w="7649" w:type="dxa"/>
          </w:tcPr>
          <w:p w14:paraId="7BC882E2" w14:textId="77777777" w:rsidR="003A5A50" w:rsidRDefault="00CB4873">
            <w:pPr>
              <w:pStyle w:val="cTableBody"/>
              <w:spacing w:before="0" w:after="0"/>
            </w:pPr>
            <w:r>
              <w:t>Month 9 mission/requirements; Month 18 concept down-selection; Month 24 preliminary design; Month 32 pilot construction authorization; Month 42 integrated test readiness; Month 60 Phase II decision; applicable nuclear-QA hold points.</w:t>
            </w:r>
          </w:p>
        </w:tc>
      </w:tr>
      <w:tr w:rsidR="003A5A50" w14:paraId="53758364" w14:textId="77777777" w:rsidTr="003A5A50">
        <w:tc>
          <w:tcPr>
            <w:tcW w:w="2376" w:type="dxa"/>
          </w:tcPr>
          <w:p w14:paraId="24677216" w14:textId="77777777" w:rsidR="003A5A50" w:rsidRDefault="00CB4873">
            <w:pPr>
              <w:pStyle w:val="cTableBody"/>
              <w:spacing w:before="0" w:after="0"/>
            </w:pPr>
            <w:r>
              <w:t>D - Data / IP / Open Release</w:t>
            </w:r>
          </w:p>
        </w:tc>
        <w:tc>
          <w:tcPr>
            <w:tcW w:w="7649" w:type="dxa"/>
          </w:tcPr>
          <w:p w14:paraId="2F907216" w14:textId="77777777" w:rsidR="003A5A50" w:rsidRDefault="00CB4873">
            <w:pPr>
              <w:pStyle w:val="cTableBody"/>
              <w:spacing w:before="0" w:after="0"/>
            </w:pPr>
            <w:r>
              <w:t>Broad reusable rights in sponsor-funded construction machines, software, interfaces, test data, manufacturing/maintenance packages, and economics; explicit schedules for controlled reactor-vendor background data and lawful China-specific restrictions.</w:t>
            </w:r>
          </w:p>
        </w:tc>
      </w:tr>
      <w:tr w:rsidR="003A5A50" w14:paraId="34EA711A" w14:textId="77777777" w:rsidTr="003A5A50">
        <w:tc>
          <w:tcPr>
            <w:tcW w:w="2376" w:type="dxa"/>
          </w:tcPr>
          <w:p w14:paraId="5E3E8584" w14:textId="77777777" w:rsidR="003A5A50" w:rsidRDefault="00CB4873">
            <w:pPr>
              <w:pStyle w:val="cTableBody"/>
              <w:spacing w:before="0" w:after="0"/>
            </w:pPr>
            <w:r>
              <w:t>E - Safety / Quality / Environment / Security</w:t>
            </w:r>
          </w:p>
        </w:tc>
        <w:tc>
          <w:tcPr>
            <w:tcW w:w="7649" w:type="dxa"/>
          </w:tcPr>
          <w:p w14:paraId="1F951244" w14:textId="77777777" w:rsidR="003A5A50" w:rsidRDefault="00CB4873">
            <w:pPr>
              <w:pStyle w:val="cTableBody"/>
              <w:spacing w:before="0" w:after="0"/>
            </w:pPr>
            <w:r>
              <w:t>Graded nuclear QA, heavy-lift and machine safety, pilot EHS, human-supervised autonomy, cybersecurity/physical security, controlled-design-data handling, site permits, incident reporting, stop/hold authority, and regulator engagement.</w:t>
            </w:r>
          </w:p>
        </w:tc>
      </w:tr>
      <w:tr w:rsidR="003A5A50" w14:paraId="7D5F8A67" w14:textId="77777777" w:rsidTr="003A5A50">
        <w:tc>
          <w:tcPr>
            <w:tcW w:w="2376" w:type="dxa"/>
          </w:tcPr>
          <w:p w14:paraId="2101C757" w14:textId="77777777" w:rsidR="003A5A50" w:rsidRDefault="00CB4873">
            <w:pPr>
              <w:pStyle w:val="cTableBody"/>
              <w:spacing w:before="0" w:after="0"/>
            </w:pPr>
            <w:r>
              <w:t>F - Testing / Validation / Acceptance</w:t>
            </w:r>
          </w:p>
        </w:tc>
        <w:tc>
          <w:tcPr>
            <w:tcW w:w="7649" w:type="dxa"/>
          </w:tcPr>
          <w:p w14:paraId="5C4926BA" w14:textId="77777777" w:rsidR="003A5A50" w:rsidRDefault="00CB4873">
            <w:pPr>
              <w:pStyle w:val="cTableBody"/>
              <w:spacing w:before="0" w:after="0"/>
            </w:pPr>
            <w:r>
              <w:t>Proof loads, precision, throughput, availability/reliability, failure recovery, metrology/NDE, as-built records, HTR/PWR test configuration, conventional baseline comparison, and independent witnesses/reviewers.</w:t>
            </w:r>
          </w:p>
        </w:tc>
      </w:tr>
      <w:tr w:rsidR="003A5A50" w14:paraId="76523080" w14:textId="77777777" w:rsidTr="003A5A50">
        <w:tc>
          <w:tcPr>
            <w:tcW w:w="2376" w:type="dxa"/>
          </w:tcPr>
          <w:p w14:paraId="554D93A4" w14:textId="77777777" w:rsidR="003A5A50" w:rsidRDefault="00CB4873">
            <w:pPr>
              <w:pStyle w:val="cTableBody"/>
              <w:spacing w:before="0" w:after="0"/>
            </w:pPr>
            <w:r>
              <w:t>G - Transition / Closeout</w:t>
            </w:r>
          </w:p>
        </w:tc>
        <w:tc>
          <w:tcPr>
            <w:tcW w:w="7649" w:type="dxa"/>
          </w:tcPr>
          <w:p w14:paraId="1C25EF18" w14:textId="77777777" w:rsidR="003A5A50" w:rsidRDefault="00CB4873">
            <w:pPr>
              <w:pStyle w:val="cTableBody"/>
              <w:spacing w:before="0" w:after="0"/>
            </w:pPr>
            <w:r>
              <w:t>Separate HTR and PWR first-site packages, final machine configurations, source code/data, tooling/spares/maintenance, supplier continuity, controlled-data disposition, asset transfer, and Phase II recommendations.</w:t>
            </w:r>
          </w:p>
        </w:tc>
      </w:tr>
    </w:tbl>
    <w:p w14:paraId="73DA3DE2" w14:textId="0ECA64D7" w:rsidR="00E43E8F" w:rsidRDefault="00E43E8F"/>
    <w:sectPr w:rsidR="00E43E8F" w:rsidSect="00315B52">
      <w:headerReference w:type="default" r:id="rId47"/>
      <w:footerReference w:type="default" r:id="rId48"/>
      <w:pgSz w:w="12240" w:h="15840" w:code="1"/>
      <w:pgMar w:top="1152" w:right="1080" w:bottom="1152" w:left="1152" w:header="0"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BBE9A" w14:textId="77777777" w:rsidR="00CB4873" w:rsidRDefault="00CB4873">
      <w:r>
        <w:separator/>
      </w:r>
    </w:p>
  </w:endnote>
  <w:endnote w:type="continuationSeparator" w:id="0">
    <w:p w14:paraId="15A32A22" w14:textId="77777777" w:rsidR="00CB4873" w:rsidRDefault="00CB4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roman"/>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EC0A" w14:textId="77777777" w:rsidR="003A5A50" w:rsidRPr="00457360" w:rsidRDefault="00457360" w:rsidP="000D3093">
    <w:pPr>
      <w:pStyle w:val="Footer"/>
      <w:pBdr>
        <w:top w:val="single" w:sz="8" w:space="4" w:color="666666"/>
      </w:pBdr>
      <w:tabs>
        <w:tab w:val="clear" w:pos="4680"/>
        <w:tab w:val="clear" w:pos="9360"/>
        <w:tab w:val="right" w:pos="9990"/>
      </w:tabs>
      <w:spacing w:before="120" w:beforeAutospacing="0" w:after="100"/>
    </w:pPr>
    <w:r>
      <w:t>Nuclear Power Automated Site-Construction</w:t>
    </w:r>
    <w:r>
      <w:tab/>
      <w:t xml:space="preserve">Page </w:t>
    </w:r>
    <w:r>
      <w:fldChar w:fldCharType="begin"/>
    </w:r>
    <w:r>
      <w:instrText xml:space="preserve"> PAGE </w:instrText>
    </w:r>
    <w:r>
      <w:fldChar w:fldCharType="separate"/>
    </w:r>
    <w:r>
      <w:t>68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1AE35" w14:textId="77777777" w:rsidR="00CB4873" w:rsidRDefault="00CB4873">
      <w:r>
        <w:separator/>
      </w:r>
    </w:p>
  </w:footnote>
  <w:footnote w:type="continuationSeparator" w:id="0">
    <w:p w14:paraId="628F1D60" w14:textId="77777777" w:rsidR="00CB4873" w:rsidRDefault="00CB4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FCC6D" w14:textId="77777777" w:rsidR="003A5A50" w:rsidRDefault="003A5A50">
    <w:pPr>
      <w:pStyle w:val="Heade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30D5F"/>
    <w:multiLevelType w:val="multilevel"/>
    <w:tmpl w:val="5C24301A"/>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1B92040"/>
    <w:multiLevelType w:val="multilevel"/>
    <w:tmpl w:val="F4EEF850"/>
    <w:lvl w:ilvl="0">
      <w:start w:val="1"/>
      <w:numFmt w:val="bullet"/>
      <w:pStyle w:val="blist-bullets"/>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2FAB6EEC"/>
    <w:multiLevelType w:val="multilevel"/>
    <w:tmpl w:val="52144246"/>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B1715FC"/>
    <w:multiLevelType w:val="multilevel"/>
    <w:tmpl w:val="3E8E3344"/>
    <w:lvl w:ilvl="0">
      <w:start w:val="1"/>
      <w:numFmt w:val="bullet"/>
      <w:pStyle w:val="blistNo-Space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5A6F23AB"/>
    <w:multiLevelType w:val="multilevel"/>
    <w:tmpl w:val="0E10C7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395723F"/>
    <w:multiLevelType w:val="multilevel"/>
    <w:tmpl w:val="526C68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115899183">
    <w:abstractNumId w:val="0"/>
  </w:num>
  <w:num w:numId="2" w16cid:durableId="1201358954">
    <w:abstractNumId w:val="2"/>
  </w:num>
  <w:num w:numId="3" w16cid:durableId="1967345533">
    <w:abstractNumId w:val="5"/>
  </w:num>
  <w:num w:numId="4" w16cid:durableId="589315617">
    <w:abstractNumId w:val="1"/>
  </w:num>
  <w:num w:numId="5" w16cid:durableId="1931115517">
    <w:abstractNumId w:val="3"/>
  </w:num>
  <w:num w:numId="6" w16cid:durableId="4543674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5A50"/>
    <w:rsid w:val="00010ED7"/>
    <w:rsid w:val="000119DA"/>
    <w:rsid w:val="0002516A"/>
    <w:rsid w:val="00041FA4"/>
    <w:rsid w:val="000706E5"/>
    <w:rsid w:val="00076F8C"/>
    <w:rsid w:val="00077F4C"/>
    <w:rsid w:val="00096A4C"/>
    <w:rsid w:val="000A0D68"/>
    <w:rsid w:val="000D3093"/>
    <w:rsid w:val="000D56FE"/>
    <w:rsid w:val="000D749E"/>
    <w:rsid w:val="000F71B3"/>
    <w:rsid w:val="001523BC"/>
    <w:rsid w:val="00175BBB"/>
    <w:rsid w:val="00186E2B"/>
    <w:rsid w:val="001E0505"/>
    <w:rsid w:val="001E2D64"/>
    <w:rsid w:val="001E542C"/>
    <w:rsid w:val="001E644B"/>
    <w:rsid w:val="001F2061"/>
    <w:rsid w:val="00265D05"/>
    <w:rsid w:val="0028023F"/>
    <w:rsid w:val="002E689D"/>
    <w:rsid w:val="00312A1F"/>
    <w:rsid w:val="00315B52"/>
    <w:rsid w:val="003401F9"/>
    <w:rsid w:val="003508F7"/>
    <w:rsid w:val="003A5A50"/>
    <w:rsid w:val="003A6E9E"/>
    <w:rsid w:val="004139C7"/>
    <w:rsid w:val="00416F00"/>
    <w:rsid w:val="0042363A"/>
    <w:rsid w:val="0044442C"/>
    <w:rsid w:val="00457360"/>
    <w:rsid w:val="00467FA7"/>
    <w:rsid w:val="00484A1D"/>
    <w:rsid w:val="004966F1"/>
    <w:rsid w:val="004A4C23"/>
    <w:rsid w:val="004C7ED0"/>
    <w:rsid w:val="004F069A"/>
    <w:rsid w:val="00512FB2"/>
    <w:rsid w:val="00531537"/>
    <w:rsid w:val="005610DC"/>
    <w:rsid w:val="00587128"/>
    <w:rsid w:val="005A620B"/>
    <w:rsid w:val="005B6754"/>
    <w:rsid w:val="00605D46"/>
    <w:rsid w:val="00634ACF"/>
    <w:rsid w:val="00677C95"/>
    <w:rsid w:val="006876A8"/>
    <w:rsid w:val="006954CB"/>
    <w:rsid w:val="006D193E"/>
    <w:rsid w:val="00724D36"/>
    <w:rsid w:val="0072590D"/>
    <w:rsid w:val="00725CA7"/>
    <w:rsid w:val="0073325B"/>
    <w:rsid w:val="00735947"/>
    <w:rsid w:val="00736937"/>
    <w:rsid w:val="00751DBE"/>
    <w:rsid w:val="00752D26"/>
    <w:rsid w:val="00767797"/>
    <w:rsid w:val="00777C35"/>
    <w:rsid w:val="0079445C"/>
    <w:rsid w:val="007949DC"/>
    <w:rsid w:val="007A1386"/>
    <w:rsid w:val="007A5887"/>
    <w:rsid w:val="007C0766"/>
    <w:rsid w:val="007E711E"/>
    <w:rsid w:val="007F4C89"/>
    <w:rsid w:val="0081799C"/>
    <w:rsid w:val="0088346F"/>
    <w:rsid w:val="008A530F"/>
    <w:rsid w:val="008A74AE"/>
    <w:rsid w:val="008B59CD"/>
    <w:rsid w:val="008B5BB0"/>
    <w:rsid w:val="008E53D0"/>
    <w:rsid w:val="008F0DF7"/>
    <w:rsid w:val="009004F8"/>
    <w:rsid w:val="00910E2A"/>
    <w:rsid w:val="009175C3"/>
    <w:rsid w:val="00963C1A"/>
    <w:rsid w:val="0098240C"/>
    <w:rsid w:val="00983569"/>
    <w:rsid w:val="0099287E"/>
    <w:rsid w:val="009A40E2"/>
    <w:rsid w:val="009B296C"/>
    <w:rsid w:val="009D46E6"/>
    <w:rsid w:val="009F057A"/>
    <w:rsid w:val="00A33763"/>
    <w:rsid w:val="00A94ED9"/>
    <w:rsid w:val="00AD2132"/>
    <w:rsid w:val="00AE21FD"/>
    <w:rsid w:val="00AE5157"/>
    <w:rsid w:val="00AF1B7B"/>
    <w:rsid w:val="00B1165C"/>
    <w:rsid w:val="00B21506"/>
    <w:rsid w:val="00B40350"/>
    <w:rsid w:val="00B867E0"/>
    <w:rsid w:val="00B86AD4"/>
    <w:rsid w:val="00B93538"/>
    <w:rsid w:val="00B964FC"/>
    <w:rsid w:val="00BA630D"/>
    <w:rsid w:val="00BB0E04"/>
    <w:rsid w:val="00BE6D90"/>
    <w:rsid w:val="00C6357E"/>
    <w:rsid w:val="00C764CE"/>
    <w:rsid w:val="00C906F8"/>
    <w:rsid w:val="00CA47FB"/>
    <w:rsid w:val="00CB324C"/>
    <w:rsid w:val="00CB4873"/>
    <w:rsid w:val="00CB6735"/>
    <w:rsid w:val="00CB7983"/>
    <w:rsid w:val="00CE0271"/>
    <w:rsid w:val="00CF1244"/>
    <w:rsid w:val="00D15805"/>
    <w:rsid w:val="00D55254"/>
    <w:rsid w:val="00D7624A"/>
    <w:rsid w:val="00D76B9C"/>
    <w:rsid w:val="00D914EC"/>
    <w:rsid w:val="00D917F5"/>
    <w:rsid w:val="00DB6C38"/>
    <w:rsid w:val="00DB7BD3"/>
    <w:rsid w:val="00DE3072"/>
    <w:rsid w:val="00DF110F"/>
    <w:rsid w:val="00E170A8"/>
    <w:rsid w:val="00E26982"/>
    <w:rsid w:val="00E3286C"/>
    <w:rsid w:val="00E43E8F"/>
    <w:rsid w:val="00E8036F"/>
    <w:rsid w:val="00E94E0E"/>
    <w:rsid w:val="00E9758E"/>
    <w:rsid w:val="00EB366D"/>
    <w:rsid w:val="00EB56F5"/>
    <w:rsid w:val="00EC480A"/>
    <w:rsid w:val="00ED5C15"/>
    <w:rsid w:val="00EF2312"/>
    <w:rsid w:val="00F02B9A"/>
    <w:rsid w:val="00F137C4"/>
    <w:rsid w:val="00F27018"/>
    <w:rsid w:val="00F31076"/>
    <w:rsid w:val="00F53B70"/>
    <w:rsid w:val="00F57EB4"/>
    <w:rsid w:val="00F81A94"/>
    <w:rsid w:val="00FA21FA"/>
    <w:rsid w:val="00FC7455"/>
    <w:rsid w:val="00FD359E"/>
    <w:rsid w:val="00FE05D0"/>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EFEE3"/>
  <w15:docId w15:val="{BC81EB5F-2FB2-4246-AB71-02172C191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ED9"/>
    <w:pPr>
      <w:spacing w:before="100" w:beforeAutospacing="1" w:after="100" w:afterAutospacing="1" w:line="264" w:lineRule="auto"/>
    </w:pPr>
    <w:rPr>
      <w:rFonts w:ascii="Calibri" w:eastAsia="Calibri" w:hAnsi="Calibri"/>
      <w:sz w:val="24"/>
    </w:rPr>
  </w:style>
  <w:style w:type="paragraph" w:styleId="Heading1">
    <w:name w:val="heading 1"/>
    <w:basedOn w:val="Normal"/>
    <w:next w:val="Normal"/>
    <w:link w:val="Heading1Char"/>
    <w:uiPriority w:val="9"/>
    <w:qFormat/>
    <w:rsid w:val="0095221A"/>
    <w:pPr>
      <w:keepNext/>
      <w:keepLines/>
      <w:pageBreakBefore/>
      <w:pBdr>
        <w:top w:val="double" w:sz="4" w:space="1" w:color="E36C0A" w:themeColor="accent6" w:themeShade="BF"/>
        <w:bottom w:val="double" w:sz="4" w:space="1" w:color="E36C0A" w:themeColor="accent6" w:themeShade="BF"/>
      </w:pBdr>
      <w:spacing w:before="480" w:after="240"/>
      <w:outlineLvl w:val="0"/>
    </w:pPr>
    <w:rPr>
      <w:rFonts w:asciiTheme="majorHAnsi" w:eastAsiaTheme="majorEastAsia" w:hAnsiTheme="majorHAnsi" w:cstheme="majorBidi"/>
      <w:b/>
      <w:bCs/>
      <w:color w:val="E36C0A" w:themeColor="accent6" w:themeShade="BF"/>
      <w:sz w:val="44"/>
      <w:szCs w:val="28"/>
    </w:rPr>
  </w:style>
  <w:style w:type="paragraph" w:styleId="Heading2">
    <w:name w:val="heading 2"/>
    <w:basedOn w:val="Normal"/>
    <w:next w:val="Normal"/>
    <w:link w:val="Heading2Char"/>
    <w:uiPriority w:val="9"/>
    <w:unhideWhenUsed/>
    <w:qFormat/>
    <w:rsid w:val="00AE265B"/>
    <w:pPr>
      <w:keepNext/>
      <w:keepLines/>
      <w:pBdr>
        <w:top w:val="single" w:sz="4" w:space="1" w:color="76923C" w:themeColor="accent3" w:themeShade="BF"/>
        <w:bottom w:val="single" w:sz="4" w:space="1" w:color="76923C" w:themeColor="accent3" w:themeShade="BF"/>
      </w:pBdr>
      <w:spacing w:before="360" w:after="280"/>
      <w:outlineLvl w:val="1"/>
    </w:pPr>
    <w:rPr>
      <w:rFonts w:asciiTheme="majorHAnsi" w:eastAsiaTheme="majorEastAsia" w:hAnsiTheme="majorHAnsi" w:cstheme="majorBidi"/>
      <w:b/>
      <w:bCs/>
      <w:color w:val="76923C" w:themeColor="accent3" w:themeShade="BF"/>
      <w:sz w:val="32"/>
      <w:szCs w:val="26"/>
    </w:rPr>
  </w:style>
  <w:style w:type="paragraph" w:styleId="Heading3">
    <w:name w:val="heading 3"/>
    <w:basedOn w:val="Normal"/>
    <w:next w:val="Normal"/>
    <w:link w:val="Heading3Char"/>
    <w:uiPriority w:val="9"/>
    <w:unhideWhenUsed/>
    <w:qFormat/>
    <w:rsid w:val="00E41B49"/>
    <w:pPr>
      <w:keepNext/>
      <w:keepLines/>
      <w:spacing w:before="240" w:after="120"/>
      <w:outlineLvl w:val="2"/>
    </w:pPr>
    <w:rPr>
      <w:rFonts w:asciiTheme="majorHAnsi" w:eastAsiaTheme="majorEastAsia" w:hAnsiTheme="majorHAnsi" w:cstheme="majorBidi"/>
      <w:b/>
      <w:bCs/>
      <w:color w:val="76923C" w:themeColor="accent3" w:themeShade="BF"/>
      <w:sz w:val="26"/>
      <w:u w:val="single"/>
    </w:rPr>
  </w:style>
  <w:style w:type="paragraph" w:styleId="Heading4">
    <w:name w:val="heading 4"/>
    <w:basedOn w:val="Normal"/>
    <w:next w:val="Normal"/>
    <w:link w:val="Heading4Char"/>
    <w:uiPriority w:val="9"/>
    <w:unhideWhenUsed/>
    <w:qFormat/>
    <w:rsid w:val="009951D6"/>
    <w:pPr>
      <w:keepNext/>
      <w:keepLines/>
      <w:spacing w:before="200" w:after="280"/>
      <w:outlineLvl w:val="3"/>
    </w:pPr>
    <w:rPr>
      <w:rFonts w:asciiTheme="majorHAnsi" w:eastAsiaTheme="majorEastAsia" w:hAnsiTheme="majorHAnsi" w:cstheme="majorBidi"/>
      <w:b/>
      <w:bCs/>
      <w:i/>
      <w:iCs/>
      <w:color w:val="31849B" w:themeColor="accent5" w:themeShade="BF"/>
      <w:u w:val="single"/>
    </w:rPr>
  </w:style>
  <w:style w:type="paragraph" w:styleId="Heading5">
    <w:name w:val="heading 5"/>
    <w:basedOn w:val="Normal"/>
    <w:next w:val="Normal"/>
    <w:link w:val="Heading5Char"/>
    <w:uiPriority w:val="9"/>
    <w:unhideWhenUsed/>
    <w:qFormat/>
    <w:rsid w:val="00FC693F"/>
    <w:pPr>
      <w:keepNext/>
      <w:keepLines/>
      <w:spacing w:before="200" w:after="28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C693F"/>
    <w:pPr>
      <w:keepNext/>
      <w:keepLines/>
      <w:spacing w:before="200" w:after="28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28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28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28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618BF"/>
  </w:style>
  <w:style w:type="character" w:customStyle="1" w:styleId="FooterChar">
    <w:name w:val="Footer Char"/>
    <w:basedOn w:val="DefaultParagraphFont"/>
    <w:link w:val="Footer"/>
    <w:uiPriority w:val="99"/>
    <w:qFormat/>
    <w:rsid w:val="00E618BF"/>
  </w:style>
  <w:style w:type="character" w:customStyle="1" w:styleId="Heading1Char">
    <w:name w:val="Heading 1 Char"/>
    <w:basedOn w:val="DefaultParagraphFont"/>
    <w:link w:val="Heading1"/>
    <w:uiPriority w:val="9"/>
    <w:qFormat/>
    <w:rsid w:val="0095221A"/>
    <w:rPr>
      <w:rFonts w:asciiTheme="majorHAnsi" w:eastAsiaTheme="majorEastAsia" w:hAnsiTheme="majorHAnsi" w:cstheme="majorBidi"/>
      <w:b/>
      <w:bCs/>
      <w:color w:val="E36C0A" w:themeColor="accent6" w:themeShade="BF"/>
      <w:sz w:val="44"/>
      <w:szCs w:val="28"/>
    </w:rPr>
  </w:style>
  <w:style w:type="character" w:customStyle="1" w:styleId="Heading2Char">
    <w:name w:val="Heading 2 Char"/>
    <w:basedOn w:val="DefaultParagraphFont"/>
    <w:link w:val="Heading2"/>
    <w:uiPriority w:val="9"/>
    <w:qFormat/>
    <w:rsid w:val="00AE265B"/>
    <w:rPr>
      <w:rFonts w:asciiTheme="majorHAnsi" w:eastAsiaTheme="majorEastAsia" w:hAnsiTheme="majorHAnsi" w:cstheme="majorBidi"/>
      <w:b/>
      <w:bCs/>
      <w:color w:val="76923C" w:themeColor="accent3" w:themeShade="BF"/>
      <w:sz w:val="32"/>
      <w:szCs w:val="26"/>
    </w:rPr>
  </w:style>
  <w:style w:type="character" w:customStyle="1" w:styleId="Heading3Char">
    <w:name w:val="Heading 3 Char"/>
    <w:basedOn w:val="DefaultParagraphFont"/>
    <w:link w:val="Heading3"/>
    <w:uiPriority w:val="9"/>
    <w:qFormat/>
    <w:rsid w:val="00E41B49"/>
    <w:rPr>
      <w:rFonts w:asciiTheme="majorHAnsi" w:eastAsiaTheme="majorEastAsia" w:hAnsiTheme="majorHAnsi" w:cstheme="majorBidi"/>
      <w:b/>
      <w:bCs/>
      <w:color w:val="76923C" w:themeColor="accent3" w:themeShade="BF"/>
      <w:sz w:val="26"/>
      <w:u w:val="single"/>
    </w:rPr>
  </w:style>
  <w:style w:type="character" w:customStyle="1" w:styleId="TitleChar">
    <w:name w:val="Title Char"/>
    <w:basedOn w:val="DefaultParagraphFont"/>
    <w:link w:val="Title"/>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MacroTextChar">
    <w:name w:val="Macro Text Char"/>
    <w:basedOn w:val="DefaultParagraphFont"/>
    <w:link w:val="MacroText"/>
    <w:uiPriority w:val="99"/>
    <w:qFormat/>
    <w:rsid w:val="0029639D"/>
    <w:rPr>
      <w:rFonts w:ascii="Courier" w:hAnsi="Courier"/>
      <w:sz w:val="20"/>
      <w:szCs w:val="20"/>
    </w:rPr>
  </w:style>
  <w:style w:type="character" w:customStyle="1" w:styleId="QuoteChar">
    <w:name w:val="Quote Char"/>
    <w:basedOn w:val="DefaultParagraphFont"/>
    <w:link w:val="Quote"/>
    <w:uiPriority w:val="29"/>
    <w:qFormat/>
    <w:rsid w:val="00FC693F"/>
    <w:rPr>
      <w:i/>
      <w:iCs/>
      <w:color w:val="000000" w:themeColor="text1"/>
    </w:rPr>
  </w:style>
  <w:style w:type="character" w:customStyle="1" w:styleId="Heading4Char">
    <w:name w:val="Heading 4 Char"/>
    <w:basedOn w:val="DefaultParagraphFont"/>
    <w:link w:val="Heading4"/>
    <w:uiPriority w:val="9"/>
    <w:qFormat/>
    <w:rsid w:val="009951D6"/>
    <w:rPr>
      <w:rFonts w:asciiTheme="majorHAnsi" w:eastAsiaTheme="majorEastAsia" w:hAnsiTheme="majorHAnsi" w:cstheme="majorBidi"/>
      <w:b/>
      <w:bCs/>
      <w:i/>
      <w:iCs/>
      <w:color w:val="31849B" w:themeColor="accent5" w:themeShade="BF"/>
      <w:u w:val="single"/>
    </w:rPr>
  </w:style>
  <w:style w:type="character" w:customStyle="1" w:styleId="Heading5Char">
    <w:name w:val="Heading 5 Char"/>
    <w:basedOn w:val="DefaultParagraphFont"/>
    <w:link w:val="Heading5"/>
    <w:uiPriority w:val="9"/>
    <w:qFormat/>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qFormat/>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qFormat/>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qFormat/>
    <w:rsid w:val="00FC693F"/>
    <w:rPr>
      <w:b/>
      <w:bCs/>
      <w:i/>
      <w:iCs/>
      <w:color w:val="4F81BD" w:themeColor="accent1"/>
    </w:rPr>
  </w:style>
  <w:style w:type="character" w:styleId="IntenseEmphasis">
    <w:name w:val="Intense Emphasis"/>
    <w:basedOn w:val="DefaultParagraphFont"/>
    <w:uiPriority w:val="21"/>
    <w:qFormat/>
    <w:rsid w:val="00FC693F"/>
    <w:rPr>
      <w:b/>
      <w:bCs/>
      <w:i/>
      <w:iCs/>
      <w:color w:val="4F81BD" w:themeColor="accent1"/>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character" w:customStyle="1" w:styleId="UserPromptTextChar">
    <w:name w:val="User_Prompt_Text Char"/>
    <w:basedOn w:val="DefaultParagraphFont"/>
    <w:link w:val="cUserPromptText"/>
    <w:qFormat/>
    <w:rsid w:val="00D70219"/>
    <w:rPr>
      <w:rFonts w:ascii="Calibri" w:eastAsia="Calibri" w:hAnsi="Calibri"/>
      <w:color w:val="C0504D" w:themeColor="accent2"/>
    </w:rPr>
  </w:style>
  <w:style w:type="character" w:customStyle="1" w:styleId="UserPromptHeadingChar">
    <w:name w:val="User_Prompt_Heading Char"/>
    <w:basedOn w:val="DefaultParagraphFont"/>
    <w:link w:val="cUserPromptHeading"/>
    <w:qFormat/>
    <w:rsid w:val="00D70219"/>
    <w:rPr>
      <w:rFonts w:ascii="Calibri" w:eastAsia="Calibri" w:hAnsi="Calibri"/>
      <w:b/>
      <w:bCs/>
      <w:color w:val="C0504D" w:themeColor="accent2"/>
    </w:rPr>
  </w:style>
  <w:style w:type="character" w:customStyle="1" w:styleId="relative">
    <w:name w:val="relative"/>
    <w:basedOn w:val="DefaultParagraphFont"/>
    <w:qFormat/>
    <w:rsid w:val="003707A2"/>
  </w:style>
  <w:style w:type="character" w:customStyle="1" w:styleId="vlist-t">
    <w:name w:val="vlist-t"/>
    <w:basedOn w:val="DefaultParagraphFont"/>
    <w:qFormat/>
    <w:rsid w:val="003707A2"/>
  </w:style>
  <w:style w:type="character" w:customStyle="1" w:styleId="sizing">
    <w:name w:val="sizing"/>
    <w:basedOn w:val="DefaultParagraphFont"/>
    <w:qFormat/>
    <w:rsid w:val="003707A2"/>
  </w:style>
  <w:style w:type="character" w:customStyle="1" w:styleId="accent-body">
    <w:name w:val="accent-body"/>
    <w:basedOn w:val="DefaultParagraphFont"/>
    <w:qFormat/>
    <w:rsid w:val="003707A2"/>
  </w:style>
  <w:style w:type="character" w:customStyle="1" w:styleId="grid">
    <w:name w:val="grid"/>
    <w:basedOn w:val="DefaultParagraphFont"/>
    <w:qFormat/>
    <w:rsid w:val="003707A2"/>
  </w:style>
  <w:style w:type="character" w:styleId="Hyperlink">
    <w:name w:val="Hyperlink"/>
    <w:basedOn w:val="DefaultParagraphFont"/>
    <w:uiPriority w:val="99"/>
    <w:unhideWhenUsed/>
    <w:rsid w:val="003707A2"/>
    <w:rPr>
      <w:color w:val="0000FF"/>
      <w:u w:val="single"/>
    </w:rPr>
  </w:style>
  <w:style w:type="character" w:customStyle="1" w:styleId="SubjectStyleChar">
    <w:name w:val="SubjectStyle Char"/>
    <w:basedOn w:val="DefaultParagraphFont"/>
    <w:link w:val="cSubjectStyle"/>
    <w:qFormat/>
    <w:rsid w:val="004C2413"/>
    <w:rPr>
      <w:rFonts w:asciiTheme="majorHAnsi" w:eastAsia="Times New Roman" w:hAnsiTheme="majorHAnsi" w:cstheme="majorHAnsi"/>
      <w:b/>
      <w:bCs/>
      <w:color w:val="943634" w:themeColor="accent2" w:themeShade="BF"/>
      <w:sz w:val="24"/>
      <w:szCs w:val="24"/>
      <w:u w:val="single"/>
    </w:rPr>
  </w:style>
  <w:style w:type="character" w:customStyle="1" w:styleId="SubjectChar">
    <w:name w:val="Subject Char"/>
    <w:basedOn w:val="DefaultParagraphFont"/>
    <w:link w:val="cSubject"/>
    <w:qFormat/>
    <w:rsid w:val="001132D9"/>
    <w:rPr>
      <w:rFonts w:ascii="Calibri" w:eastAsia="Calibri" w:hAnsi="Calibri"/>
      <w:b/>
      <w:bCs/>
      <w:color w:val="548DD4" w:themeColor="text2" w:themeTint="99"/>
      <w:sz w:val="24"/>
      <w:u w:val="single"/>
    </w:rPr>
  </w:style>
  <w:style w:type="character" w:styleId="UnresolvedMention">
    <w:name w:val="Unresolved Mention"/>
    <w:basedOn w:val="DefaultParagraphFont"/>
    <w:uiPriority w:val="99"/>
    <w:semiHidden/>
    <w:unhideWhenUsed/>
    <w:qFormat/>
    <w:rsid w:val="009B75F5"/>
    <w:rPr>
      <w:color w:val="605E5C"/>
      <w:shd w:val="clear" w:color="auto" w:fill="E1DFDD"/>
    </w:rPr>
  </w:style>
  <w:style w:type="character" w:customStyle="1" w:styleId="bhyperlinkChar">
    <w:name w:val="b.hyperlink Char"/>
    <w:basedOn w:val="DefaultParagraphFont"/>
    <w:link w:val="bhyperlink"/>
    <w:qFormat/>
    <w:rsid w:val="00416F00"/>
    <w:rPr>
      <w:rFonts w:asciiTheme="majorHAnsi" w:eastAsiaTheme="minorHAnsi" w:hAnsiTheme="majorHAnsi"/>
      <w:color w:val="7F7F7F" w:themeColor="text1" w:themeTint="80"/>
      <w:sz w:val="24"/>
      <w:u w:val="single"/>
    </w:rPr>
  </w:style>
  <w:style w:type="character" w:customStyle="1" w:styleId="BodyTextFirstIndentChar">
    <w:name w:val="Body Text First Indent Char"/>
    <w:basedOn w:val="DefaultParagraphFont"/>
    <w:link w:val="BodyTextFirstIndent"/>
    <w:uiPriority w:val="99"/>
    <w:semiHidden/>
    <w:qFormat/>
    <w:rsid w:val="00E95F25"/>
    <w:rPr>
      <w:rFonts w:ascii="Calibri" w:eastAsia="Calibri" w:hAnsi="Calibri"/>
      <w:sz w:val="24"/>
    </w:rPr>
  </w:style>
  <w:style w:type="character" w:customStyle="1" w:styleId="BodyTextIndentChar">
    <w:name w:val="Body Text Indent Char"/>
    <w:basedOn w:val="DefaultParagraphFont"/>
    <w:link w:val="BodyTextIndent"/>
    <w:uiPriority w:val="99"/>
    <w:semiHidden/>
    <w:qFormat/>
    <w:rsid w:val="00655177"/>
    <w:rPr>
      <w:rFonts w:ascii="Calibri" w:eastAsia="Calibri" w:hAnsi="Calibri"/>
      <w:sz w:val="24"/>
    </w:rPr>
  </w:style>
  <w:style w:type="character" w:customStyle="1" w:styleId="BodyTextIndent3Char">
    <w:name w:val="Body Text Indent 3 Char"/>
    <w:basedOn w:val="DefaultParagraphFont"/>
    <w:link w:val="BodyTextIndent3"/>
    <w:uiPriority w:val="99"/>
    <w:semiHidden/>
    <w:qFormat/>
    <w:rsid w:val="00655177"/>
    <w:rPr>
      <w:rFonts w:ascii="Calibri" w:eastAsia="Calibri" w:hAnsi="Calibri"/>
      <w:sz w:val="16"/>
      <w:szCs w:val="16"/>
    </w:rPr>
  </w:style>
  <w:style w:type="character" w:customStyle="1" w:styleId="CommentTextChar">
    <w:name w:val="Comment Text Char"/>
    <w:basedOn w:val="DefaultParagraphFont"/>
    <w:link w:val="CommentText"/>
    <w:uiPriority w:val="99"/>
    <w:semiHidden/>
    <w:qFormat/>
    <w:rsid w:val="00655177"/>
    <w:rPr>
      <w:rFonts w:ascii="Calibri" w:eastAsia="Calibri" w:hAnsi="Calibri"/>
      <w:sz w:val="20"/>
      <w:szCs w:val="20"/>
    </w:rPr>
  </w:style>
  <w:style w:type="character" w:customStyle="1" w:styleId="CommentSubjectChar">
    <w:name w:val="Comment Subject Char"/>
    <w:basedOn w:val="CommentTextChar"/>
    <w:link w:val="CommentSubject"/>
    <w:uiPriority w:val="99"/>
    <w:semiHidden/>
    <w:qFormat/>
    <w:rsid w:val="00655177"/>
    <w:rPr>
      <w:rFonts w:ascii="Calibri" w:eastAsia="Calibri" w:hAnsi="Calibri"/>
      <w:b/>
      <w:bCs/>
      <w:sz w:val="20"/>
      <w:szCs w:val="20"/>
    </w:rPr>
  </w:style>
  <w:style w:type="character" w:customStyle="1" w:styleId="DateChar">
    <w:name w:val="Date Char"/>
    <w:basedOn w:val="DefaultParagraphFont"/>
    <w:link w:val="Date"/>
    <w:uiPriority w:val="99"/>
    <w:semiHidden/>
    <w:qFormat/>
    <w:rsid w:val="00655177"/>
    <w:rPr>
      <w:rFonts w:ascii="Calibri" w:eastAsia="Calibri" w:hAnsi="Calibri"/>
      <w:sz w:val="24"/>
    </w:rPr>
  </w:style>
  <w:style w:type="character" w:customStyle="1" w:styleId="DocumentMapChar">
    <w:name w:val="Document Map Char"/>
    <w:basedOn w:val="DefaultParagraphFont"/>
    <w:link w:val="DocumentMap"/>
    <w:uiPriority w:val="99"/>
    <w:semiHidden/>
    <w:qFormat/>
    <w:rsid w:val="00655177"/>
    <w:rPr>
      <w:rFonts w:ascii="Segoe UI" w:eastAsia="Calibri" w:hAnsi="Segoe UI" w:cs="Segoe UI"/>
      <w:sz w:val="16"/>
      <w:szCs w:val="16"/>
    </w:rPr>
  </w:style>
  <w:style w:type="character" w:customStyle="1" w:styleId="EndnoteTextChar">
    <w:name w:val="Endnote Text Char"/>
    <w:basedOn w:val="DefaultParagraphFont"/>
    <w:link w:val="EndnoteText"/>
    <w:uiPriority w:val="99"/>
    <w:semiHidden/>
    <w:qFormat/>
    <w:rsid w:val="00655177"/>
    <w:rPr>
      <w:rFonts w:ascii="Calibri" w:eastAsia="Calibri" w:hAnsi="Calibri"/>
      <w:sz w:val="20"/>
      <w:szCs w:val="20"/>
    </w:rPr>
  </w:style>
  <w:style w:type="character" w:customStyle="1" w:styleId="FootnoteTextChar">
    <w:name w:val="Footnote Text Char"/>
    <w:basedOn w:val="DefaultParagraphFont"/>
    <w:link w:val="FootnoteText"/>
    <w:uiPriority w:val="99"/>
    <w:semiHidden/>
    <w:qFormat/>
    <w:rsid w:val="00655177"/>
    <w:rPr>
      <w:rFonts w:ascii="Calibri" w:eastAsia="Calibri" w:hAnsi="Calibri"/>
      <w:sz w:val="20"/>
      <w:szCs w:val="20"/>
    </w:rPr>
  </w:style>
  <w:style w:type="character" w:customStyle="1" w:styleId="NoteHeadingChar">
    <w:name w:val="Note Heading Char"/>
    <w:basedOn w:val="DefaultParagraphFont"/>
    <w:link w:val="NoteHeading"/>
    <w:uiPriority w:val="99"/>
    <w:semiHidden/>
    <w:qFormat/>
    <w:rsid w:val="00655177"/>
    <w:rPr>
      <w:rFonts w:ascii="Calibri" w:eastAsia="Calibri" w:hAnsi="Calibri"/>
      <w:sz w:val="24"/>
    </w:rPr>
  </w:style>
  <w:style w:type="character" w:customStyle="1" w:styleId="SalutationChar">
    <w:name w:val="Salutation Char"/>
    <w:basedOn w:val="DefaultParagraphFont"/>
    <w:link w:val="Salutation"/>
    <w:uiPriority w:val="99"/>
    <w:semiHidden/>
    <w:qFormat/>
    <w:rsid w:val="00655177"/>
    <w:rPr>
      <w:rFonts w:ascii="Calibri" w:eastAsia="Calibri" w:hAnsi="Calibri"/>
      <w:sz w:val="24"/>
    </w:rPr>
  </w:style>
  <w:style w:type="character" w:customStyle="1" w:styleId="SignatureChar">
    <w:name w:val="Signature Char"/>
    <w:basedOn w:val="DefaultParagraphFont"/>
    <w:link w:val="Signature"/>
    <w:uiPriority w:val="99"/>
    <w:semiHidden/>
    <w:qFormat/>
    <w:rsid w:val="00655177"/>
    <w:rPr>
      <w:rFonts w:ascii="Calibri" w:eastAsia="Calibri" w:hAnsi="Calibri"/>
      <w:sz w:val="24"/>
    </w:rPr>
  </w:style>
  <w:style w:type="character" w:customStyle="1" w:styleId="z-TopofFormChar">
    <w:name w:val="z-Top of Form Char"/>
    <w:basedOn w:val="DefaultParagraphFont"/>
    <w:link w:val="z-TopofForm"/>
    <w:uiPriority w:val="99"/>
    <w:semiHidden/>
    <w:qFormat/>
    <w:rsid w:val="006715A6"/>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qFormat/>
    <w:rsid w:val="006715A6"/>
    <w:rPr>
      <w:rFonts w:ascii="Arial" w:eastAsia="Times New Roman" w:hAnsi="Arial" w:cs="Arial"/>
      <w:vanish/>
      <w:sz w:val="16"/>
      <w:szCs w:val="16"/>
    </w:rPr>
  </w:style>
  <w:style w:type="character" w:customStyle="1" w:styleId="cBeforeaftertableChar">
    <w:name w:val="c.Before_after_table Char"/>
    <w:basedOn w:val="DefaultParagraphFont"/>
    <w:link w:val="cBeforeaftertable"/>
    <w:qFormat/>
    <w:rsid w:val="00374758"/>
    <w:rPr>
      <w:rFonts w:ascii="Calibri" w:eastAsia="Calibri" w:hAnsi="Calibri"/>
      <w:sz w:val="16"/>
    </w:rPr>
  </w:style>
  <w:style w:type="character" w:customStyle="1" w:styleId="cTableHeaderChar">
    <w:name w:val="c.Table_Header Char"/>
    <w:basedOn w:val="DefaultParagraphFont"/>
    <w:link w:val="cTableHeader"/>
    <w:qFormat/>
    <w:rsid w:val="002F6DF8"/>
    <w:rPr>
      <w:rFonts w:asciiTheme="majorHAnsi" w:eastAsia="Calibri" w:hAnsiTheme="majorHAnsi"/>
      <w:b/>
      <w:color w:val="4F81BD" w:themeColor="accent1"/>
    </w:rPr>
  </w:style>
  <w:style w:type="character" w:customStyle="1" w:styleId="cTableBodyChar">
    <w:name w:val="c.Table_Body Char"/>
    <w:basedOn w:val="DefaultParagraphFont"/>
    <w:link w:val="cTableBody"/>
    <w:qFormat/>
    <w:rsid w:val="003E4594"/>
    <w:rPr>
      <w:rFonts w:asciiTheme="majorHAnsi" w:eastAsia="Calibri" w:hAnsiTheme="majorHAnsi"/>
      <w:sz w:val="20"/>
    </w:rPr>
  </w:style>
  <w:style w:type="character" w:customStyle="1" w:styleId="cTableTopRowBlueBackgroundChar">
    <w:name w:val="c.Table_Top_Row_Blue_Background Char"/>
    <w:basedOn w:val="cTableHeaderChar"/>
    <w:link w:val="cTableTopRowBlueBackground"/>
    <w:qFormat/>
    <w:rsid w:val="003C3374"/>
    <w:rPr>
      <w:rFonts w:asciiTheme="majorHAnsi" w:eastAsia="Times New Roman" w:hAnsiTheme="majorHAnsi" w:cstheme="majorHAnsi"/>
      <w:b/>
      <w:bCs/>
      <w:color w:val="4F81BD" w:themeColor="accent1"/>
      <w:szCs w:val="24"/>
    </w:rPr>
  </w:style>
  <w:style w:type="character" w:customStyle="1" w:styleId="TOC1Char">
    <w:name w:val="TOC 1 Char"/>
    <w:basedOn w:val="DefaultParagraphFont"/>
    <w:link w:val="TOC1"/>
    <w:uiPriority w:val="39"/>
    <w:qFormat/>
    <w:rsid w:val="00EA5356"/>
    <w:rPr>
      <w:rFonts w:ascii="Calibri" w:eastAsia="Calibri" w:hAnsi="Calibri"/>
      <w:sz w:val="24"/>
    </w:rPr>
  </w:style>
  <w:style w:type="character" w:customStyle="1" w:styleId="cTableofContentsChar">
    <w:name w:val="c.Table_of_Contents Char"/>
    <w:basedOn w:val="TOC1Char"/>
    <w:link w:val="cTableofContents"/>
    <w:qFormat/>
    <w:rsid w:val="006711D6"/>
    <w:rPr>
      <w:rFonts w:ascii="Calibri" w:eastAsia="Calibri" w:hAnsi="Calibri"/>
      <w:sz w:val="24"/>
    </w:rPr>
  </w:style>
  <w:style w:type="character" w:customStyle="1" w:styleId="IndexLink">
    <w:name w:val="Index Link"/>
    <w:qFormat/>
  </w:style>
  <w:style w:type="character" w:customStyle="1" w:styleId="bcharacterChar">
    <w:name w:val="b.character Char"/>
    <w:basedOn w:val="DefaultParagraphFont"/>
    <w:link w:val="bcharacter"/>
    <w:qFormat/>
    <w:rsid w:val="006964D0"/>
    <w:rPr>
      <w:rFonts w:asciiTheme="majorHAnsi" w:eastAsia="Times New Roman" w:hAnsiTheme="majorHAnsi"/>
      <w:b/>
      <w:bCs/>
      <w:color w:val="943634" w:themeColor="accent2" w:themeShade="BF"/>
      <w:sz w:val="24"/>
    </w:rPr>
  </w:style>
  <w:style w:type="character" w:customStyle="1" w:styleId="cPaperTitleChar">
    <w:name w:val="c.PaperTitle Char"/>
    <w:basedOn w:val="Heading3Char"/>
    <w:link w:val="cPaperTitle"/>
    <w:qFormat/>
    <w:rsid w:val="00091E7D"/>
    <w:rPr>
      <w:rFonts w:asciiTheme="majorHAnsi" w:eastAsiaTheme="majorEastAsia" w:hAnsiTheme="majorHAnsi" w:cstheme="majorBidi"/>
      <w:b/>
      <w:bCs/>
      <w:color w:val="4F81BD" w:themeColor="accent1"/>
      <w:sz w:val="24"/>
      <w:u w:val="single"/>
    </w:rPr>
  </w:style>
  <w:style w:type="character" w:customStyle="1" w:styleId="bblueindentChar">
    <w:name w:val="b.blue indent Char"/>
    <w:basedOn w:val="DefaultParagraphFont"/>
    <w:link w:val="bblueindent"/>
    <w:qFormat/>
    <w:rsid w:val="00F95946"/>
    <w:rPr>
      <w:rFonts w:asciiTheme="majorHAnsi" w:eastAsia="Times New Roman" w:hAnsiTheme="majorHAnsi" w:cstheme="majorHAnsi"/>
      <w:color w:val="4F81BD" w:themeColor="accent1"/>
      <w:sz w:val="24"/>
      <w:szCs w:val="24"/>
    </w:rPr>
  </w:style>
  <w:style w:type="character" w:customStyle="1" w:styleId="blist-bulletsChar">
    <w:name w:val="b.list-bullets Char"/>
    <w:basedOn w:val="DefaultParagraphFont"/>
    <w:link w:val="blist-bullets"/>
    <w:qFormat/>
    <w:rsid w:val="009C3BB3"/>
    <w:rPr>
      <w:rFonts w:ascii="Calibri" w:eastAsia="Calibri" w:hAnsi="Calibri"/>
      <w:sz w:val="24"/>
    </w:rPr>
  </w:style>
  <w:style w:type="character" w:customStyle="1" w:styleId="blist-numbersChar">
    <w:name w:val="b.list-numbers Char"/>
    <w:basedOn w:val="DefaultParagraphFont"/>
    <w:link w:val="blist-numbers"/>
    <w:qFormat/>
    <w:rsid w:val="005C7A21"/>
    <w:rPr>
      <w:rFonts w:ascii="Calibri" w:eastAsia="Times New Roman" w:hAnsi="Calibri" w:cstheme="majorHAnsi"/>
      <w:sz w:val="24"/>
      <w:szCs w:val="24"/>
    </w:rPr>
  </w:style>
  <w:style w:type="character" w:styleId="FollowedHyperlink">
    <w:name w:val="FollowedHyperlink"/>
    <w:basedOn w:val="DefaultParagraphFont"/>
    <w:uiPriority w:val="99"/>
    <w:semiHidden/>
    <w:unhideWhenUsed/>
    <w:rsid w:val="002970E1"/>
    <w:rPr>
      <w:color w:val="800080" w:themeColor="followedHyperlink"/>
      <w:u w:val="single"/>
    </w:rPr>
  </w:style>
  <w:style w:type="character" w:customStyle="1" w:styleId="bfigure-captionChar">
    <w:name w:val="b.figure-caption Char"/>
    <w:basedOn w:val="DefaultParagraphFont"/>
    <w:link w:val="bfigure-caption"/>
    <w:qFormat/>
    <w:rsid w:val="005918BE"/>
    <w:rPr>
      <w:rFonts w:ascii="Calibri" w:eastAsia="Calibri" w:hAnsi="Calibri"/>
      <w:i/>
      <w:color w:val="595959"/>
      <w:sz w:val="24"/>
    </w:rPr>
  </w:style>
  <w:style w:type="character" w:customStyle="1" w:styleId="blistNo-SpacebulletChar">
    <w:name w:val="b.list.No-Space.bullet Char"/>
    <w:basedOn w:val="blist-bulletsChar"/>
    <w:link w:val="blistNo-Spacebullet"/>
    <w:qFormat/>
    <w:rsid w:val="000B25A7"/>
    <w:rPr>
      <w:rFonts w:ascii="Calibri" w:eastAsia="Times New Roman" w:hAnsi="Calibri" w:cstheme="majorHAnsi"/>
      <w:sz w:val="24"/>
      <w:szCs w:val="24"/>
    </w:rPr>
  </w:style>
  <w:style w:type="paragraph" w:customStyle="1" w:styleId="Heading">
    <w:name w:val="Heading"/>
    <w:basedOn w:val="Normal"/>
    <w:next w:val="Normal"/>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before="280" w:after="140" w:line="276" w:lineRule="auto"/>
    </w:pPr>
  </w:style>
  <w:style w:type="paragraph" w:styleId="List">
    <w:name w:val="List"/>
    <w:basedOn w:val="Normal"/>
    <w:uiPriority w:val="99"/>
    <w:unhideWhenUsed/>
    <w:rsid w:val="00AA1D8D"/>
    <w:pPr>
      <w:spacing w:before="280" w:after="280"/>
      <w:ind w:left="360" w:hanging="360"/>
      <w:contextualSpacing/>
    </w:pPr>
  </w:style>
  <w:style w:type="paragraph" w:styleId="Caption">
    <w:name w:val="caption"/>
    <w:basedOn w:val="Normal"/>
    <w:next w:val="Normal"/>
    <w:uiPriority w:val="35"/>
    <w:semiHidden/>
    <w:unhideWhenUsed/>
    <w:qFormat/>
    <w:rsid w:val="00FC693F"/>
    <w:rPr>
      <w:b/>
      <w:bCs/>
      <w:color w:val="4F81BD" w:themeColor="accent1"/>
      <w:sz w:val="18"/>
      <w:szCs w:val="18"/>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618BF"/>
    <w:pPr>
      <w:tabs>
        <w:tab w:val="center" w:pos="4680"/>
        <w:tab w:val="right" w:pos="9360"/>
      </w:tabs>
      <w:spacing w:before="280" w:after="280"/>
    </w:pPr>
  </w:style>
  <w:style w:type="paragraph" w:styleId="Footer">
    <w:name w:val="footer"/>
    <w:basedOn w:val="Normal"/>
    <w:link w:val="FooterChar"/>
    <w:uiPriority w:val="99"/>
    <w:unhideWhenUsed/>
    <w:rsid w:val="00E618BF"/>
    <w:pPr>
      <w:tabs>
        <w:tab w:val="center" w:pos="4680"/>
        <w:tab w:val="right" w:pos="9360"/>
      </w:tabs>
      <w:spacing w:before="280" w:after="280"/>
    </w:pPr>
  </w:style>
  <w:style w:type="paragraph" w:styleId="NoSpacing">
    <w:name w:val="No Spacing"/>
    <w:uiPriority w:val="1"/>
    <w:qFormat/>
    <w:rsid w:val="00FC693F"/>
  </w:style>
  <w:style w:type="paragraph" w:styleId="Title">
    <w:name w:val="Title"/>
    <w:basedOn w:val="Normal"/>
    <w:next w:val="Normal"/>
    <w:link w:val="TitleChar"/>
    <w:uiPriority w:val="10"/>
    <w:qFormat/>
    <w:rsid w:val="00FC693F"/>
    <w:pPr>
      <w:pBdr>
        <w:bottom w:val="single" w:sz="8" w:space="4" w:color="4F81BD" w:themeColor="accent1"/>
      </w:pBdr>
      <w:spacing w:before="280" w:after="300"/>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szCs w:val="24"/>
    </w:rPr>
  </w:style>
  <w:style w:type="paragraph" w:styleId="ListParagraph">
    <w:name w:val="List Paragraph"/>
    <w:basedOn w:val="Normal"/>
    <w:uiPriority w:val="34"/>
    <w:qFormat/>
    <w:rsid w:val="00FC693F"/>
    <w:pPr>
      <w:spacing w:before="280" w:after="280"/>
      <w:ind w:left="720"/>
      <w:contextualSpacing/>
    </w:pPr>
  </w:style>
  <w:style w:type="paragraph" w:styleId="ListBullet">
    <w:name w:val="List Bullet"/>
    <w:basedOn w:val="Normal"/>
    <w:uiPriority w:val="99"/>
    <w:unhideWhenUsed/>
    <w:rsid w:val="00326F90"/>
    <w:pPr>
      <w:numPr>
        <w:numId w:val="1"/>
      </w:numPr>
      <w:spacing w:before="280" w:after="280"/>
      <w:contextualSpacing/>
    </w:pPr>
  </w:style>
  <w:style w:type="paragraph" w:styleId="ListNumber">
    <w:name w:val="List Number"/>
    <w:basedOn w:val="Normal"/>
    <w:uiPriority w:val="99"/>
    <w:unhideWhenUsed/>
    <w:rsid w:val="00326F90"/>
    <w:pPr>
      <w:numPr>
        <w:numId w:val="2"/>
      </w:numPr>
      <w:spacing w:before="280" w:after="280"/>
      <w:contextualSpacing/>
    </w:pPr>
  </w:style>
  <w:style w:type="paragraph" w:styleId="ListContinue">
    <w:name w:val="List Continue"/>
    <w:basedOn w:val="Normal"/>
    <w:uiPriority w:val="99"/>
    <w:unhideWhenUsed/>
    <w:rsid w:val="0029639D"/>
    <w:pPr>
      <w:spacing w:before="280" w:after="120"/>
      <w:ind w:left="360"/>
      <w:contextualSpacing/>
    </w:pPr>
  </w:style>
  <w:style w:type="paragraph" w:styleId="MacroText">
    <w:name w:val="macro"/>
    <w:link w:val="MacroTextCh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Heading">
    <w:name w:val="index heading"/>
    <w:basedOn w:val="Normal"/>
    <w:next w:val="Index1"/>
    <w:uiPriority w:val="99"/>
    <w:semiHidden/>
    <w:unhideWhenUsed/>
    <w:rsid w:val="00655177"/>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FC693F"/>
    <w:pPr>
      <w:outlineLvl w:val="9"/>
    </w:pPr>
  </w:style>
  <w:style w:type="paragraph" w:customStyle="1" w:styleId="cUserPromptText">
    <w:name w:val="c.User_Prompt_Text"/>
    <w:basedOn w:val="Normal"/>
    <w:link w:val="UserPromptTextChar"/>
    <w:qFormat/>
    <w:rsid w:val="00D70219"/>
    <w:rPr>
      <w:color w:val="C0504D" w:themeColor="accent2"/>
    </w:rPr>
  </w:style>
  <w:style w:type="paragraph" w:customStyle="1" w:styleId="cUserPromptHeading">
    <w:name w:val="c.User_Prompt_Heading"/>
    <w:basedOn w:val="Normal"/>
    <w:link w:val="UserPromptHeadingChar"/>
    <w:qFormat/>
    <w:rsid w:val="00D70219"/>
    <w:rPr>
      <w:b/>
      <w:bCs/>
      <w:color w:val="C0504D" w:themeColor="accent2"/>
    </w:rPr>
  </w:style>
  <w:style w:type="paragraph" w:styleId="NormalWeb">
    <w:name w:val="Normal (Web)"/>
    <w:basedOn w:val="Normal"/>
    <w:uiPriority w:val="99"/>
    <w:semiHidden/>
    <w:unhideWhenUsed/>
    <w:qFormat/>
    <w:rsid w:val="003707A2"/>
    <w:rPr>
      <w:rFonts w:ascii="Times New Roman" w:eastAsia="Times New Roman" w:hAnsi="Times New Roman" w:cs="Times New Roman"/>
      <w:szCs w:val="24"/>
    </w:rPr>
  </w:style>
  <w:style w:type="paragraph" w:customStyle="1" w:styleId="cSubjectStyle">
    <w:name w:val="c. SubjectStyle"/>
    <w:basedOn w:val="Normal"/>
    <w:link w:val="SubjectStyleChar"/>
    <w:qFormat/>
    <w:rsid w:val="004C2413"/>
    <w:rPr>
      <w:rFonts w:asciiTheme="majorHAnsi" w:eastAsia="Times New Roman" w:hAnsiTheme="majorHAnsi" w:cstheme="majorHAnsi"/>
      <w:b/>
      <w:bCs/>
      <w:color w:val="943634" w:themeColor="accent2" w:themeShade="BF"/>
      <w:szCs w:val="24"/>
      <w:u w:val="single"/>
    </w:rPr>
  </w:style>
  <w:style w:type="paragraph" w:customStyle="1" w:styleId="cSubject">
    <w:name w:val="c.Subject"/>
    <w:basedOn w:val="Normal"/>
    <w:link w:val="SubjectChar"/>
    <w:qFormat/>
    <w:rsid w:val="001132D9"/>
    <w:rPr>
      <w:b/>
      <w:bCs/>
      <w:color w:val="548DD4" w:themeColor="text2" w:themeTint="99"/>
      <w:u w:val="single"/>
    </w:rPr>
  </w:style>
  <w:style w:type="paragraph" w:styleId="TOC1">
    <w:name w:val="toc 1"/>
    <w:basedOn w:val="Normal"/>
    <w:next w:val="Normal"/>
    <w:link w:val="TOC1Char"/>
    <w:autoRedefine/>
    <w:uiPriority w:val="39"/>
    <w:unhideWhenUsed/>
    <w:rsid w:val="00CE3845"/>
  </w:style>
  <w:style w:type="paragraph" w:customStyle="1" w:styleId="bhyperlink">
    <w:name w:val="b.hyperlink"/>
    <w:basedOn w:val="Normal"/>
    <w:link w:val="bhyperlinkChar"/>
    <w:qFormat/>
    <w:rsid w:val="00416F00"/>
    <w:pPr>
      <w:spacing w:before="280" w:after="120" w:line="259" w:lineRule="auto"/>
    </w:pPr>
    <w:rPr>
      <w:rFonts w:asciiTheme="majorHAnsi" w:eastAsiaTheme="minorHAnsi" w:hAnsiTheme="majorHAnsi"/>
      <w:color w:val="7F7F7F" w:themeColor="text1" w:themeTint="80"/>
      <w:u w:val="single"/>
      <w:shd w:val="clear" w:color="auto" w:fill="FFFFFF"/>
    </w:rPr>
  </w:style>
  <w:style w:type="paragraph" w:styleId="TOC2">
    <w:name w:val="toc 2"/>
    <w:basedOn w:val="Normal"/>
    <w:next w:val="Normal"/>
    <w:autoRedefine/>
    <w:uiPriority w:val="39"/>
    <w:unhideWhenUsed/>
    <w:rsid w:val="00634C55"/>
    <w:pPr>
      <w:spacing w:before="280" w:after="280"/>
      <w:ind w:left="245"/>
    </w:pPr>
    <w:rPr>
      <w:sz w:val="20"/>
    </w:rPr>
  </w:style>
  <w:style w:type="paragraph" w:styleId="TOC3">
    <w:name w:val="toc 3"/>
    <w:basedOn w:val="Normal"/>
    <w:next w:val="Normal"/>
    <w:autoRedefine/>
    <w:uiPriority w:val="39"/>
    <w:unhideWhenUsed/>
    <w:rsid w:val="00634C55"/>
    <w:pPr>
      <w:spacing w:before="280" w:after="280" w:line="278" w:lineRule="auto"/>
      <w:ind w:left="480"/>
    </w:pPr>
    <w:rPr>
      <w:rFonts w:asciiTheme="minorHAnsi" w:eastAsiaTheme="minorEastAsia" w:hAnsiTheme="minorHAnsi"/>
      <w:kern w:val="2"/>
      <w:szCs w:val="24"/>
    </w:rPr>
  </w:style>
  <w:style w:type="paragraph" w:styleId="TOC4">
    <w:name w:val="toc 4"/>
    <w:basedOn w:val="Normal"/>
    <w:next w:val="Normal"/>
    <w:autoRedefine/>
    <w:uiPriority w:val="39"/>
    <w:unhideWhenUsed/>
    <w:rsid w:val="00634C55"/>
    <w:pPr>
      <w:spacing w:before="280" w:after="280" w:line="278" w:lineRule="auto"/>
      <w:ind w:left="720"/>
    </w:pPr>
    <w:rPr>
      <w:rFonts w:asciiTheme="minorHAnsi" w:eastAsiaTheme="minorEastAsia" w:hAnsiTheme="minorHAnsi"/>
      <w:kern w:val="2"/>
      <w:szCs w:val="24"/>
    </w:rPr>
  </w:style>
  <w:style w:type="paragraph" w:styleId="TOC5">
    <w:name w:val="toc 5"/>
    <w:basedOn w:val="Normal"/>
    <w:next w:val="Normal"/>
    <w:autoRedefine/>
    <w:uiPriority w:val="39"/>
    <w:unhideWhenUsed/>
    <w:rsid w:val="00634C55"/>
    <w:pPr>
      <w:spacing w:before="280" w:after="280" w:line="278" w:lineRule="auto"/>
      <w:ind w:left="960"/>
    </w:pPr>
    <w:rPr>
      <w:rFonts w:asciiTheme="minorHAnsi" w:eastAsiaTheme="minorEastAsia" w:hAnsiTheme="minorHAnsi"/>
      <w:kern w:val="2"/>
      <w:szCs w:val="24"/>
    </w:rPr>
  </w:style>
  <w:style w:type="paragraph" w:styleId="TOC6">
    <w:name w:val="toc 6"/>
    <w:basedOn w:val="Normal"/>
    <w:next w:val="Normal"/>
    <w:autoRedefine/>
    <w:uiPriority w:val="39"/>
    <w:unhideWhenUsed/>
    <w:rsid w:val="00634C55"/>
    <w:pPr>
      <w:spacing w:before="280" w:after="280" w:line="278" w:lineRule="auto"/>
      <w:ind w:left="1200"/>
    </w:pPr>
    <w:rPr>
      <w:rFonts w:asciiTheme="minorHAnsi" w:eastAsiaTheme="minorEastAsia" w:hAnsiTheme="minorHAnsi"/>
      <w:kern w:val="2"/>
      <w:szCs w:val="24"/>
    </w:rPr>
  </w:style>
  <w:style w:type="paragraph" w:styleId="TOC7">
    <w:name w:val="toc 7"/>
    <w:basedOn w:val="Normal"/>
    <w:next w:val="Normal"/>
    <w:autoRedefine/>
    <w:uiPriority w:val="39"/>
    <w:unhideWhenUsed/>
    <w:rsid w:val="00634C55"/>
    <w:pPr>
      <w:spacing w:before="280" w:after="280" w:line="278" w:lineRule="auto"/>
      <w:ind w:left="1440"/>
    </w:pPr>
    <w:rPr>
      <w:rFonts w:asciiTheme="minorHAnsi" w:eastAsiaTheme="minorEastAsia" w:hAnsiTheme="minorHAnsi"/>
      <w:kern w:val="2"/>
      <w:szCs w:val="24"/>
    </w:rPr>
  </w:style>
  <w:style w:type="paragraph" w:styleId="TOC8">
    <w:name w:val="toc 8"/>
    <w:basedOn w:val="Normal"/>
    <w:next w:val="Normal"/>
    <w:autoRedefine/>
    <w:uiPriority w:val="39"/>
    <w:unhideWhenUsed/>
    <w:rsid w:val="00634C55"/>
    <w:pPr>
      <w:spacing w:before="280" w:after="280" w:line="278" w:lineRule="auto"/>
      <w:ind w:left="1680"/>
    </w:pPr>
    <w:rPr>
      <w:rFonts w:asciiTheme="minorHAnsi" w:eastAsiaTheme="minorEastAsia" w:hAnsiTheme="minorHAnsi"/>
      <w:kern w:val="2"/>
      <w:szCs w:val="24"/>
    </w:rPr>
  </w:style>
  <w:style w:type="paragraph" w:styleId="TOC9">
    <w:name w:val="toc 9"/>
    <w:basedOn w:val="Normal"/>
    <w:next w:val="Normal"/>
    <w:autoRedefine/>
    <w:uiPriority w:val="39"/>
    <w:unhideWhenUsed/>
    <w:rsid w:val="00634C55"/>
    <w:pPr>
      <w:spacing w:before="280" w:after="280" w:line="278" w:lineRule="auto"/>
      <w:ind w:left="1920"/>
    </w:pPr>
    <w:rPr>
      <w:rFonts w:asciiTheme="minorHAnsi" w:eastAsiaTheme="minorEastAsia" w:hAnsiTheme="minorHAnsi"/>
      <w:kern w:val="2"/>
      <w:szCs w:val="24"/>
    </w:rPr>
  </w:style>
  <w:style w:type="paragraph" w:styleId="Bibliography">
    <w:name w:val="Bibliography"/>
    <w:basedOn w:val="Normal"/>
    <w:next w:val="Normal"/>
    <w:uiPriority w:val="37"/>
    <w:semiHidden/>
    <w:unhideWhenUsed/>
    <w:qFormat/>
    <w:rsid w:val="00655177"/>
  </w:style>
  <w:style w:type="paragraph" w:styleId="BlockText">
    <w:name w:val="Block Text"/>
    <w:basedOn w:val="Normal"/>
    <w:uiPriority w:val="99"/>
    <w:semiHidden/>
    <w:unhideWhenUsed/>
    <w:qFormat/>
    <w:rsid w:val="0065517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FirstIndent">
    <w:name w:val="Body Text First Indent"/>
    <w:basedOn w:val="Normal"/>
    <w:link w:val="BodyTextFirstIndentChar"/>
    <w:uiPriority w:val="99"/>
    <w:semiHidden/>
    <w:unhideWhenUsed/>
    <w:rsid w:val="00E95F25"/>
    <w:pPr>
      <w:spacing w:before="280" w:after="160"/>
      <w:ind w:firstLine="360"/>
    </w:pPr>
  </w:style>
  <w:style w:type="paragraph" w:styleId="BodyTextIndent">
    <w:name w:val="Body Text Indent"/>
    <w:basedOn w:val="Normal"/>
    <w:link w:val="BodyTextIndentChar"/>
    <w:uiPriority w:val="99"/>
    <w:semiHidden/>
    <w:unhideWhenUsed/>
    <w:rsid w:val="00655177"/>
    <w:pPr>
      <w:spacing w:before="280" w:after="120"/>
      <w:ind w:left="360"/>
    </w:pPr>
  </w:style>
  <w:style w:type="paragraph" w:styleId="BodyTextIndent3">
    <w:name w:val="Body Text Indent 3"/>
    <w:basedOn w:val="Normal"/>
    <w:link w:val="BodyTextIndent3Char"/>
    <w:uiPriority w:val="99"/>
    <w:semiHidden/>
    <w:unhideWhenUsed/>
    <w:qFormat/>
    <w:rsid w:val="00655177"/>
    <w:pPr>
      <w:spacing w:before="280" w:after="120"/>
      <w:ind w:left="360"/>
    </w:pPr>
    <w:rPr>
      <w:sz w:val="16"/>
      <w:szCs w:val="16"/>
    </w:rPr>
  </w:style>
  <w:style w:type="paragraph" w:styleId="CommentText">
    <w:name w:val="annotation text"/>
    <w:basedOn w:val="Normal"/>
    <w:link w:val="CommentTextChar"/>
    <w:uiPriority w:val="99"/>
    <w:semiHidden/>
    <w:unhideWhenUsed/>
    <w:rsid w:val="00655177"/>
    <w:rPr>
      <w:sz w:val="20"/>
      <w:szCs w:val="20"/>
    </w:rPr>
  </w:style>
  <w:style w:type="paragraph" w:styleId="CommentSubject">
    <w:name w:val="annotation subject"/>
    <w:basedOn w:val="CommentText"/>
    <w:next w:val="CommentText"/>
    <w:link w:val="CommentSubjectChar"/>
    <w:uiPriority w:val="99"/>
    <w:semiHidden/>
    <w:unhideWhenUsed/>
    <w:qFormat/>
    <w:rsid w:val="00655177"/>
    <w:rPr>
      <w:b/>
      <w:bCs/>
    </w:rPr>
  </w:style>
  <w:style w:type="paragraph" w:styleId="Date">
    <w:name w:val="Date"/>
    <w:basedOn w:val="Normal"/>
    <w:next w:val="Normal"/>
    <w:link w:val="DateChar"/>
    <w:uiPriority w:val="99"/>
    <w:semiHidden/>
    <w:unhideWhenUsed/>
    <w:qFormat/>
    <w:rsid w:val="00655177"/>
  </w:style>
  <w:style w:type="paragraph" w:styleId="DocumentMap">
    <w:name w:val="Document Map"/>
    <w:basedOn w:val="Normal"/>
    <w:link w:val="DocumentMapChar"/>
    <w:uiPriority w:val="99"/>
    <w:semiHidden/>
    <w:unhideWhenUsed/>
    <w:qFormat/>
    <w:rsid w:val="00655177"/>
    <w:rPr>
      <w:rFonts w:ascii="Segoe UI" w:hAnsi="Segoe UI" w:cs="Segoe UI"/>
      <w:sz w:val="16"/>
      <w:szCs w:val="16"/>
    </w:rPr>
  </w:style>
  <w:style w:type="paragraph" w:styleId="EndnoteText">
    <w:name w:val="endnote text"/>
    <w:basedOn w:val="Normal"/>
    <w:link w:val="EndnoteTextChar"/>
    <w:uiPriority w:val="99"/>
    <w:semiHidden/>
    <w:unhideWhenUsed/>
    <w:rsid w:val="00655177"/>
    <w:rPr>
      <w:sz w:val="20"/>
      <w:szCs w:val="20"/>
    </w:rPr>
  </w:style>
  <w:style w:type="paragraph" w:styleId="FootnoteText">
    <w:name w:val="footnote text"/>
    <w:basedOn w:val="Normal"/>
    <w:link w:val="FootnoteTextChar"/>
    <w:uiPriority w:val="99"/>
    <w:semiHidden/>
    <w:unhideWhenUsed/>
    <w:rsid w:val="00655177"/>
    <w:rPr>
      <w:sz w:val="20"/>
      <w:szCs w:val="20"/>
    </w:rPr>
  </w:style>
  <w:style w:type="paragraph" w:styleId="Index1">
    <w:name w:val="index 1"/>
    <w:basedOn w:val="Normal"/>
    <w:next w:val="Normal"/>
    <w:autoRedefine/>
    <w:uiPriority w:val="99"/>
    <w:semiHidden/>
    <w:unhideWhenUsed/>
    <w:rsid w:val="00655177"/>
    <w:pPr>
      <w:ind w:left="240" w:hanging="240"/>
    </w:pPr>
  </w:style>
  <w:style w:type="paragraph" w:styleId="Index2">
    <w:name w:val="index 2"/>
    <w:basedOn w:val="Normal"/>
    <w:next w:val="Normal"/>
    <w:autoRedefine/>
    <w:uiPriority w:val="99"/>
    <w:semiHidden/>
    <w:unhideWhenUsed/>
    <w:rsid w:val="00655177"/>
    <w:pPr>
      <w:ind w:left="480" w:hanging="240"/>
    </w:pPr>
  </w:style>
  <w:style w:type="paragraph" w:styleId="Index3">
    <w:name w:val="index 3"/>
    <w:basedOn w:val="Normal"/>
    <w:next w:val="Normal"/>
    <w:autoRedefine/>
    <w:uiPriority w:val="99"/>
    <w:semiHidden/>
    <w:unhideWhenUsed/>
    <w:rsid w:val="00655177"/>
    <w:pPr>
      <w:ind w:left="720" w:hanging="240"/>
    </w:pPr>
  </w:style>
  <w:style w:type="paragraph" w:styleId="Index4">
    <w:name w:val="index 4"/>
    <w:basedOn w:val="Normal"/>
    <w:next w:val="Normal"/>
    <w:autoRedefine/>
    <w:uiPriority w:val="99"/>
    <w:semiHidden/>
    <w:unhideWhenUsed/>
    <w:qFormat/>
    <w:rsid w:val="00655177"/>
    <w:pPr>
      <w:ind w:left="960" w:hanging="240"/>
    </w:pPr>
  </w:style>
  <w:style w:type="paragraph" w:styleId="NormalIndent">
    <w:name w:val="Normal Indent"/>
    <w:basedOn w:val="Normal"/>
    <w:uiPriority w:val="99"/>
    <w:semiHidden/>
    <w:unhideWhenUsed/>
    <w:qFormat/>
    <w:rsid w:val="00655177"/>
    <w:pPr>
      <w:ind w:left="720"/>
    </w:pPr>
  </w:style>
  <w:style w:type="paragraph" w:styleId="NoteHeading">
    <w:name w:val="Note Heading"/>
    <w:basedOn w:val="Normal"/>
    <w:next w:val="Normal"/>
    <w:link w:val="NoteHeadingChar"/>
    <w:uiPriority w:val="99"/>
    <w:semiHidden/>
    <w:unhideWhenUsed/>
    <w:qFormat/>
    <w:rsid w:val="00655177"/>
  </w:style>
  <w:style w:type="paragraph" w:styleId="Salutation">
    <w:name w:val="Salutation"/>
    <w:basedOn w:val="Normal"/>
    <w:next w:val="Normal"/>
    <w:link w:val="SalutationChar"/>
    <w:uiPriority w:val="99"/>
    <w:semiHidden/>
    <w:unhideWhenUsed/>
    <w:rsid w:val="00655177"/>
  </w:style>
  <w:style w:type="paragraph" w:styleId="Signature">
    <w:name w:val="Signature"/>
    <w:basedOn w:val="Normal"/>
    <w:link w:val="SignatureChar"/>
    <w:uiPriority w:val="99"/>
    <w:semiHidden/>
    <w:unhideWhenUsed/>
    <w:rsid w:val="00655177"/>
    <w:pPr>
      <w:ind w:left="4320"/>
    </w:pPr>
  </w:style>
  <w:style w:type="paragraph" w:styleId="TableofAuthorities">
    <w:name w:val="table of authorities"/>
    <w:basedOn w:val="Normal"/>
    <w:next w:val="Normal"/>
    <w:uiPriority w:val="99"/>
    <w:semiHidden/>
    <w:unhideWhenUsed/>
    <w:rsid w:val="00655177"/>
    <w:pPr>
      <w:spacing w:before="280" w:after="280"/>
      <w:ind w:left="240" w:hanging="240"/>
    </w:pPr>
  </w:style>
  <w:style w:type="paragraph" w:styleId="TableofFigures">
    <w:name w:val="table of figures"/>
    <w:basedOn w:val="Normal"/>
    <w:next w:val="Normal"/>
    <w:uiPriority w:val="99"/>
    <w:semiHidden/>
    <w:unhideWhenUsed/>
    <w:rsid w:val="00655177"/>
    <w:pPr>
      <w:spacing w:before="280" w:after="280"/>
    </w:pPr>
  </w:style>
  <w:style w:type="paragraph" w:styleId="TOAHeading">
    <w:name w:val="toa heading"/>
    <w:basedOn w:val="Normal"/>
    <w:next w:val="Normal"/>
    <w:uiPriority w:val="99"/>
    <w:semiHidden/>
    <w:unhideWhenUsed/>
    <w:qFormat/>
    <w:rsid w:val="00655177"/>
    <w:pPr>
      <w:spacing w:before="120" w:after="280"/>
    </w:pPr>
    <w:rPr>
      <w:rFonts w:asciiTheme="majorHAnsi" w:eastAsiaTheme="majorEastAsia" w:hAnsiTheme="majorHAnsi" w:cstheme="majorBidi"/>
      <w:b/>
      <w:bCs/>
      <w:szCs w:val="24"/>
    </w:rPr>
  </w:style>
  <w:style w:type="paragraph" w:styleId="z-TopofForm">
    <w:name w:val="HTML Top of Form"/>
    <w:basedOn w:val="Normal"/>
    <w:next w:val="Normal"/>
    <w:link w:val="z-TopofFormChar"/>
    <w:uiPriority w:val="99"/>
    <w:semiHidden/>
    <w:unhideWhenUsed/>
    <w:qFormat/>
    <w:rsid w:val="006715A6"/>
    <w:pPr>
      <w:pBdr>
        <w:bottom w:val="single" w:sz="6" w:space="1" w:color="000000"/>
      </w:pBdr>
      <w:jc w:val="center"/>
    </w:pPr>
    <w:rPr>
      <w:rFonts w:ascii="Arial" w:eastAsia="Times New Roman" w:hAnsi="Arial" w:cs="Arial"/>
      <w:vanish/>
      <w:sz w:val="16"/>
      <w:szCs w:val="16"/>
    </w:rPr>
  </w:style>
  <w:style w:type="paragraph" w:styleId="z-BottomofForm">
    <w:name w:val="HTML Bottom of Form"/>
    <w:basedOn w:val="Normal"/>
    <w:next w:val="Normal"/>
    <w:link w:val="z-BottomofFormChar"/>
    <w:uiPriority w:val="99"/>
    <w:semiHidden/>
    <w:unhideWhenUsed/>
    <w:qFormat/>
    <w:rsid w:val="006715A6"/>
    <w:pPr>
      <w:pBdr>
        <w:top w:val="single" w:sz="6" w:space="1" w:color="000000"/>
      </w:pBdr>
      <w:jc w:val="center"/>
    </w:pPr>
    <w:rPr>
      <w:rFonts w:ascii="Arial" w:eastAsia="Times New Roman" w:hAnsi="Arial" w:cs="Arial"/>
      <w:vanish/>
      <w:sz w:val="16"/>
      <w:szCs w:val="16"/>
    </w:rPr>
  </w:style>
  <w:style w:type="paragraph" w:customStyle="1" w:styleId="cBeforeaftertable">
    <w:name w:val="c.Before_after_table"/>
    <w:basedOn w:val="Normal"/>
    <w:link w:val="cBeforeaftertableChar"/>
    <w:qFormat/>
    <w:rsid w:val="00374758"/>
    <w:rPr>
      <w:sz w:val="16"/>
    </w:rPr>
  </w:style>
  <w:style w:type="paragraph" w:customStyle="1" w:styleId="cTableHeader">
    <w:name w:val="c.Table_Header"/>
    <w:basedOn w:val="Normal"/>
    <w:link w:val="cTableHeaderChar"/>
    <w:qFormat/>
    <w:rsid w:val="002F6DF8"/>
    <w:pPr>
      <w:spacing w:before="20" w:beforeAutospacing="0" w:after="20" w:afterAutospacing="0"/>
      <w:jc w:val="center"/>
    </w:pPr>
    <w:rPr>
      <w:rFonts w:asciiTheme="majorHAnsi" w:hAnsiTheme="majorHAnsi"/>
      <w:b/>
      <w:color w:val="4F81BD" w:themeColor="accent1"/>
      <w:sz w:val="22"/>
    </w:rPr>
  </w:style>
  <w:style w:type="paragraph" w:customStyle="1" w:styleId="cTableBody">
    <w:name w:val="c.Table_Body"/>
    <w:basedOn w:val="Normal"/>
    <w:link w:val="cTableBodyChar"/>
    <w:qFormat/>
    <w:rsid w:val="003E4594"/>
    <w:pPr>
      <w:spacing w:before="280" w:after="280"/>
    </w:pPr>
    <w:rPr>
      <w:rFonts w:asciiTheme="majorHAnsi" w:hAnsiTheme="majorHAnsi"/>
      <w:sz w:val="20"/>
    </w:rPr>
  </w:style>
  <w:style w:type="paragraph" w:customStyle="1" w:styleId="cTableTopRowBlueBackground">
    <w:name w:val="c.Table_Top_Row_Blue_Background"/>
    <w:basedOn w:val="cTableHeader"/>
    <w:link w:val="cTableTopRowBlueBackgroundChar"/>
    <w:qFormat/>
    <w:rsid w:val="003C3374"/>
    <w:pPr>
      <w:spacing w:before="0"/>
    </w:pPr>
    <w:rPr>
      <w:rFonts w:eastAsia="Times New Roman" w:cstheme="majorHAnsi"/>
      <w:bCs/>
      <w:szCs w:val="24"/>
    </w:rPr>
  </w:style>
  <w:style w:type="paragraph" w:customStyle="1" w:styleId="cTableofContents">
    <w:name w:val="c.Table_of_Contents"/>
    <w:basedOn w:val="TOC1"/>
    <w:link w:val="cTableofContentsChar"/>
    <w:qFormat/>
    <w:rsid w:val="006711D6"/>
    <w:pPr>
      <w:tabs>
        <w:tab w:val="right" w:leader="dot" w:pos="9638"/>
      </w:tabs>
      <w:spacing w:before="60" w:beforeAutospacing="0" w:after="60" w:afterAutospacing="0" w:line="288" w:lineRule="auto"/>
    </w:pPr>
  </w:style>
  <w:style w:type="paragraph" w:customStyle="1" w:styleId="bcharacter">
    <w:name w:val="b.character"/>
    <w:basedOn w:val="Normal"/>
    <w:link w:val="bcharacterChar"/>
    <w:qFormat/>
    <w:rsid w:val="006964D0"/>
    <w:pPr>
      <w:suppressAutoHyphens w:val="0"/>
      <w:spacing w:before="280" w:beforeAutospacing="0" w:after="120" w:afterAutospacing="0" w:line="252" w:lineRule="auto"/>
      <w:ind w:left="720"/>
    </w:pPr>
    <w:rPr>
      <w:rFonts w:asciiTheme="majorHAnsi" w:eastAsia="Times New Roman" w:hAnsiTheme="majorHAnsi"/>
      <w:b/>
      <w:bCs/>
      <w:color w:val="943634" w:themeColor="accent2" w:themeShade="BF"/>
    </w:rPr>
  </w:style>
  <w:style w:type="paragraph" w:customStyle="1" w:styleId="aLink-Title">
    <w:name w:val="a.Link-Title"/>
    <w:basedOn w:val="Normal"/>
    <w:qFormat/>
    <w:rsid w:val="002F3656"/>
    <w:pPr>
      <w:keepNext/>
      <w:suppressAutoHyphens w:val="0"/>
      <w:spacing w:before="280" w:beforeAutospacing="0" w:after="280" w:afterAutospacing="0" w:line="259" w:lineRule="auto"/>
      <w:ind w:left="720"/>
    </w:pPr>
    <w:rPr>
      <w:rFonts w:ascii="Courier New" w:eastAsiaTheme="minorHAnsi" w:hAnsi="Courier New" w:cs="Courier New"/>
      <w:sz w:val="22"/>
    </w:rPr>
  </w:style>
  <w:style w:type="paragraph" w:customStyle="1" w:styleId="aLinkurl">
    <w:name w:val="a.Link.url"/>
    <w:basedOn w:val="Normal"/>
    <w:qFormat/>
    <w:rsid w:val="002F3656"/>
    <w:pPr>
      <w:tabs>
        <w:tab w:val="left" w:pos="360"/>
        <w:tab w:val="left" w:pos="720"/>
        <w:tab w:val="left" w:pos="1440"/>
        <w:tab w:val="left" w:pos="2160"/>
        <w:tab w:val="left" w:pos="2880"/>
      </w:tabs>
      <w:suppressAutoHyphens w:val="0"/>
      <w:spacing w:before="280" w:beforeAutospacing="0" w:after="280" w:afterAutospacing="0" w:line="259" w:lineRule="auto"/>
      <w:ind w:left="720"/>
    </w:pPr>
    <w:rPr>
      <w:rFonts w:ascii="Courier New" w:eastAsiaTheme="minorHAnsi" w:hAnsi="Courier New" w:cs="Courier New"/>
      <w:color w:val="948A54" w:themeColor="background2" w:themeShade="80"/>
      <w:sz w:val="22"/>
      <w:szCs w:val="20"/>
      <w:u w:val="single"/>
    </w:rPr>
  </w:style>
  <w:style w:type="paragraph" w:customStyle="1" w:styleId="cPaperTitle">
    <w:name w:val="c.PaperTitle"/>
    <w:basedOn w:val="Heading3"/>
    <w:link w:val="cPaperTitleChar"/>
    <w:qFormat/>
    <w:rsid w:val="00091E7D"/>
    <w:pPr>
      <w:pBdr>
        <w:top w:val="single" w:sz="4" w:space="1" w:color="4F81BD" w:themeColor="accent1"/>
      </w:pBdr>
      <w:suppressAutoHyphens w:val="0"/>
      <w:spacing w:line="276" w:lineRule="auto"/>
    </w:pPr>
    <w:rPr>
      <w:color w:val="4F81BD" w:themeColor="accent1"/>
      <w:sz w:val="24"/>
      <w:u w:val="none"/>
    </w:rPr>
  </w:style>
  <w:style w:type="paragraph" w:customStyle="1" w:styleId="bblueindent">
    <w:name w:val="b.blue indent"/>
    <w:basedOn w:val="Normal"/>
    <w:link w:val="bblueindentChar"/>
    <w:qFormat/>
    <w:rsid w:val="00F95946"/>
    <w:pPr>
      <w:suppressAutoHyphens w:val="0"/>
      <w:ind w:left="360" w:right="18"/>
    </w:pPr>
    <w:rPr>
      <w:rFonts w:asciiTheme="majorHAnsi" w:eastAsia="Times New Roman" w:hAnsiTheme="majorHAnsi" w:cstheme="majorHAnsi"/>
      <w:color w:val="4F81BD" w:themeColor="accent1"/>
      <w:szCs w:val="24"/>
    </w:rPr>
  </w:style>
  <w:style w:type="paragraph" w:customStyle="1" w:styleId="blist-bullets">
    <w:name w:val="b.list-bullets"/>
    <w:basedOn w:val="Normal"/>
    <w:link w:val="blist-bulletsChar"/>
    <w:qFormat/>
    <w:rsid w:val="009C3BB3"/>
    <w:pPr>
      <w:numPr>
        <w:numId w:val="4"/>
      </w:numPr>
      <w:tabs>
        <w:tab w:val="clear" w:pos="720"/>
      </w:tabs>
      <w:suppressAutoHyphens w:val="0"/>
      <w:spacing w:before="160" w:beforeAutospacing="0" w:after="160" w:afterAutospacing="0"/>
      <w:ind w:left="360"/>
    </w:pPr>
  </w:style>
  <w:style w:type="paragraph" w:customStyle="1" w:styleId="blist-numbers">
    <w:name w:val="b.list-numbers"/>
    <w:basedOn w:val="Normal"/>
    <w:link w:val="blist-numbersChar"/>
    <w:qFormat/>
    <w:rsid w:val="005C7A21"/>
    <w:pPr>
      <w:suppressAutoHyphens w:val="0"/>
      <w:spacing w:before="280" w:after="280"/>
      <w:ind w:left="540" w:hanging="360"/>
    </w:pPr>
    <w:rPr>
      <w:rFonts w:eastAsia="Times New Roman" w:cstheme="majorHAnsi"/>
      <w:szCs w:val="24"/>
    </w:rPr>
  </w:style>
  <w:style w:type="paragraph" w:customStyle="1" w:styleId="bfigure-caption">
    <w:name w:val="b.figure-caption"/>
    <w:basedOn w:val="Normal"/>
    <w:link w:val="bfigure-captionChar"/>
    <w:qFormat/>
    <w:rsid w:val="005918BE"/>
    <w:pPr>
      <w:jc w:val="center"/>
    </w:pPr>
    <w:rPr>
      <w:i/>
      <w:color w:val="595959"/>
    </w:rPr>
  </w:style>
  <w:style w:type="paragraph" w:customStyle="1" w:styleId="blistNo-Spacebullet">
    <w:name w:val="b.list.No-Space.bullet"/>
    <w:basedOn w:val="blist-bullets"/>
    <w:link w:val="blistNo-SpacebulletChar"/>
    <w:qFormat/>
    <w:rsid w:val="000B25A7"/>
    <w:pPr>
      <w:numPr>
        <w:numId w:val="5"/>
      </w:numPr>
      <w:spacing w:before="0" w:after="0"/>
    </w:pPr>
    <w:rPr>
      <w:rFonts w:eastAsia="Times New Roman" w:cstheme="majorHAnsi"/>
      <w:szCs w:val="24"/>
    </w:rPr>
  </w:style>
  <w:style w:type="numbering" w:customStyle="1" w:styleId="NoList1">
    <w:name w:val="No List1"/>
    <w:uiPriority w:val="99"/>
    <w:semiHidden/>
    <w:unhideWhenUsed/>
    <w:qFormat/>
    <w:rsid w:val="003707A2"/>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gswTableStyle">
    <w:name w:val="gsw.TableStyle"/>
    <w:basedOn w:val="TableNormal"/>
    <w:uiPriority w:val="99"/>
    <w:rsid w:val="00BB0E04"/>
    <w:pPr>
      <w:spacing w:before="40" w:after="40" w:line="288" w:lineRule="auto"/>
    </w:pPr>
    <w:rPr>
      <w:sz w:val="20"/>
    </w:rPr>
    <w:tblPr>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Pr>
    <w:tblStylePr w:type="firstRow">
      <w:pPr>
        <w:wordWrap/>
        <w:jc w:val="center"/>
      </w:pPr>
      <w:rPr>
        <w:rFonts w:asciiTheme="majorHAnsi" w:hAnsiTheme="majorHAnsi"/>
        <w:b/>
        <w:color w:val="4F81BD" w:themeColor="accent1"/>
        <w:sz w:val="22"/>
      </w:rPr>
      <w:tblPr/>
      <w:tcPr>
        <w:tcBorders>
          <w:top w:val="single" w:sz="4" w:space="0" w:color="auto"/>
          <w:left w:val="single" w:sz="4" w:space="0" w:color="auto"/>
          <w:bottom w:val="nil"/>
          <w:right w:val="single" w:sz="4" w:space="0" w:color="auto"/>
          <w:insideH w:val="nil"/>
          <w:insideV w:val="single" w:sz="4" w:space="0" w:color="auto"/>
          <w:tl2br w:val="nil"/>
          <w:tr2bl w:val="nil"/>
        </w:tcBorders>
        <w:shd w:val="clear" w:color="auto" w:fill="DBE5F1" w:themeFill="accent1" w:themeFillTint="33"/>
      </w:tcPr>
    </w:tblStylePr>
  </w:style>
  <w:style w:type="paragraph" w:customStyle="1" w:styleId="video-link">
    <w:name w:val="video-link"/>
    <w:basedOn w:val="Normal"/>
    <w:link w:val="video-linkChar"/>
    <w:qFormat/>
    <w:rsid w:val="00531537"/>
    <w:pPr>
      <w:tabs>
        <w:tab w:val="left" w:pos="1440"/>
        <w:tab w:val="left" w:pos="2160"/>
        <w:tab w:val="left" w:pos="2880"/>
      </w:tabs>
      <w:suppressAutoHyphens w:val="0"/>
      <w:spacing w:before="0" w:beforeAutospacing="0" w:after="360" w:afterAutospacing="0" w:line="259" w:lineRule="auto"/>
      <w:ind w:left="720"/>
    </w:pPr>
    <w:rPr>
      <w:rFonts w:ascii="Courier New" w:eastAsia="Times New Roman" w:hAnsi="Courier New" w:cs="Courier New"/>
      <w:szCs w:val="24"/>
    </w:rPr>
  </w:style>
  <w:style w:type="character" w:customStyle="1" w:styleId="video-linkChar">
    <w:name w:val="video-link Char"/>
    <w:basedOn w:val="DefaultParagraphFont"/>
    <w:link w:val="video-link"/>
    <w:rsid w:val="00531537"/>
    <w:rPr>
      <w:rFonts w:ascii="Courier New" w:eastAsia="Times New Roman" w:hAnsi="Courier New" w:cs="Courier New"/>
      <w:sz w:val="24"/>
      <w:szCs w:val="24"/>
    </w:rPr>
  </w:style>
  <w:style w:type="paragraph" w:customStyle="1" w:styleId="video-title">
    <w:name w:val="video-title"/>
    <w:basedOn w:val="Normal"/>
    <w:link w:val="video-titleChar"/>
    <w:qFormat/>
    <w:rsid w:val="00531537"/>
    <w:pPr>
      <w:tabs>
        <w:tab w:val="left" w:pos="1440"/>
        <w:tab w:val="left" w:pos="2160"/>
        <w:tab w:val="left" w:pos="2880"/>
      </w:tabs>
      <w:suppressAutoHyphens w:val="0"/>
      <w:spacing w:before="0" w:beforeAutospacing="0" w:after="0" w:afterAutospacing="0" w:line="259" w:lineRule="auto"/>
      <w:ind w:left="720"/>
    </w:pPr>
    <w:rPr>
      <w:rFonts w:ascii="Courier New" w:eastAsia="Times New Roman" w:hAnsi="Courier New" w:cs="Courier New"/>
      <w:szCs w:val="24"/>
    </w:rPr>
  </w:style>
  <w:style w:type="character" w:customStyle="1" w:styleId="video-titleChar">
    <w:name w:val="video-title Char"/>
    <w:basedOn w:val="DefaultParagraphFont"/>
    <w:link w:val="video-title"/>
    <w:rsid w:val="00531537"/>
    <w:rPr>
      <w:rFonts w:ascii="Courier New" w:eastAsia="Times New Roman"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HTR-PM" TargetMode="External"/><Relationship Id="rId18" Type="http://schemas.openxmlformats.org/officeDocument/2006/relationships/hyperlink" Target="https://en.wikipedia.org/wiki/HTR-PM" TargetMode="External"/><Relationship Id="rId26" Type="http://schemas.openxmlformats.org/officeDocument/2006/relationships/image" Target="media/image3.jpeg"/><Relationship Id="rId39" Type="http://schemas.openxmlformats.org/officeDocument/2006/relationships/image" Target="media/image16.png"/><Relationship Id="rId21" Type="http://schemas.openxmlformats.org/officeDocument/2006/relationships/hyperlink" Target="https://www.youtube.com/watch?v=afO0cy1l7Qo" TargetMode="External"/><Relationship Id="rId34" Type="http://schemas.openxmlformats.org/officeDocument/2006/relationships/image" Target="media/image11.png"/><Relationship Id="rId42" Type="http://schemas.openxmlformats.org/officeDocument/2006/relationships/hyperlink" Target="https://www.engineering.org.cn/engi/EN/10.1016/J.ENG.2016.01.020"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plantosavetheplanet.org/pdf-ai" TargetMode="External"/><Relationship Id="rId29" Type="http://schemas.openxmlformats.org/officeDocument/2006/relationships/image" Target="media/image6.png"/><Relationship Id="rId11" Type="http://schemas.openxmlformats.org/officeDocument/2006/relationships/hyperlink" Target="https://creativecommons.org/licenses/by/4.0/" TargetMode="External"/><Relationship Id="rId24" Type="http://schemas.openxmlformats.org/officeDocument/2006/relationships/hyperlink" Target="https://en.wikipedia.org/wiki/Hualong_One" TargetMode="External"/><Relationship Id="rId32" Type="http://schemas.openxmlformats.org/officeDocument/2006/relationships/image" Target="media/image9.png"/><Relationship Id="rId37" Type="http://schemas.openxmlformats.org/officeDocument/2006/relationships/image" Target="media/image14.jpeg"/><Relationship Id="rId40" Type="http://schemas.openxmlformats.org/officeDocument/2006/relationships/image" Target="media/image17.jpeg"/><Relationship Id="rId45" Type="http://schemas.openxmlformats.org/officeDocument/2006/relationships/hyperlink" Target="https://www.aplantosavetheplanet.org/pdf-ai" TargetMode="External"/><Relationship Id="rId5" Type="http://schemas.openxmlformats.org/officeDocument/2006/relationships/webSettings" Target="webSettings.xml"/><Relationship Id="rId15" Type="http://schemas.openxmlformats.org/officeDocument/2006/relationships/hyperlink" Target="https://www.aplantosavetheplanet.org/" TargetMode="External"/><Relationship Id="rId23" Type="http://schemas.openxmlformats.org/officeDocument/2006/relationships/hyperlink" Target="https://en.wikipedia.org/wiki/HTR-PM" TargetMode="External"/><Relationship Id="rId28" Type="http://schemas.openxmlformats.org/officeDocument/2006/relationships/image" Target="media/image5.png"/><Relationship Id="rId36" Type="http://schemas.openxmlformats.org/officeDocument/2006/relationships/image" Target="media/image13.png"/><Relationship Id="rId49" Type="http://schemas.openxmlformats.org/officeDocument/2006/relationships/fontTable" Target="fontTable.xml"/><Relationship Id="rId10" Type="http://schemas.openxmlformats.org/officeDocument/2006/relationships/hyperlink" Target="https://drive.google.com/drive/folders/1HWNJZ2X3jgx4dXn_7VPq25ljJJuIG1aS" TargetMode="External"/><Relationship Id="rId19" Type="http://schemas.openxmlformats.org/officeDocument/2006/relationships/hyperlink" Target="https://en.wikipedia.org/wiki/Hualong_One" TargetMode="External"/><Relationship Id="rId31" Type="http://schemas.openxmlformats.org/officeDocument/2006/relationships/image" Target="media/image8.png"/><Relationship Id="rId44" Type="http://schemas.openxmlformats.org/officeDocument/2006/relationships/hyperlink" Target="https://www.aplantosavetheplanet.org/pdf-ai"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en.wikipedia.org/wiki/Hualong_One" TargetMode="External"/><Relationship Id="rId22" Type="http://schemas.openxmlformats.org/officeDocument/2006/relationships/hyperlink" Target="https://www.youtube.com/watch?v=4gqmKGV1h5Y" TargetMode="External"/><Relationship Id="rId27" Type="http://schemas.openxmlformats.org/officeDocument/2006/relationships/image" Target="media/image4.png"/><Relationship Id="rId30" Type="http://schemas.openxmlformats.org/officeDocument/2006/relationships/image" Target="media/image7.jpeg"/><Relationship Id="rId35" Type="http://schemas.openxmlformats.org/officeDocument/2006/relationships/image" Target="media/image12.png"/><Relationship Id="rId43" Type="http://schemas.openxmlformats.org/officeDocument/2006/relationships/hyperlink" Target="https://www.aplantosavetheplanet.org/pdf-ai" TargetMode="External"/><Relationship Id="rId48"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aplantosavetheplanet.org/" TargetMode="External"/><Relationship Id="rId17" Type="http://schemas.openxmlformats.org/officeDocument/2006/relationships/hyperlink" Target="https://creativecommons.org/licenses/by/4.0/" TargetMode="Externa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image" Target="media/image15.jpeg"/><Relationship Id="rId46" Type="http://schemas.openxmlformats.org/officeDocument/2006/relationships/hyperlink" Target="https://www.aplantosavetheplanet.org/pdf-ai" TargetMode="External"/><Relationship Id="rId20" Type="http://schemas.openxmlformats.org/officeDocument/2006/relationships/hyperlink" Target="https://www.youtube.com/watch?v=AIlbovU67wI" TargetMode="External"/><Relationship Id="rId41" Type="http://schemas.openxmlformats.org/officeDocument/2006/relationships/hyperlink" Target="https://chatgpt.com/share/6a778d0b-5ee8-83ea-8792-db8fa4903a37"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29301</TotalTime>
  <Pages>69</Pages>
  <Words>14780</Words>
  <Characters>104795</Characters>
  <Application>Microsoft Office Word</Application>
  <DocSecurity>0</DocSecurity>
  <Lines>2994</Lines>
  <Paragraphs>1839</Paragraphs>
  <ScaleCrop>false</ScaleCrop>
  <HeadingPairs>
    <vt:vector size="2" baseType="variant">
      <vt:variant>
        <vt:lpstr>Title</vt:lpstr>
      </vt:variant>
      <vt:variant>
        <vt:i4>1</vt:i4>
      </vt:variant>
    </vt:vector>
  </HeadingPairs>
  <TitlesOfParts>
    <vt:vector size="1" baseType="lpstr">
      <vt:lpstr>Nuclear Power Construction Automation Initiative</vt:lpstr>
    </vt:vector>
  </TitlesOfParts>
  <Company/>
  <LinksUpToDate>false</LinksUpToDate>
  <CharactersWithSpaces>117736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Nuclear Power Construction Automation Initiative</dc:title>
  <dc:subject>Proposed $1 Billion / Five-Year R&amp;D Program to develop and demonstrate construction automation for HTR-PM/HTR-PM600-type and Hualong One/HPR1000-class nuclear power plants.</dc:subject>
  <dc:creator>Glenn Weinreb</dc:creator>
  <cp:keywords>nuclear power construction automation HTR-PM HTR-PM600 Hualong One HPR1000 PWR R&amp;D climate moonshot</cp:keywords>
  <dc:description>Developed with assistance from ChatGPT.</dc:description>
  <cp:lastModifiedBy>Glenn Weinreb</cp:lastModifiedBy>
  <cp:revision>1679</cp:revision>
  <cp:lastPrinted>2026-04-16T21:44:00Z</cp:lastPrinted>
  <dcterms:created xsi:type="dcterms:W3CDTF">2013-12-24T02:15:00Z</dcterms:created>
  <dcterms:modified xsi:type="dcterms:W3CDTF">2026-08-21T17:57:00Z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zn:id">
    <vt:lpwstr>bf5be312-9c78-4024-9855-fd3bb3258444</vt:lpwstr>
  </property>
</Properties>
</file>