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19" w:type="dxa"/>
        <w:jc w:val="center"/>
        <w:tblLayout w:type="fixed"/>
        <w:tblCellMar>
          <w:left w:w="115" w:type="dxa"/>
          <w:right w:w="115" w:type="dxa"/>
        </w:tblCellMar>
        <w:tblLook w:val="04A0" w:firstRow="1" w:lastRow="0" w:firstColumn="1" w:lastColumn="0" w:noHBand="0" w:noVBand="1"/>
      </w:tblPr>
      <w:tblGrid>
        <w:gridCol w:w="1613"/>
        <w:gridCol w:w="9106"/>
      </w:tblGrid>
      <w:tr w:rsidR="007F4C89" w14:paraId="7F1EEEC5" w14:textId="77777777" w:rsidTr="00935EAA">
        <w:trPr>
          <w:trHeight w:hRule="exact" w:val="2340"/>
          <w:jc w:val="center"/>
        </w:trPr>
        <w:tc>
          <w:tcPr>
            <w:tcW w:w="1613" w:type="dxa"/>
            <w:shd w:val="clear" w:color="auto" w:fill="DBE5F1" w:themeFill="accent1" w:themeFillTint="33"/>
          </w:tcPr>
          <w:p w14:paraId="44A83422" w14:textId="77777777" w:rsidR="008F2011" w:rsidRDefault="008F2011" w:rsidP="00B05D87">
            <w:pPr>
              <w:spacing w:before="160" w:beforeAutospacing="0" w:after="160" w:afterAutospacing="0"/>
              <w:jc w:val="center"/>
              <w:rPr>
                <w:rFonts w:ascii="Arial" w:eastAsiaTheme="minorEastAsia" w:hAnsi="Arial"/>
                <w:b/>
                <w:color w:val="DBE5F1" w:themeColor="accent1" w:themeTint="33"/>
                <w:szCs w:val="24"/>
              </w:rPr>
            </w:pPr>
            <w:bookmarkStart w:id="0" w:name="_Toc237866621"/>
            <w:bookmarkStart w:id="1" w:name="_Toc237987295"/>
          </w:p>
        </w:tc>
        <w:tc>
          <w:tcPr>
            <w:tcW w:w="9106" w:type="dxa"/>
          </w:tcPr>
          <w:p w14:paraId="03E4E482" w14:textId="77777777" w:rsidR="008F2011" w:rsidRPr="00315B52" w:rsidRDefault="00994197" w:rsidP="00B05D87">
            <w:pPr>
              <w:spacing w:beforeAutospacing="0" w:afterAutospacing="0" w:line="288" w:lineRule="auto"/>
              <w:ind w:left="140" w:right="-504"/>
              <w:rPr>
                <w:rFonts w:ascii="Arial" w:eastAsiaTheme="minorEastAsia" w:hAnsi="Arial"/>
                <w:b/>
                <w:color w:val="31849B" w:themeColor="accent5" w:themeShade="BF"/>
                <w:sz w:val="68"/>
                <w:szCs w:val="68"/>
              </w:rPr>
            </w:pPr>
            <w:r>
              <w:rPr>
                <w:rFonts w:ascii="Arial" w:eastAsiaTheme="minorEastAsia" w:hAnsi="Arial"/>
                <w:b/>
                <w:color w:val="31849B" w:themeColor="accent5" w:themeShade="BF"/>
                <w:sz w:val="68"/>
                <w:szCs w:val="68"/>
              </w:rPr>
              <w:t>Nuclear Power Industrial Processing Initiative</w:t>
            </w:r>
          </w:p>
        </w:tc>
      </w:tr>
      <w:tr w:rsidR="007F4C89" w14:paraId="08893682" w14:textId="77777777" w:rsidTr="00E94E0E">
        <w:trPr>
          <w:trHeight w:hRule="exact" w:val="9054"/>
          <w:jc w:val="center"/>
        </w:trPr>
        <w:tc>
          <w:tcPr>
            <w:tcW w:w="1613" w:type="dxa"/>
            <w:shd w:val="clear" w:color="auto" w:fill="DBE5F1" w:themeFill="accent1" w:themeFillTint="33"/>
          </w:tcPr>
          <w:p w14:paraId="60BAE776" w14:textId="77777777" w:rsidR="008F2011" w:rsidRDefault="00994197" w:rsidP="00B05D87">
            <w:pPr>
              <w:spacing w:beforeAutospacing="0" w:afterAutospacing="0" w:line="216" w:lineRule="auto"/>
              <w:jc w:val="center"/>
              <w:rPr>
                <w:rFonts w:ascii="MS Gothic" w:eastAsia="MS Gothic" w:hAnsi="MS Gothic" w:cs="MS Gothic"/>
                <w:b/>
                <w:color w:val="E67E22"/>
                <w:sz w:val="16"/>
              </w:rPr>
            </w:pPr>
            <w:r>
              <w:rPr>
                <w:rFonts w:ascii="MS Gothic" w:eastAsia="MS Gothic" w:hAnsi="MS Gothic" w:cs="MS Gothic"/>
                <w:b/>
                <w:color w:val="E67E22"/>
                <w:sz w:val="16"/>
              </w:rPr>
              <w:t>━━━━━━━</w:t>
            </w:r>
          </w:p>
          <w:p w14:paraId="7D4E8948" w14:textId="77777777" w:rsidR="008F2011" w:rsidRDefault="00994197" w:rsidP="00B05D87">
            <w:pPr>
              <w:spacing w:before="240" w:beforeAutospacing="0" w:after="80" w:afterAutospacing="0"/>
              <w:jc w:val="center"/>
              <w:rPr>
                <w:rFonts w:ascii="Arial" w:eastAsiaTheme="minorEastAsia" w:hAnsi="Arial"/>
                <w:b/>
                <w:color w:val="31849B" w:themeColor="accent5" w:themeShade="BF"/>
                <w:szCs w:val="24"/>
              </w:rPr>
            </w:pPr>
            <w:r>
              <w:rPr>
                <w:rFonts w:ascii="Arial" w:eastAsiaTheme="minorEastAsia" w:hAnsi="Arial"/>
                <w:b/>
                <w:color w:val="31849B" w:themeColor="accent5" w:themeShade="BF"/>
                <w:sz w:val="22"/>
                <w:szCs w:val="24"/>
              </w:rPr>
              <w:t>CLIMATE</w:t>
            </w:r>
          </w:p>
          <w:p w14:paraId="48F5932E" w14:textId="77777777" w:rsidR="008F2011" w:rsidRDefault="00994197" w:rsidP="00B05D87">
            <w:pPr>
              <w:spacing w:before="80" w:beforeAutospacing="0" w:after="80" w:afterAutospacing="0"/>
              <w:jc w:val="center"/>
              <w:rPr>
                <w:rFonts w:ascii="Arial" w:eastAsiaTheme="minorEastAsia" w:hAnsi="Arial"/>
                <w:b/>
                <w:color w:val="31849B" w:themeColor="accent5" w:themeShade="BF"/>
                <w:szCs w:val="24"/>
              </w:rPr>
            </w:pPr>
            <w:r>
              <w:rPr>
                <w:rFonts w:ascii="Arial" w:eastAsiaTheme="minorEastAsia" w:hAnsi="Arial"/>
                <w:b/>
                <w:color w:val="31849B" w:themeColor="accent5" w:themeShade="BF"/>
                <w:sz w:val="22"/>
                <w:szCs w:val="24"/>
              </w:rPr>
              <w:t>MOONSHOT</w:t>
            </w:r>
          </w:p>
          <w:p w14:paraId="101C27A7" w14:textId="77777777" w:rsidR="008F2011" w:rsidRPr="00661F83" w:rsidRDefault="00994197" w:rsidP="00B05D87">
            <w:pPr>
              <w:spacing w:before="80" w:beforeAutospacing="0" w:after="240" w:afterAutospacing="0"/>
              <w:jc w:val="center"/>
              <w:rPr>
                <w:rFonts w:ascii="Arial" w:eastAsiaTheme="minorEastAsia" w:hAnsi="Arial"/>
                <w:b/>
                <w:color w:val="31849B" w:themeColor="accent5" w:themeShade="BF"/>
                <w:szCs w:val="24"/>
              </w:rPr>
            </w:pPr>
            <w:r>
              <w:rPr>
                <w:rFonts w:ascii="Arial" w:eastAsiaTheme="minorEastAsia" w:hAnsi="Arial"/>
                <w:b/>
                <w:color w:val="31849B" w:themeColor="accent5" w:themeShade="BF"/>
                <w:sz w:val="22"/>
                <w:szCs w:val="24"/>
              </w:rPr>
              <w:t>PORTFOLIO</w:t>
            </w:r>
          </w:p>
          <w:p w14:paraId="2329E047" w14:textId="77777777" w:rsidR="008F2011" w:rsidRDefault="00994197" w:rsidP="00B05D87">
            <w:pPr>
              <w:spacing w:before="280" w:beforeAutospacing="0" w:after="40" w:afterAutospacing="0"/>
              <w:jc w:val="center"/>
              <w:rPr>
                <w:rFonts w:ascii="Arial" w:eastAsiaTheme="minorEastAsia" w:hAnsi="Arial"/>
                <w:bCs/>
                <w:i/>
                <w:iCs/>
                <w:color w:val="31849B" w:themeColor="accent5" w:themeShade="BF"/>
                <w:szCs w:val="24"/>
              </w:rPr>
            </w:pPr>
            <w:r>
              <w:rPr>
                <w:rFonts w:ascii="Arial" w:eastAsiaTheme="minorEastAsia" w:hAnsi="Arial"/>
                <w:bCs/>
                <w:i/>
                <w:iCs/>
                <w:color w:val="31849B" w:themeColor="accent5" w:themeShade="BF"/>
                <w:szCs w:val="24"/>
              </w:rPr>
              <w:t>Billions to</w:t>
            </w:r>
          </w:p>
          <w:p w14:paraId="188DB686" w14:textId="77777777" w:rsidR="008F2011" w:rsidRDefault="00994197" w:rsidP="00B05D87">
            <w:pPr>
              <w:spacing w:beforeAutospacing="0" w:afterAutospacing="0" w:line="216" w:lineRule="auto"/>
              <w:jc w:val="center"/>
              <w:rPr>
                <w:rFonts w:ascii="Arial" w:eastAsiaTheme="minorEastAsia" w:hAnsi="Arial"/>
                <w:b/>
                <w:color w:val="DBE5F1" w:themeColor="accent1" w:themeTint="33"/>
                <w:szCs w:val="24"/>
              </w:rPr>
            </w:pPr>
            <w:r>
              <w:rPr>
                <w:rFonts w:ascii="Arial" w:eastAsiaTheme="minorEastAsia" w:hAnsi="Arial"/>
                <w:bCs/>
                <w:i/>
                <w:iCs/>
                <w:color w:val="31849B" w:themeColor="accent5" w:themeShade="BF"/>
                <w:szCs w:val="24"/>
              </w:rPr>
              <w:t>save trillions</w:t>
            </w:r>
          </w:p>
        </w:tc>
        <w:tc>
          <w:tcPr>
            <w:tcW w:w="9106" w:type="dxa"/>
          </w:tcPr>
          <w:p w14:paraId="0F9FE509" w14:textId="77777777" w:rsidR="008F2011" w:rsidRDefault="00994197" w:rsidP="00B05D87">
            <w:pPr>
              <w:spacing w:beforeAutospacing="0" w:afterAutospacing="0" w:line="216" w:lineRule="auto"/>
              <w:ind w:left="144" w:right="-504"/>
              <w:rPr>
                <w:rFonts w:ascii="MS Gothic" w:eastAsia="MS Gothic" w:hAnsi="MS Gothic" w:cs="MS Gothic"/>
                <w:b/>
                <w:color w:val="E67E22"/>
                <w:sz w:val="16"/>
              </w:rPr>
            </w:pPr>
            <w:r>
              <w:rPr>
                <w:rFonts w:ascii="MS Gothic" w:eastAsia="MS Gothic" w:hAnsi="MS Gothic" w:cs="MS Gothic"/>
                <w:b/>
                <w:color w:val="E67E22"/>
                <w:sz w:val="16"/>
              </w:rPr>
              <w:t>━━━━━━━━━━━━━━━━━━━━━━━━━━━━━━━━━━━━━━━━━━━━━━━━━━━</w:t>
            </w:r>
          </w:p>
          <w:p w14:paraId="04224026" w14:textId="77777777" w:rsidR="008F2011" w:rsidRDefault="00994197" w:rsidP="00B05D87">
            <w:pPr>
              <w:spacing w:before="200" w:beforeAutospacing="0" w:afterAutospacing="0"/>
              <w:ind w:left="144"/>
              <w:rPr>
                <w:rFonts w:ascii="Arial" w:eastAsiaTheme="minorEastAsia" w:hAnsi="Arial"/>
                <w:color w:val="6F7780"/>
              </w:rPr>
            </w:pPr>
            <w:r>
              <w:rPr>
                <w:rFonts w:ascii="Arial" w:eastAsiaTheme="minorEastAsia" w:hAnsi="Arial"/>
                <w:b/>
                <w:color w:val="6F7780"/>
                <w:sz w:val="30"/>
              </w:rPr>
              <w:t>Proposed $1 Billion / Five-Year R&amp;D Program</w:t>
            </w:r>
          </w:p>
          <w:p w14:paraId="310395EC" w14:textId="77777777" w:rsidR="008F2011" w:rsidRDefault="00994197" w:rsidP="00B05D87">
            <w:pPr>
              <w:spacing w:before="120" w:beforeAutospacing="0" w:afterAutospacing="0"/>
              <w:ind w:left="144"/>
              <w:rPr>
                <w:rFonts w:ascii="Arial" w:eastAsiaTheme="minorEastAsia" w:hAnsi="Arial"/>
                <w:b/>
                <w:color w:val="6F7780"/>
                <w:sz w:val="19"/>
              </w:rPr>
            </w:pPr>
            <w:r>
              <w:rPr>
                <w:rFonts w:ascii="Arial" w:eastAsiaTheme="minorEastAsia" w:hAnsi="Arial"/>
                <w:b/>
                <w:color w:val="6F7780"/>
                <w:sz w:val="19"/>
              </w:rPr>
              <w:t>31 INDUSTRIAL PROCESSING PLATFORMS</w:t>
            </w:r>
          </w:p>
          <w:p w14:paraId="719B4756" w14:textId="77777777" w:rsidR="008F2011" w:rsidRDefault="00994197" w:rsidP="00B05D87">
            <w:pPr>
              <w:spacing w:before="120" w:beforeAutospacing="0" w:afterAutospacing="0"/>
              <w:ind w:left="144"/>
              <w:rPr>
                <w:rFonts w:ascii="Arial" w:eastAsiaTheme="minorEastAsia" w:hAnsi="Arial"/>
                <w:b/>
                <w:color w:val="6F7780"/>
                <w:sz w:val="19"/>
              </w:rPr>
            </w:pPr>
            <w:r>
              <w:rPr>
                <w:rFonts w:ascii="Arial" w:eastAsiaTheme="minorEastAsia" w:hAnsi="Arial"/>
                <w:b/>
                <w:color w:val="6F7780"/>
                <w:sz w:val="19"/>
              </w:rPr>
              <w:t>STANDARDS DEVELOPMENT</w:t>
            </w:r>
          </w:p>
          <w:p w14:paraId="6D0CAED1" w14:textId="77777777" w:rsidR="008F2011" w:rsidRDefault="008F2011" w:rsidP="00B05D87">
            <w:pPr>
              <w:spacing w:before="120" w:beforeAutospacing="0" w:afterAutospacing="0"/>
              <w:ind w:left="144"/>
              <w:rPr>
                <w:rFonts w:ascii="Arial" w:eastAsiaTheme="minorEastAsia" w:hAnsi="Arial"/>
                <w:color w:val="6F7780"/>
              </w:rPr>
            </w:pPr>
          </w:p>
          <w:p w14:paraId="1A9B7C71" w14:textId="7650A549" w:rsidR="008F2011" w:rsidRDefault="007D2CDC" w:rsidP="00B05D87">
            <w:pPr>
              <w:spacing w:before="480" w:beforeAutospacing="0" w:after="480" w:afterAutospacing="0"/>
              <w:ind w:left="144"/>
              <w:rPr>
                <w:rFonts w:ascii="Arial" w:eastAsiaTheme="minorEastAsia" w:hAnsi="Arial"/>
              </w:rPr>
            </w:pPr>
            <w:r>
              <w:object w:dxaOrig="16720" w:dyaOrig="9410" w14:anchorId="217889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5pt;height:207.5pt" o:ole="">
                  <v:imagedata r:id="rId8" o:title=""/>
                </v:shape>
                <o:OLEObject Type="Embed" ProgID="PBrush" ShapeID="_x0000_i1025" DrawAspect="Content" ObjectID="_1848825947" r:id="rId9"/>
              </w:object>
            </w:r>
          </w:p>
          <w:p w14:paraId="5A01BFE9" w14:textId="77777777" w:rsidR="008F2011" w:rsidRDefault="00994197" w:rsidP="00B05D87">
            <w:pPr>
              <w:spacing w:beforeAutospacing="0" w:after="80" w:afterAutospacing="0"/>
              <w:ind w:left="140"/>
              <w:rPr>
                <w:rFonts w:ascii="Arial" w:eastAsiaTheme="minorEastAsia" w:hAnsi="Arial"/>
                <w:b/>
                <w:color w:val="1F4E79"/>
                <w:sz w:val="27"/>
              </w:rPr>
            </w:pPr>
            <w:r>
              <w:rPr>
                <w:rFonts w:ascii="Arial" w:eastAsiaTheme="minorEastAsia" w:hAnsi="Arial"/>
                <w:b/>
                <w:color w:val="1F4E79"/>
                <w:sz w:val="27"/>
              </w:rPr>
              <w:t>By Glenn Weinreb</w:t>
            </w:r>
          </w:p>
          <w:p w14:paraId="102C24B7" w14:textId="77777777" w:rsidR="008F2011" w:rsidRPr="0003219B" w:rsidRDefault="00994197" w:rsidP="00B05D87">
            <w:pPr>
              <w:spacing w:beforeAutospacing="0" w:after="200" w:afterAutospacing="0"/>
              <w:ind w:left="144"/>
              <w:rPr>
                <w:rFonts w:ascii="Arial" w:eastAsiaTheme="minorEastAsia" w:hAnsi="Arial"/>
              </w:rPr>
            </w:pPr>
            <w:r>
              <w:rPr>
                <w:rFonts w:ascii="Arial" w:eastAsiaTheme="minorEastAsia" w:hAnsi="Arial"/>
                <w:i/>
                <w:color w:val="1F4E79"/>
                <w:sz w:val="25"/>
              </w:rPr>
              <w:t>Developed with assistance from ChatGPT</w:t>
            </w:r>
          </w:p>
        </w:tc>
      </w:tr>
      <w:tr w:rsidR="007F4C89" w14:paraId="0AFAFED7" w14:textId="77777777" w:rsidTr="00315B52">
        <w:trPr>
          <w:trHeight w:hRule="exact" w:val="1800"/>
          <w:jc w:val="center"/>
        </w:trPr>
        <w:tc>
          <w:tcPr>
            <w:tcW w:w="1613" w:type="dxa"/>
            <w:shd w:val="clear" w:color="auto" w:fill="DBE5F1" w:themeFill="accent1" w:themeFillTint="33"/>
          </w:tcPr>
          <w:p w14:paraId="12FCCB48" w14:textId="77777777" w:rsidR="008F2011" w:rsidRDefault="00994197" w:rsidP="00B05D87">
            <w:pPr>
              <w:spacing w:beforeAutospacing="0" w:afterAutospacing="0" w:line="216" w:lineRule="auto"/>
              <w:jc w:val="center"/>
              <w:rPr>
                <w:rFonts w:ascii="MS Gothic" w:eastAsia="MS Gothic" w:hAnsi="MS Gothic" w:cs="MS Gothic"/>
                <w:b/>
                <w:color w:val="E67E22"/>
                <w:sz w:val="16"/>
              </w:rPr>
            </w:pPr>
            <w:r>
              <w:rPr>
                <w:rFonts w:ascii="MS Gothic" w:eastAsia="MS Gothic" w:hAnsi="MS Gothic" w:cs="MS Gothic"/>
                <w:b/>
                <w:color w:val="E67E22"/>
                <w:sz w:val="16"/>
              </w:rPr>
              <w:t>━━━━━━━</w:t>
            </w:r>
          </w:p>
          <w:p w14:paraId="070F4986" w14:textId="77777777" w:rsidR="008F2011" w:rsidRDefault="00994197" w:rsidP="00B05D87">
            <w:pPr>
              <w:spacing w:before="80" w:beforeAutospacing="0" w:after="160" w:afterAutospacing="0"/>
              <w:jc w:val="center"/>
              <w:rPr>
                <w:rFonts w:ascii="Arial" w:eastAsiaTheme="minorEastAsia" w:hAnsi="Arial"/>
                <w:b/>
                <w:color w:val="31849B" w:themeColor="accent5" w:themeShade="BF"/>
                <w:szCs w:val="24"/>
              </w:rPr>
            </w:pPr>
            <w:r>
              <w:rPr>
                <w:rFonts w:ascii="Arial" w:eastAsiaTheme="minorEastAsia" w:hAnsi="Arial"/>
                <w:b/>
                <w:color w:val="31849B" w:themeColor="accent5" w:themeShade="BF"/>
                <w:sz w:val="22"/>
                <w:szCs w:val="24"/>
              </w:rPr>
              <w:t>OPEN</w:t>
            </w:r>
          </w:p>
          <w:p w14:paraId="70844E47" w14:textId="77777777" w:rsidR="008F2011" w:rsidRDefault="00994197" w:rsidP="00B05D87">
            <w:pPr>
              <w:spacing w:before="80" w:beforeAutospacing="0" w:after="80" w:afterAutospacing="0"/>
              <w:jc w:val="center"/>
              <w:rPr>
                <w:rFonts w:ascii="Arial" w:eastAsiaTheme="minorEastAsia" w:hAnsi="Arial"/>
                <w:b/>
                <w:color w:val="31849B" w:themeColor="accent5" w:themeShade="BF"/>
                <w:szCs w:val="24"/>
              </w:rPr>
            </w:pPr>
            <w:r>
              <w:rPr>
                <w:rFonts w:ascii="Arial" w:eastAsiaTheme="minorEastAsia" w:hAnsi="Arial"/>
                <w:b/>
                <w:color w:val="31849B" w:themeColor="accent5" w:themeShade="BF"/>
                <w:sz w:val="22"/>
                <w:szCs w:val="24"/>
              </w:rPr>
              <w:t>SOURCE</w:t>
            </w:r>
          </w:p>
          <w:p w14:paraId="1EBBE744" w14:textId="77777777" w:rsidR="008F2011" w:rsidRDefault="008F2011" w:rsidP="00B05D87">
            <w:pPr>
              <w:spacing w:beforeAutospacing="0" w:afterAutospacing="0" w:line="216" w:lineRule="auto"/>
              <w:jc w:val="center"/>
              <w:rPr>
                <w:rFonts w:ascii="MS Gothic" w:eastAsia="MS Gothic" w:hAnsi="MS Gothic" w:cs="MS Gothic"/>
                <w:b/>
                <w:color w:val="E67E22"/>
                <w:sz w:val="16"/>
              </w:rPr>
            </w:pPr>
          </w:p>
        </w:tc>
        <w:tc>
          <w:tcPr>
            <w:tcW w:w="9106" w:type="dxa"/>
          </w:tcPr>
          <w:p w14:paraId="29A3DDB7" w14:textId="77777777" w:rsidR="008F2011" w:rsidRDefault="00994197" w:rsidP="00B05D87">
            <w:pPr>
              <w:spacing w:beforeAutospacing="0" w:afterAutospacing="0" w:line="216" w:lineRule="auto"/>
              <w:ind w:left="144" w:right="-504"/>
              <w:rPr>
                <w:rFonts w:ascii="MS Gothic" w:eastAsia="MS Gothic" w:hAnsi="MS Gothic" w:cs="MS Gothic"/>
                <w:b/>
                <w:color w:val="E67E22"/>
                <w:sz w:val="16"/>
              </w:rPr>
            </w:pPr>
            <w:r>
              <w:rPr>
                <w:rFonts w:ascii="MS Gothic" w:eastAsia="MS Gothic" w:hAnsi="MS Gothic" w:cs="MS Gothic"/>
                <w:b/>
                <w:color w:val="E67E22"/>
                <w:sz w:val="16"/>
              </w:rPr>
              <w:t>━━━━━━━━━━━━━━━━━━━━━━━━━━━━━━━━━━━━━━━━━━━━━━━━━━━</w:t>
            </w:r>
          </w:p>
          <w:p w14:paraId="0E7D904C" w14:textId="77777777" w:rsidR="008F2011" w:rsidRPr="003401F9" w:rsidRDefault="008F2011" w:rsidP="00B05D87">
            <w:pPr>
              <w:spacing w:before="80" w:beforeAutospacing="0" w:after="200" w:afterAutospacing="0"/>
              <w:ind w:left="144"/>
              <w:rPr>
                <w:rFonts w:ascii="Arial" w:eastAsiaTheme="minorEastAsia" w:hAnsi="Arial" w:cs="Arial"/>
                <w:sz w:val="20"/>
                <w:szCs w:val="20"/>
              </w:rPr>
            </w:pPr>
            <w:hyperlink r:id="rId10">
              <w:r w:rsidRPr="003401F9">
                <w:rPr>
                  <w:rFonts w:ascii="Arial" w:eastAsiaTheme="minorEastAsia" w:hAnsi="Arial" w:cs="Arial"/>
                  <w:color w:val="4A5056"/>
                  <w:sz w:val="20"/>
                  <w:szCs w:val="20"/>
                  <w:u w:val="single"/>
                </w:rPr>
                <w:t>Original files</w:t>
              </w:r>
            </w:hyperlink>
            <w:r w:rsidRPr="003401F9">
              <w:rPr>
                <w:rFonts w:ascii="Arial" w:eastAsiaTheme="minorEastAsia" w:hAnsi="Arial" w:cs="Arial"/>
                <w:color w:val="4A5056"/>
                <w:sz w:val="20"/>
                <w:szCs w:val="20"/>
              </w:rPr>
              <w:t xml:space="preserve"> are free to copy and modify under the </w:t>
            </w:r>
            <w:hyperlink r:id="rId11">
              <w:r w:rsidRPr="003401F9">
                <w:rPr>
                  <w:rFonts w:ascii="Arial" w:eastAsiaTheme="minorEastAsia" w:hAnsi="Arial" w:cs="Arial"/>
                  <w:color w:val="4A5056"/>
                  <w:sz w:val="20"/>
                  <w:szCs w:val="20"/>
                  <w:u w:val="single"/>
                </w:rPr>
                <w:t>CC BY 4.0</w:t>
              </w:r>
            </w:hyperlink>
            <w:r w:rsidRPr="003401F9">
              <w:rPr>
                <w:rFonts w:ascii="Arial" w:eastAsiaTheme="minorEastAsia" w:hAnsi="Arial" w:cs="Arial"/>
                <w:color w:val="4A5056"/>
                <w:sz w:val="20"/>
                <w:szCs w:val="20"/>
              </w:rPr>
              <w:t xml:space="preserve"> open-source license.</w:t>
            </w:r>
          </w:p>
          <w:p w14:paraId="02156CC9" w14:textId="18D19530" w:rsidR="008F2011" w:rsidRDefault="00FD2BED" w:rsidP="00B05D87">
            <w:pPr>
              <w:spacing w:beforeAutospacing="0" w:afterAutospacing="0" w:line="216" w:lineRule="auto"/>
              <w:ind w:left="144" w:right="-504"/>
              <w:rPr>
                <w:rFonts w:ascii="MS Gothic" w:eastAsia="MS Gothic" w:hAnsi="MS Gothic" w:cs="MS Gothic"/>
                <w:b/>
                <w:color w:val="E67E22"/>
                <w:sz w:val="16"/>
              </w:rPr>
            </w:pPr>
            <w:r w:rsidRPr="00FD2BED">
              <w:rPr>
                <w:rFonts w:ascii="Arial" w:eastAsia="MS Mincho" w:hAnsi="Arial" w:cs="Arial"/>
                <w:color w:val="4A5056"/>
                <w:sz w:val="20"/>
                <w:szCs w:val="20"/>
              </w:rPr>
              <w:t>August 2</w:t>
            </w:r>
            <w:r w:rsidR="003D3C0A">
              <w:rPr>
                <w:rFonts w:ascii="Arial" w:eastAsia="MS Mincho" w:hAnsi="Arial" w:cs="Arial"/>
                <w:color w:val="4A5056"/>
                <w:sz w:val="20"/>
                <w:szCs w:val="20"/>
              </w:rPr>
              <w:t>1</w:t>
            </w:r>
            <w:r w:rsidRPr="00FD2BED">
              <w:rPr>
                <w:rFonts w:ascii="Arial" w:eastAsia="MS Mincho" w:hAnsi="Arial" w:cs="Arial"/>
                <w:color w:val="4A5056"/>
                <w:sz w:val="20"/>
                <w:szCs w:val="20"/>
              </w:rPr>
              <w:t>, 2026 | v2</w:t>
            </w:r>
            <w:r w:rsidR="003D3C0A">
              <w:rPr>
                <w:rFonts w:ascii="Arial" w:eastAsia="MS Mincho" w:hAnsi="Arial" w:cs="Arial"/>
                <w:color w:val="4A5056"/>
                <w:sz w:val="20"/>
                <w:szCs w:val="20"/>
              </w:rPr>
              <w:t>h</w:t>
            </w:r>
            <w:r w:rsidRPr="00FD2BED">
              <w:rPr>
                <w:rFonts w:ascii="Arial" w:eastAsia="MS Mincho" w:hAnsi="Arial" w:cs="Arial"/>
                <w:color w:val="4A5056"/>
                <w:sz w:val="20"/>
                <w:szCs w:val="20"/>
              </w:rPr>
              <w:t xml:space="preserve"> | Copyright © 2026 by Glenn Weinreb | </w:t>
            </w:r>
            <w:hyperlink r:id="rId12" w:history="1">
              <w:r w:rsidRPr="00FD2BED">
                <w:rPr>
                  <w:rFonts w:ascii="Arial" w:eastAsia="Cambria" w:hAnsi="Arial" w:cs="Arial"/>
                  <w:color w:val="7F7F7F" w:themeColor="text1" w:themeTint="80"/>
                  <w:sz w:val="20"/>
                  <w:szCs w:val="20"/>
                  <w:u w:val="single"/>
                  <w:shd w:val="clear" w:color="auto" w:fill="FFFFFF"/>
                </w:rPr>
                <w:t>www.APlanToSaveThePlanet.org</w:t>
              </w:r>
            </w:hyperlink>
          </w:p>
        </w:tc>
      </w:tr>
    </w:tbl>
    <w:p w14:paraId="5A0F2AD7" w14:textId="77777777" w:rsidR="00B079CC" w:rsidRDefault="00994197">
      <w:pPr>
        <w:pStyle w:val="Heading1"/>
      </w:pPr>
      <w:bookmarkStart w:id="2" w:name="_Toc238129752"/>
      <w:bookmarkStart w:id="3" w:name="_Toc238205535"/>
      <w:r>
        <w:lastRenderedPageBreak/>
        <w:t>Executive Summary</w:t>
      </w:r>
      <w:bookmarkEnd w:id="0"/>
      <w:bookmarkEnd w:id="2"/>
      <w:bookmarkEnd w:id="3"/>
    </w:p>
    <w:p w14:paraId="12EB5570" w14:textId="77777777" w:rsidR="00B079CC" w:rsidRDefault="00994197">
      <w:r w:rsidRPr="002A63AF">
        <w:rPr>
          <w:b/>
          <w:color w:val="4F81BD" w:themeColor="accent1"/>
        </w:rPr>
        <w:t>Purpose.</w:t>
      </w:r>
      <w:r>
        <w:rPr>
          <w:b/>
        </w:rPr>
        <w:t xml:space="preserve"> </w:t>
      </w:r>
      <w:r>
        <w:t xml:space="preserve">This proposed $1 billion, five-year R&amp;D initiative develops standardized, factory-built industrial-processing platforms and the shared infrastructure needed to use low-carbon nuclear electricity and heat at large industrial sites. The reference architecture combines automated Chinese PWR and HTR heat/electricity assumptions with a portfolio of 31 repeatable industrial-processing platform families built on a 12 m-wide modular envelope, normally in 24 m increments up to a 96 m four-module platform, including </w:t>
      </w:r>
      <w:r>
        <w:t>low- and medium-temperature process heat, high-temperature heat, direct air capture, hydrogen and ammonia production, and supporting industrial utilities. It is an R&amp;D and demonstration program, not a budget to build or operate a licensed nuclear-industrial complex.</w:t>
      </w:r>
    </w:p>
    <w:p w14:paraId="69395DFC" w14:textId="77777777" w:rsidR="00B079CC" w:rsidRDefault="00994197">
      <w:r w:rsidRPr="002A63AF">
        <w:rPr>
          <w:b/>
          <w:color w:val="4F81BD" w:themeColor="accent1"/>
        </w:rPr>
        <w:t>Economic hypothesis.</w:t>
      </w:r>
      <w:r>
        <w:rPr>
          <w:b/>
        </w:rPr>
        <w:t xml:space="preserve"> </w:t>
      </w:r>
      <w:r>
        <w:t>Factory fabrication, standardized interfaces, heat cascading, industrial heat pumps and mechanical-vapor recompression, modular transport, and repeated operation may lower the cost of replacing fossil-fired industrial heat and chemical production. PWR electricity and low/medium-temperature heat are emphasized where they are cheapest; HTR heat is reserved for processes that genuinely benefit from roughly 300–500°C service. Cost and climate benefits are treated as hypotheses to be measured, not guaranteed out</w:t>
      </w:r>
      <w:r>
        <w:t>comes.</w:t>
      </w:r>
    </w:p>
    <w:p w14:paraId="58D78482" w14:textId="77777777" w:rsidR="00B079CC" w:rsidRDefault="00994197">
      <w:r w:rsidRPr="002A63AF">
        <w:rPr>
          <w:b/>
          <w:color w:val="4F81BD" w:themeColor="accent1"/>
        </w:rPr>
        <w:t xml:space="preserve">Five-year work. </w:t>
      </w:r>
      <w:r>
        <w:t>The baseline technical program is $800 million with a centrally controlled $200 million risk reserve. It develops FEED/reference designs for all 31 platform families; substantial integrated pilots for roughly the highest-priority 8–12; hydrogen and ammonia systems; competing marine ammonia fuel-cell prototypes with long-duration testing; material-handling tunnels, storage and waterfront systems; heavy platform transport and ship/shore transfer; segmented electrified rail; machines for automated thermal-stor</w:t>
      </w:r>
      <w:r>
        <w:t>age-tank construction; open interface standards and interoperability testing; and a non-nuclear prototype campus with PWR-like and HTR-like heat loops, full-temperature flow/corrosion tests, and endurance campaigns.</w:t>
      </w:r>
    </w:p>
    <w:p w14:paraId="00D2ECDD" w14:textId="43389EF8" w:rsidR="00182712" w:rsidRDefault="00994197" w:rsidP="00444629">
      <w:r w:rsidRPr="002A63AF">
        <w:rPr>
          <w:b/>
          <w:color w:val="4F81BD" w:themeColor="accent1"/>
        </w:rPr>
        <w:t>Success criterion.</w:t>
      </w:r>
      <w:r>
        <w:rPr>
          <w:b/>
        </w:rPr>
        <w:t xml:space="preserve"> </w:t>
      </w:r>
      <w:r>
        <w:t>The objective is independently reproducible evidence on energy efficiency, process performance, availability, degradation, maintainability, safety, emissions, interface compatibility, transport and construction performance, cost, and CO₂ reduction. Success also requires open standards that allow multiple suppliers to connect equipment without bespoke redesign and decision-grade evidence for which platform families merit Phase II scale-up. The program does not guarantee specific electricity, heat, or industr</w:t>
      </w:r>
      <w:r>
        <w:t>ial-product costs, and it does not require nuclear fuel</w:t>
      </w:r>
      <w:r w:rsidR="004B1A0C">
        <w:t>.</w:t>
      </w:r>
      <w:bookmarkStart w:id="4" w:name="_Toc237471098"/>
    </w:p>
    <w:p w14:paraId="5CBD0074" w14:textId="01BEF517" w:rsidR="00444629" w:rsidRPr="00444629" w:rsidRDefault="00444629" w:rsidP="00444629">
      <w:r>
        <w:rPr>
          <w:b/>
          <w:bCs/>
          <w:color w:val="4F81BD" w:themeColor="accent1"/>
        </w:rPr>
        <w:t>Climate Moonshot Portfolio</w:t>
      </w:r>
      <w:r w:rsidRPr="00C3075A">
        <w:rPr>
          <w:b/>
          <w:bCs/>
          <w:color w:val="4F81BD" w:themeColor="accent1"/>
        </w:rPr>
        <w:t>.</w:t>
      </w:r>
      <w:r>
        <w:rPr>
          <w:b/>
          <w:bCs/>
          <w:color w:val="4F81BD" w:themeColor="accent1"/>
        </w:rPr>
        <w:t xml:space="preserve"> </w:t>
      </w:r>
      <w:r>
        <w:t>We define “Climate Moonshot” as conducting R&amp;D to the extent required to solve the climate problem.</w:t>
      </w:r>
      <w:r w:rsidRPr="005A216A">
        <w:t xml:space="preserve"> </w:t>
      </w:r>
      <w:r>
        <w:t>This would require</w:t>
      </w:r>
      <w:r w:rsidRPr="0024063D">
        <w:t xml:space="preserve"> a portfolio of R&amp;D initiatives</w:t>
      </w:r>
      <w:r>
        <w:t xml:space="preserve">, an example of which is at </w:t>
      </w:r>
      <w:hyperlink r:id="rId13" w:history="1">
        <w:r w:rsidRPr="00BD3531">
          <w:rPr>
            <w:rStyle w:val="bhyperlinkChar"/>
          </w:rPr>
          <w:t>www.APlanToSaveThePlanet.org</w:t>
        </w:r>
      </w:hyperlink>
      <w:r>
        <w:t xml:space="preserve">. The document you are reading is one initiative within that portfolio. It uses a </w:t>
      </w:r>
      <w:hyperlink r:id="rId14" w:anchor="framework" w:history="1">
        <w:r>
          <w:rPr>
            <w:rStyle w:val="bhyperlinkChar"/>
          </w:rPr>
          <w:t>C</w:t>
        </w:r>
        <w:r w:rsidRPr="00350320">
          <w:rPr>
            <w:rStyle w:val="bhyperlinkChar"/>
          </w:rPr>
          <w:t xml:space="preserve">ommon </w:t>
        </w:r>
        <w:r>
          <w:rPr>
            <w:rStyle w:val="bhyperlinkChar"/>
          </w:rPr>
          <w:t>F</w:t>
        </w:r>
        <w:r w:rsidRPr="00350320">
          <w:rPr>
            <w:rStyle w:val="bhyperlinkChar"/>
          </w:rPr>
          <w:t>ramework</w:t>
        </w:r>
      </w:hyperlink>
      <w:r>
        <w:t xml:space="preserve"> that </w:t>
      </w:r>
      <w:r w:rsidRPr="00444E9C">
        <w:t xml:space="preserve">establishes shared rules for governance, procurement, </w:t>
      </w:r>
      <w:r>
        <w:t>d</w:t>
      </w:r>
      <w:r w:rsidRPr="00444E9C">
        <w:t>ata rights, independent review, and oversight.</w:t>
      </w:r>
      <w:r>
        <w:t xml:space="preserve"> All documents within this portfolio are </w:t>
      </w:r>
      <w:hyperlink r:id="rId15" w:history="1">
        <w:r w:rsidRPr="002E0559">
          <w:rPr>
            <w:rStyle w:val="bhyperlinkChar"/>
          </w:rPr>
          <w:t>open-source</w:t>
        </w:r>
      </w:hyperlink>
      <w:r>
        <w:t xml:space="preserve"> and may be freely viewed, used, and modified.</w:t>
      </w:r>
    </w:p>
    <w:p w14:paraId="36D5830C" w14:textId="77777777" w:rsidR="00123818" w:rsidRDefault="00994197">
      <w:pPr>
        <w:pStyle w:val="Heading1"/>
      </w:pPr>
      <w:bookmarkStart w:id="5" w:name="_Toc238205536"/>
      <w:r>
        <w:lastRenderedPageBreak/>
        <w:t>Program at a Glance</w:t>
      </w:r>
      <w:bookmarkEnd w:id="5"/>
    </w:p>
    <w:p w14:paraId="66D37B66" w14:textId="77777777" w:rsidR="00123818" w:rsidRDefault="00994197" w:rsidP="004B1A0C">
      <w:r>
        <w:t>The program is a modular industrial-systems R&amp;D effort. It develops repeatable process platforms and the shared logistics, standards, test infrastructure, and decision evidence needed to determine which applications justify later scale-up.</w:t>
      </w:r>
    </w:p>
    <w:tbl>
      <w:tblPr>
        <w:tblStyle w:val="gswTableStyle"/>
        <w:tblW w:w="10417" w:type="dxa"/>
        <w:tblLayout w:type="fixed"/>
        <w:tblLook w:val="04A0" w:firstRow="1" w:lastRow="0" w:firstColumn="1" w:lastColumn="0" w:noHBand="0" w:noVBand="1"/>
      </w:tblPr>
      <w:tblGrid>
        <w:gridCol w:w="2545"/>
        <w:gridCol w:w="7872"/>
      </w:tblGrid>
      <w:tr w:rsidR="009C3A0E" w14:paraId="34106016" w14:textId="77777777" w:rsidTr="00751F09">
        <w:trPr>
          <w:cnfStyle w:val="100000000000" w:firstRow="1" w:lastRow="0" w:firstColumn="0" w:lastColumn="0" w:oddVBand="0" w:evenVBand="0" w:oddHBand="0" w:evenHBand="0" w:firstRowFirstColumn="0" w:firstRowLastColumn="0" w:lastRowFirstColumn="0" w:lastRowLastColumn="0"/>
        </w:trPr>
        <w:tc>
          <w:tcPr>
            <w:tcW w:w="2545" w:type="dxa"/>
          </w:tcPr>
          <w:p w14:paraId="5A31F5EF" w14:textId="77777777" w:rsidR="009C3A0E" w:rsidRDefault="00994197">
            <w:pPr>
              <w:pStyle w:val="cTableHeader"/>
              <w:keepNext/>
              <w:spacing w:before="0" w:after="0"/>
            </w:pPr>
            <w:r>
              <w:t>Item</w:t>
            </w:r>
          </w:p>
        </w:tc>
        <w:tc>
          <w:tcPr>
            <w:tcW w:w="7872" w:type="dxa"/>
          </w:tcPr>
          <w:p w14:paraId="49B4B1A8" w14:textId="77777777" w:rsidR="009C3A0E" w:rsidRDefault="00994197">
            <w:pPr>
              <w:pStyle w:val="cTableHeader"/>
              <w:keepNext/>
              <w:spacing w:before="0" w:after="0"/>
            </w:pPr>
            <w:r>
              <w:t>Program design</w:t>
            </w:r>
          </w:p>
        </w:tc>
      </w:tr>
      <w:tr w:rsidR="009C3A0E" w14:paraId="4A692802" w14:textId="77777777" w:rsidTr="00751F09">
        <w:tc>
          <w:tcPr>
            <w:tcW w:w="2545" w:type="dxa"/>
          </w:tcPr>
          <w:p w14:paraId="7342EE9A" w14:textId="77777777" w:rsidR="009C3A0E" w:rsidRDefault="00994197">
            <w:pPr>
              <w:pStyle w:val="cTableBody"/>
              <w:keepNext/>
              <w:spacing w:before="0" w:beforeAutospacing="0" w:afterAutospacing="0"/>
            </w:pPr>
            <w:r>
              <w:t>Total funding and duration</w:t>
            </w:r>
          </w:p>
        </w:tc>
        <w:tc>
          <w:tcPr>
            <w:tcW w:w="7872" w:type="dxa"/>
          </w:tcPr>
          <w:p w14:paraId="69C87624" w14:textId="77777777" w:rsidR="009C3A0E" w:rsidRDefault="00994197">
            <w:pPr>
              <w:pStyle w:val="cTableBody"/>
              <w:keepNext/>
              <w:spacing w:before="0" w:beforeAutospacing="0" w:afterAutospacing="0"/>
            </w:pPr>
            <w:r>
              <w:t>$1.0 billion over five years.</w:t>
            </w:r>
          </w:p>
        </w:tc>
      </w:tr>
      <w:tr w:rsidR="009C3A0E" w14:paraId="2AA1C233" w14:textId="77777777" w:rsidTr="00751F09">
        <w:tc>
          <w:tcPr>
            <w:tcW w:w="2545" w:type="dxa"/>
          </w:tcPr>
          <w:p w14:paraId="3F30A1E7" w14:textId="77777777" w:rsidR="009C3A0E" w:rsidRDefault="00994197">
            <w:pPr>
              <w:pStyle w:val="cTableBody"/>
              <w:keepNext/>
              <w:spacing w:before="0" w:beforeAutospacing="0" w:afterAutospacing="0"/>
            </w:pPr>
            <w:r>
              <w:t>Mission</w:t>
            </w:r>
          </w:p>
        </w:tc>
        <w:tc>
          <w:tcPr>
            <w:tcW w:w="7872" w:type="dxa"/>
          </w:tcPr>
          <w:p w14:paraId="47BFF834" w14:textId="77777777" w:rsidR="009C3A0E" w:rsidRDefault="00994197">
            <w:pPr>
              <w:pStyle w:val="cTableBody"/>
              <w:keepNext/>
              <w:spacing w:before="0" w:beforeAutospacing="0" w:afterAutospacing="0"/>
            </w:pPr>
            <w:r>
              <w:t>Develop standardized, factory-built industrial-processing systems that use low-carbon nuclear heat/electricity and can beat fossil alternatives on delivered cost and CO₂ reduction.</w:t>
            </w:r>
          </w:p>
        </w:tc>
      </w:tr>
      <w:tr w:rsidR="009C3A0E" w14:paraId="49ABE20E" w14:textId="77777777" w:rsidTr="00751F09">
        <w:tc>
          <w:tcPr>
            <w:tcW w:w="2545" w:type="dxa"/>
          </w:tcPr>
          <w:p w14:paraId="1AA3FA2B" w14:textId="77777777" w:rsidR="009C3A0E" w:rsidRDefault="00994197">
            <w:pPr>
              <w:pStyle w:val="cTableBody"/>
              <w:keepNext/>
              <w:spacing w:before="0" w:beforeAutospacing="0" w:afterAutospacing="0"/>
            </w:pPr>
            <w:r>
              <w:t>Reference energy cases</w:t>
            </w:r>
          </w:p>
        </w:tc>
        <w:tc>
          <w:tcPr>
            <w:tcW w:w="7872" w:type="dxa"/>
          </w:tcPr>
          <w:p w14:paraId="1FC0FCB8" w14:textId="77777777" w:rsidR="009C3A0E" w:rsidRDefault="00994197">
            <w:pPr>
              <w:pStyle w:val="cTableBody"/>
              <w:keepNext/>
              <w:spacing w:before="0" w:beforeAutospacing="0" w:afterAutospacing="0"/>
            </w:pPr>
            <w:r>
              <w:t>Automated China PWR for lowest-cost electricity and low/medium-temperature heat; HTR-PM for processes that materially benefit from roughly 300–500°C heat.</w:t>
            </w:r>
          </w:p>
        </w:tc>
      </w:tr>
      <w:tr w:rsidR="009C3A0E" w14:paraId="690831C8" w14:textId="77777777" w:rsidTr="00751F09">
        <w:tc>
          <w:tcPr>
            <w:tcW w:w="2545" w:type="dxa"/>
          </w:tcPr>
          <w:p w14:paraId="620C0A4D" w14:textId="77777777" w:rsidR="009C3A0E" w:rsidRDefault="00994197">
            <w:pPr>
              <w:pStyle w:val="cTableBody"/>
              <w:keepNext/>
              <w:spacing w:before="0" w:beforeAutospacing="0" w:afterAutospacing="0"/>
            </w:pPr>
            <w:r>
              <w:t>Module architecture</w:t>
            </w:r>
          </w:p>
        </w:tc>
        <w:tc>
          <w:tcPr>
            <w:tcW w:w="7872" w:type="dxa"/>
          </w:tcPr>
          <w:p w14:paraId="02F4164D" w14:textId="77777777" w:rsidR="009C3A0E" w:rsidRDefault="00994197">
            <w:pPr>
              <w:pStyle w:val="cTableBody"/>
              <w:keepNext/>
              <w:spacing w:before="0" w:beforeAutospacing="0" w:afterAutospacing="0"/>
            </w:pPr>
            <w:r>
              <w:t>12 m-wide modules in 24 m increments; 12 × 24 through 12 × 96 m platforms with open mechanical, thermal, electrical, material, rail, safety, and data interfaces.</w:t>
            </w:r>
          </w:p>
        </w:tc>
      </w:tr>
      <w:tr w:rsidR="009C3A0E" w14:paraId="0F8F4B11" w14:textId="77777777" w:rsidTr="00751F09">
        <w:tc>
          <w:tcPr>
            <w:tcW w:w="2545" w:type="dxa"/>
          </w:tcPr>
          <w:p w14:paraId="7A6AAD22" w14:textId="77777777" w:rsidR="009C3A0E" w:rsidRDefault="00994197">
            <w:pPr>
              <w:pStyle w:val="cTableBody"/>
              <w:keepNext/>
              <w:spacing w:before="0" w:beforeAutospacing="0" w:afterAutospacing="0"/>
            </w:pPr>
            <w:r>
              <w:t>Platform portfolio</w:t>
            </w:r>
          </w:p>
        </w:tc>
        <w:tc>
          <w:tcPr>
            <w:tcW w:w="7872" w:type="dxa"/>
          </w:tcPr>
          <w:p w14:paraId="6980DC46" w14:textId="77777777" w:rsidR="009C3A0E" w:rsidRDefault="00994197">
            <w:pPr>
              <w:pStyle w:val="cTableBody"/>
              <w:keepNext/>
              <w:spacing w:before="0" w:beforeAutospacing="0" w:afterAutospacing="0"/>
            </w:pPr>
            <w:r>
              <w:t>31 platform-family reference designs; substantial integrated pilots for roughly the highest-priority 8–12; subsystem/test-article work for other viable families.</w:t>
            </w:r>
          </w:p>
        </w:tc>
      </w:tr>
      <w:tr w:rsidR="009C3A0E" w14:paraId="1567090A" w14:textId="77777777" w:rsidTr="00751F09">
        <w:tc>
          <w:tcPr>
            <w:tcW w:w="2545" w:type="dxa"/>
          </w:tcPr>
          <w:p w14:paraId="073F724B" w14:textId="77777777" w:rsidR="009C3A0E" w:rsidRDefault="00994197">
            <w:pPr>
              <w:pStyle w:val="cTableBody"/>
              <w:keepNext/>
              <w:spacing w:before="0" w:beforeAutospacing="0" w:afterAutospacing="0"/>
            </w:pPr>
            <w:r>
              <w:t>Major enabling systems</w:t>
            </w:r>
          </w:p>
        </w:tc>
        <w:tc>
          <w:tcPr>
            <w:tcW w:w="7872" w:type="dxa"/>
          </w:tcPr>
          <w:p w14:paraId="281053AE" w14:textId="77777777" w:rsidR="009C3A0E" w:rsidRDefault="00994197">
            <w:pPr>
              <w:pStyle w:val="cTableBody"/>
              <w:keepNext/>
              <w:spacing w:before="0" w:beforeAutospacing="0" w:afterAutospacing="0"/>
            </w:pPr>
            <w:r>
              <w:t>Hydrogen/ammonia, marine fuel cells, material handling, waterfront systems, heavy module transport, electrified rail, automated thermal-storage construction, and interoperability standards.</w:t>
            </w:r>
          </w:p>
        </w:tc>
      </w:tr>
      <w:tr w:rsidR="009C3A0E" w14:paraId="06BFBA0D" w14:textId="77777777" w:rsidTr="00751F09">
        <w:tc>
          <w:tcPr>
            <w:tcW w:w="2545" w:type="dxa"/>
          </w:tcPr>
          <w:p w14:paraId="2CD27B68" w14:textId="77777777" w:rsidR="009C3A0E" w:rsidRDefault="00994197">
            <w:pPr>
              <w:pStyle w:val="cTableBody"/>
              <w:keepNext/>
              <w:spacing w:before="0" w:beforeAutospacing="0" w:afterAutospacing="0"/>
            </w:pPr>
            <w:r>
              <w:t>Test architecture</w:t>
            </w:r>
          </w:p>
        </w:tc>
        <w:tc>
          <w:tcPr>
            <w:tcW w:w="7872" w:type="dxa"/>
          </w:tcPr>
          <w:p w14:paraId="21D51628" w14:textId="77777777" w:rsidR="009C3A0E" w:rsidRDefault="00994197">
            <w:pPr>
              <w:pStyle w:val="cTableBody"/>
              <w:keepNext/>
              <w:spacing w:before="0" w:beforeAutospacing="0" w:afterAutospacing="0"/>
            </w:pPr>
            <w:r>
              <w:t>Non-nuclear prototype campus with PWR-like and HTR-PM-like heat loops, representative pressure/temperature/material conditions, corrosion rigs, and long-duration operation.</w:t>
            </w:r>
          </w:p>
        </w:tc>
      </w:tr>
      <w:tr w:rsidR="009C3A0E" w14:paraId="1D0536D0" w14:textId="77777777" w:rsidTr="00751F09">
        <w:tc>
          <w:tcPr>
            <w:tcW w:w="2545" w:type="dxa"/>
          </w:tcPr>
          <w:p w14:paraId="04513D13" w14:textId="77777777" w:rsidR="009C3A0E" w:rsidRDefault="00994197">
            <w:pPr>
              <w:pStyle w:val="cTableBody"/>
              <w:spacing w:before="0"/>
            </w:pPr>
            <w:r>
              <w:t>Budget</w:t>
            </w:r>
          </w:p>
        </w:tc>
        <w:tc>
          <w:tcPr>
            <w:tcW w:w="7872" w:type="dxa"/>
          </w:tcPr>
          <w:p w14:paraId="3BA0A5CB" w14:textId="77777777" w:rsidR="009C3A0E" w:rsidRDefault="00994197">
            <w:pPr>
              <w:pStyle w:val="cTableBody"/>
              <w:spacing w:before="0"/>
            </w:pPr>
            <w:r>
              <w:t>$800M planned technical program plus a centrally controlled $200M risk reserve.</w:t>
            </w:r>
          </w:p>
        </w:tc>
      </w:tr>
      <w:tr w:rsidR="009C3A0E" w14:paraId="09736D24" w14:textId="77777777" w:rsidTr="00751F09">
        <w:tc>
          <w:tcPr>
            <w:tcW w:w="2545" w:type="dxa"/>
          </w:tcPr>
          <w:p w14:paraId="6C1489C6" w14:textId="77777777" w:rsidR="009C3A0E" w:rsidRDefault="00994197">
            <w:pPr>
              <w:pStyle w:val="cTableBody"/>
              <w:spacing w:before="0"/>
            </w:pPr>
            <w:r>
              <w:t>Evidence and end product</w:t>
            </w:r>
          </w:p>
        </w:tc>
        <w:tc>
          <w:tcPr>
            <w:tcW w:w="7872" w:type="dxa"/>
          </w:tcPr>
          <w:p w14:paraId="6AF66451" w14:textId="77777777" w:rsidR="009C3A0E" w:rsidRDefault="00994197">
            <w:pPr>
              <w:pStyle w:val="cTableBody"/>
              <w:spacing w:before="0"/>
            </w:pPr>
            <w:r>
              <w:t>Independent measurements of efficiency, throughput, reliability, degradation, safety, cost, interoperability, and CO₂ reduction; platform-by-platform proceed / redesign / stop recommendations for Phase II.</w:t>
            </w:r>
          </w:p>
        </w:tc>
      </w:tr>
    </w:tbl>
    <w:p w14:paraId="50BA4960" w14:textId="77777777" w:rsidR="00E616B6" w:rsidRDefault="00E616B6" w:rsidP="00E616B6">
      <w:pPr>
        <w:pStyle w:val="Heading2"/>
        <w:spacing w:beforeAutospacing="0" w:after="100"/>
      </w:pPr>
      <w:bookmarkStart w:id="6" w:name="_Toc238129753"/>
      <w:bookmarkStart w:id="7" w:name="_Toc238205537"/>
      <w:r>
        <w:t>Summary Videos</w:t>
      </w:r>
    </w:p>
    <w:p w14:paraId="159DC756" w14:textId="77777777" w:rsidR="00E616B6" w:rsidRPr="006205F1" w:rsidRDefault="00E616B6" w:rsidP="00E616B6">
      <w:pPr>
        <w:pStyle w:val="video-title"/>
        <w:ind w:left="360"/>
        <w:rPr>
          <w:sz w:val="22"/>
          <w:szCs w:val="22"/>
        </w:rPr>
      </w:pPr>
      <w:r w:rsidRPr="006205F1">
        <w:rPr>
          <w:sz w:val="22"/>
          <w:szCs w:val="22"/>
        </w:rPr>
        <w:t>Low-Cost Nuclear Power [#11]</w:t>
      </w:r>
    </w:p>
    <w:p w14:paraId="60F4F174" w14:textId="77777777" w:rsidR="00E616B6" w:rsidRPr="006205F1" w:rsidRDefault="00E616B6" w:rsidP="00E616B6">
      <w:pPr>
        <w:pStyle w:val="video-link"/>
        <w:ind w:left="360"/>
        <w:rPr>
          <w:sz w:val="22"/>
          <w:szCs w:val="22"/>
        </w:rPr>
      </w:pPr>
      <w:hyperlink r:id="rId16" w:history="1">
        <w:r w:rsidRPr="00531537">
          <w:rPr>
            <w:rStyle w:val="Hyperlink"/>
            <w:color w:val="548DD4" w:themeColor="text2" w:themeTint="99"/>
            <w:sz w:val="22"/>
            <w:szCs w:val="22"/>
          </w:rPr>
          <w:t>https://www.youtube.com/watch?v=AIlbovU67wI</w:t>
        </w:r>
      </w:hyperlink>
    </w:p>
    <w:p w14:paraId="2FDFC65C" w14:textId="77777777" w:rsidR="00E616B6" w:rsidRPr="006205F1" w:rsidRDefault="00E616B6" w:rsidP="00E616B6">
      <w:pPr>
        <w:pStyle w:val="video-title"/>
        <w:ind w:left="360"/>
        <w:rPr>
          <w:sz w:val="22"/>
          <w:szCs w:val="22"/>
        </w:rPr>
      </w:pPr>
      <w:r w:rsidRPr="006205F1">
        <w:rPr>
          <w:sz w:val="22"/>
          <w:szCs w:val="22"/>
        </w:rPr>
        <w:t>Automated Nuclear Power Construction [#12]</w:t>
      </w:r>
    </w:p>
    <w:p w14:paraId="36C97B62" w14:textId="77777777" w:rsidR="00E616B6" w:rsidRPr="006205F1" w:rsidRDefault="00E616B6" w:rsidP="00E616B6">
      <w:pPr>
        <w:pStyle w:val="video-link"/>
        <w:ind w:left="360"/>
        <w:rPr>
          <w:sz w:val="22"/>
          <w:szCs w:val="22"/>
        </w:rPr>
      </w:pPr>
      <w:hyperlink r:id="rId17" w:history="1">
        <w:r w:rsidRPr="00531537">
          <w:rPr>
            <w:rStyle w:val="Hyperlink"/>
            <w:color w:val="548DD4" w:themeColor="text2" w:themeTint="99"/>
            <w:sz w:val="22"/>
            <w:szCs w:val="22"/>
          </w:rPr>
          <w:t>https://www.youtube.com/watch?v=afO0cy1l7Qo</w:t>
        </w:r>
      </w:hyperlink>
    </w:p>
    <w:p w14:paraId="6A8F2EC6" w14:textId="77777777" w:rsidR="00E616B6" w:rsidRPr="006205F1" w:rsidRDefault="00E616B6" w:rsidP="00E616B6">
      <w:pPr>
        <w:pStyle w:val="video-title"/>
        <w:ind w:left="360"/>
        <w:rPr>
          <w:sz w:val="22"/>
          <w:szCs w:val="22"/>
        </w:rPr>
      </w:pPr>
      <w:r w:rsidRPr="006205F1">
        <w:rPr>
          <w:sz w:val="22"/>
          <w:szCs w:val="22"/>
        </w:rPr>
        <w:t>How to Make $10 Trillion Dollars [#13]</w:t>
      </w:r>
    </w:p>
    <w:p w14:paraId="12024969" w14:textId="77777777" w:rsidR="00E616B6" w:rsidRPr="006205F1" w:rsidRDefault="00E616B6" w:rsidP="00E616B6">
      <w:pPr>
        <w:pStyle w:val="video-link"/>
        <w:ind w:left="360"/>
        <w:rPr>
          <w:sz w:val="22"/>
          <w:szCs w:val="22"/>
        </w:rPr>
      </w:pPr>
      <w:hyperlink r:id="rId18" w:history="1">
        <w:r>
          <w:rPr>
            <w:rStyle w:val="Hyperlink"/>
            <w:color w:val="548DD4" w:themeColor="text2" w:themeTint="99"/>
            <w:sz w:val="22"/>
            <w:szCs w:val="22"/>
          </w:rPr>
          <w:t>https://www.youtube.com/watch?v=4gqmKGV1h5Y</w:t>
        </w:r>
      </w:hyperlink>
    </w:p>
    <w:p w14:paraId="2C2EBF58" w14:textId="2C00684C" w:rsidR="009C3A0E" w:rsidRDefault="00994197">
      <w:pPr>
        <w:pStyle w:val="Heading1"/>
        <w:spacing w:before="0" w:after="0"/>
      </w:pPr>
      <w:r>
        <w:lastRenderedPageBreak/>
        <w:t>Table of Contents</w:t>
      </w:r>
      <w:bookmarkEnd w:id="1"/>
      <w:bookmarkEnd w:id="4"/>
      <w:bookmarkEnd w:id="6"/>
      <w:bookmarkEnd w:id="7"/>
    </w:p>
    <w:sdt>
      <w:sdtPr>
        <w:id w:val="-460658575"/>
        <w:docPartObj>
          <w:docPartGallery w:val="Table of Contents"/>
          <w:docPartUnique/>
        </w:docPartObj>
      </w:sdtPr>
      <w:sdtEndPr/>
      <w:sdtContent>
        <w:p w14:paraId="26A3473D" w14:textId="5E1A5E0A" w:rsidR="00CE5ECF" w:rsidRDefault="00994197" w:rsidP="00CE5ECF">
          <w:pPr>
            <w:pStyle w:val="cTableofContents"/>
            <w:rPr>
              <w:rFonts w:asciiTheme="minorHAnsi" w:eastAsiaTheme="minorEastAsia" w:hAnsiTheme="minorHAnsi"/>
              <w:noProof/>
              <w:kern w:val="2"/>
              <w:szCs w:val="24"/>
              <w14:ligatures w14:val="standardContextual"/>
            </w:rPr>
          </w:pPr>
          <w:r>
            <w:fldChar w:fldCharType="begin"/>
          </w:r>
          <w:r>
            <w:instrText xml:space="preserve"> TOC \z \o "1-1" \u \h</w:instrText>
          </w:r>
          <w:r>
            <w:fldChar w:fldCharType="separate"/>
          </w:r>
          <w:hyperlink w:anchor="_Toc238205535" w:history="1">
            <w:r w:rsidR="00CE5ECF" w:rsidRPr="0016662B">
              <w:rPr>
                <w:rStyle w:val="Hyperlink"/>
                <w:noProof/>
              </w:rPr>
              <w:t>Executive Summary</w:t>
            </w:r>
            <w:r w:rsidR="00CE5ECF">
              <w:rPr>
                <w:noProof/>
                <w:webHidden/>
              </w:rPr>
              <w:tab/>
            </w:r>
            <w:r w:rsidR="00CE5ECF">
              <w:rPr>
                <w:noProof/>
                <w:webHidden/>
              </w:rPr>
              <w:fldChar w:fldCharType="begin"/>
            </w:r>
            <w:r w:rsidR="00CE5ECF">
              <w:rPr>
                <w:noProof/>
                <w:webHidden/>
              </w:rPr>
              <w:instrText xml:space="preserve"> PAGEREF _Toc238205535 \h </w:instrText>
            </w:r>
            <w:r w:rsidR="00CE5ECF">
              <w:rPr>
                <w:noProof/>
                <w:webHidden/>
              </w:rPr>
            </w:r>
            <w:r w:rsidR="00CE5ECF">
              <w:rPr>
                <w:noProof/>
                <w:webHidden/>
              </w:rPr>
              <w:fldChar w:fldCharType="separate"/>
            </w:r>
            <w:r w:rsidR="0093696B">
              <w:rPr>
                <w:noProof/>
                <w:webHidden/>
              </w:rPr>
              <w:t>2</w:t>
            </w:r>
            <w:r w:rsidR="00CE5ECF">
              <w:rPr>
                <w:noProof/>
                <w:webHidden/>
              </w:rPr>
              <w:fldChar w:fldCharType="end"/>
            </w:r>
          </w:hyperlink>
        </w:p>
        <w:p w14:paraId="60F0C447" w14:textId="0FA4941A"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36" w:history="1">
            <w:r w:rsidRPr="0016662B">
              <w:rPr>
                <w:rStyle w:val="Hyperlink"/>
                <w:noProof/>
              </w:rPr>
              <w:t>Program at a Glance</w:t>
            </w:r>
            <w:r>
              <w:rPr>
                <w:noProof/>
                <w:webHidden/>
              </w:rPr>
              <w:tab/>
            </w:r>
            <w:r>
              <w:rPr>
                <w:noProof/>
                <w:webHidden/>
              </w:rPr>
              <w:fldChar w:fldCharType="begin"/>
            </w:r>
            <w:r>
              <w:rPr>
                <w:noProof/>
                <w:webHidden/>
              </w:rPr>
              <w:instrText xml:space="preserve"> PAGEREF _Toc238205536 \h </w:instrText>
            </w:r>
            <w:r>
              <w:rPr>
                <w:noProof/>
                <w:webHidden/>
              </w:rPr>
            </w:r>
            <w:r>
              <w:rPr>
                <w:noProof/>
                <w:webHidden/>
              </w:rPr>
              <w:fldChar w:fldCharType="separate"/>
            </w:r>
            <w:r w:rsidR="0093696B">
              <w:rPr>
                <w:noProof/>
                <w:webHidden/>
              </w:rPr>
              <w:t>3</w:t>
            </w:r>
            <w:r>
              <w:rPr>
                <w:noProof/>
                <w:webHidden/>
              </w:rPr>
              <w:fldChar w:fldCharType="end"/>
            </w:r>
          </w:hyperlink>
        </w:p>
        <w:p w14:paraId="0FA6BED3" w14:textId="1E06E71B"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37" w:history="1">
            <w:r w:rsidRPr="0016662B">
              <w:rPr>
                <w:rStyle w:val="Hyperlink"/>
                <w:noProof/>
              </w:rPr>
              <w:t>Table of Contents</w:t>
            </w:r>
            <w:r>
              <w:rPr>
                <w:noProof/>
                <w:webHidden/>
              </w:rPr>
              <w:tab/>
            </w:r>
            <w:r>
              <w:rPr>
                <w:noProof/>
                <w:webHidden/>
              </w:rPr>
              <w:fldChar w:fldCharType="begin"/>
            </w:r>
            <w:r>
              <w:rPr>
                <w:noProof/>
                <w:webHidden/>
              </w:rPr>
              <w:instrText xml:space="preserve"> PAGEREF _Toc238205537 \h </w:instrText>
            </w:r>
            <w:r>
              <w:rPr>
                <w:noProof/>
                <w:webHidden/>
              </w:rPr>
            </w:r>
            <w:r>
              <w:rPr>
                <w:noProof/>
                <w:webHidden/>
              </w:rPr>
              <w:fldChar w:fldCharType="separate"/>
            </w:r>
            <w:r w:rsidR="0093696B">
              <w:rPr>
                <w:noProof/>
                <w:webHidden/>
              </w:rPr>
              <w:t>3</w:t>
            </w:r>
            <w:r>
              <w:rPr>
                <w:noProof/>
                <w:webHidden/>
              </w:rPr>
              <w:fldChar w:fldCharType="end"/>
            </w:r>
          </w:hyperlink>
        </w:p>
        <w:p w14:paraId="0AF34EC4" w14:textId="72329C0B"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38" w:history="1">
            <w:r w:rsidRPr="0016662B">
              <w:rPr>
                <w:rStyle w:val="Hyperlink"/>
                <w:noProof/>
              </w:rPr>
              <w:t>Nuclear-Integrated Industrial Processing Platforms</w:t>
            </w:r>
            <w:r>
              <w:rPr>
                <w:noProof/>
                <w:webHidden/>
              </w:rPr>
              <w:tab/>
            </w:r>
            <w:r>
              <w:rPr>
                <w:noProof/>
                <w:webHidden/>
              </w:rPr>
              <w:fldChar w:fldCharType="begin"/>
            </w:r>
            <w:r>
              <w:rPr>
                <w:noProof/>
                <w:webHidden/>
              </w:rPr>
              <w:instrText xml:space="preserve"> PAGEREF _Toc238205538 \h </w:instrText>
            </w:r>
            <w:r>
              <w:rPr>
                <w:noProof/>
                <w:webHidden/>
              </w:rPr>
            </w:r>
            <w:r>
              <w:rPr>
                <w:noProof/>
                <w:webHidden/>
              </w:rPr>
              <w:fldChar w:fldCharType="separate"/>
            </w:r>
            <w:r w:rsidR="0093696B">
              <w:rPr>
                <w:noProof/>
                <w:webHidden/>
              </w:rPr>
              <w:t>6</w:t>
            </w:r>
            <w:r>
              <w:rPr>
                <w:noProof/>
                <w:webHidden/>
              </w:rPr>
              <w:fldChar w:fldCharType="end"/>
            </w:r>
          </w:hyperlink>
        </w:p>
        <w:p w14:paraId="33216BD4" w14:textId="027853CE"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39" w:history="1">
            <w:r w:rsidRPr="0016662B">
              <w:rPr>
                <w:rStyle w:val="Hyperlink"/>
                <w:noProof/>
              </w:rPr>
              <w:t>Relationship to the Nuclear Power Automated Site-Construction Initiative</w:t>
            </w:r>
            <w:r>
              <w:rPr>
                <w:noProof/>
                <w:webHidden/>
              </w:rPr>
              <w:tab/>
            </w:r>
            <w:r>
              <w:rPr>
                <w:noProof/>
                <w:webHidden/>
              </w:rPr>
              <w:fldChar w:fldCharType="begin"/>
            </w:r>
            <w:r>
              <w:rPr>
                <w:noProof/>
                <w:webHidden/>
              </w:rPr>
              <w:instrText xml:space="preserve"> PAGEREF _Toc238205539 \h </w:instrText>
            </w:r>
            <w:r>
              <w:rPr>
                <w:noProof/>
                <w:webHidden/>
              </w:rPr>
            </w:r>
            <w:r>
              <w:rPr>
                <w:noProof/>
                <w:webHidden/>
              </w:rPr>
              <w:fldChar w:fldCharType="separate"/>
            </w:r>
            <w:r w:rsidR="0093696B">
              <w:rPr>
                <w:noProof/>
                <w:webHidden/>
              </w:rPr>
              <w:t>9</w:t>
            </w:r>
            <w:r>
              <w:rPr>
                <w:noProof/>
                <w:webHidden/>
              </w:rPr>
              <w:fldChar w:fldCharType="end"/>
            </w:r>
          </w:hyperlink>
        </w:p>
        <w:p w14:paraId="24326774" w14:textId="237BADB2"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40" w:history="1">
            <w:r w:rsidRPr="0016662B">
              <w:rPr>
                <w:rStyle w:val="Hyperlink"/>
                <w:noProof/>
              </w:rPr>
              <w:t>Proposed $1B R&amp;D Initiative</w:t>
            </w:r>
            <w:r>
              <w:rPr>
                <w:noProof/>
                <w:webHidden/>
              </w:rPr>
              <w:tab/>
            </w:r>
            <w:r>
              <w:rPr>
                <w:noProof/>
                <w:webHidden/>
              </w:rPr>
              <w:fldChar w:fldCharType="begin"/>
            </w:r>
            <w:r>
              <w:rPr>
                <w:noProof/>
                <w:webHidden/>
              </w:rPr>
              <w:instrText xml:space="preserve"> PAGEREF _Toc238205540 \h </w:instrText>
            </w:r>
            <w:r>
              <w:rPr>
                <w:noProof/>
                <w:webHidden/>
              </w:rPr>
            </w:r>
            <w:r>
              <w:rPr>
                <w:noProof/>
                <w:webHidden/>
              </w:rPr>
              <w:fldChar w:fldCharType="separate"/>
            </w:r>
            <w:r w:rsidR="0093696B">
              <w:rPr>
                <w:noProof/>
                <w:webHidden/>
              </w:rPr>
              <w:t>11</w:t>
            </w:r>
            <w:r>
              <w:rPr>
                <w:noProof/>
                <w:webHidden/>
              </w:rPr>
              <w:fldChar w:fldCharType="end"/>
            </w:r>
          </w:hyperlink>
        </w:p>
        <w:p w14:paraId="3CB792E6" w14:textId="1364B2DA"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41" w:history="1">
            <w:r w:rsidRPr="0016662B">
              <w:rPr>
                <w:rStyle w:val="Hyperlink"/>
                <w:noProof/>
              </w:rPr>
              <w:t>Program Architecture and $1 Billion Budget</w:t>
            </w:r>
            <w:r>
              <w:rPr>
                <w:noProof/>
                <w:webHidden/>
              </w:rPr>
              <w:tab/>
            </w:r>
            <w:r>
              <w:rPr>
                <w:noProof/>
                <w:webHidden/>
              </w:rPr>
              <w:fldChar w:fldCharType="begin"/>
            </w:r>
            <w:r>
              <w:rPr>
                <w:noProof/>
                <w:webHidden/>
              </w:rPr>
              <w:instrText xml:space="preserve"> PAGEREF _Toc238205541 \h </w:instrText>
            </w:r>
            <w:r>
              <w:rPr>
                <w:noProof/>
                <w:webHidden/>
              </w:rPr>
            </w:r>
            <w:r>
              <w:rPr>
                <w:noProof/>
                <w:webHidden/>
              </w:rPr>
              <w:fldChar w:fldCharType="separate"/>
            </w:r>
            <w:r w:rsidR="0093696B">
              <w:rPr>
                <w:noProof/>
                <w:webHidden/>
              </w:rPr>
              <w:t>14</w:t>
            </w:r>
            <w:r>
              <w:rPr>
                <w:noProof/>
                <w:webHidden/>
              </w:rPr>
              <w:fldChar w:fldCharType="end"/>
            </w:r>
          </w:hyperlink>
        </w:p>
        <w:p w14:paraId="698B5F83" w14:textId="14775286"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42" w:history="1">
            <w:r w:rsidRPr="0016662B">
              <w:rPr>
                <w:rStyle w:val="Hyperlink"/>
                <w:noProof/>
              </w:rPr>
              <w:t>Program Crosswalk</w:t>
            </w:r>
            <w:r>
              <w:rPr>
                <w:noProof/>
                <w:webHidden/>
              </w:rPr>
              <w:tab/>
            </w:r>
            <w:r>
              <w:rPr>
                <w:noProof/>
                <w:webHidden/>
              </w:rPr>
              <w:fldChar w:fldCharType="begin"/>
            </w:r>
            <w:r>
              <w:rPr>
                <w:noProof/>
                <w:webHidden/>
              </w:rPr>
              <w:instrText xml:space="preserve"> PAGEREF _Toc238205542 \h </w:instrText>
            </w:r>
            <w:r>
              <w:rPr>
                <w:noProof/>
                <w:webHidden/>
              </w:rPr>
            </w:r>
            <w:r>
              <w:rPr>
                <w:noProof/>
                <w:webHidden/>
              </w:rPr>
              <w:fldChar w:fldCharType="separate"/>
            </w:r>
            <w:r w:rsidR="0093696B">
              <w:rPr>
                <w:noProof/>
                <w:webHidden/>
              </w:rPr>
              <w:t>16</w:t>
            </w:r>
            <w:r>
              <w:rPr>
                <w:noProof/>
                <w:webHidden/>
              </w:rPr>
              <w:fldChar w:fldCharType="end"/>
            </w:r>
          </w:hyperlink>
        </w:p>
        <w:p w14:paraId="22DC1C41" w14:textId="2C494A2B"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43" w:history="1">
            <w:r w:rsidRPr="0016662B">
              <w:rPr>
                <w:rStyle w:val="Hyperlink"/>
                <w:noProof/>
              </w:rPr>
              <w:t>Stage Gates and Go/No-Go Criteria</w:t>
            </w:r>
            <w:r>
              <w:rPr>
                <w:noProof/>
                <w:webHidden/>
              </w:rPr>
              <w:tab/>
            </w:r>
            <w:r>
              <w:rPr>
                <w:noProof/>
                <w:webHidden/>
              </w:rPr>
              <w:fldChar w:fldCharType="begin"/>
            </w:r>
            <w:r>
              <w:rPr>
                <w:noProof/>
                <w:webHidden/>
              </w:rPr>
              <w:instrText xml:space="preserve"> PAGEREF _Toc238205543 \h </w:instrText>
            </w:r>
            <w:r>
              <w:rPr>
                <w:noProof/>
                <w:webHidden/>
              </w:rPr>
            </w:r>
            <w:r>
              <w:rPr>
                <w:noProof/>
                <w:webHidden/>
              </w:rPr>
              <w:fldChar w:fldCharType="separate"/>
            </w:r>
            <w:r w:rsidR="0093696B">
              <w:rPr>
                <w:noProof/>
                <w:webHidden/>
              </w:rPr>
              <w:t>18</w:t>
            </w:r>
            <w:r>
              <w:rPr>
                <w:noProof/>
                <w:webHidden/>
              </w:rPr>
              <w:fldChar w:fldCharType="end"/>
            </w:r>
          </w:hyperlink>
        </w:p>
        <w:p w14:paraId="7134A029" w14:textId="63872F86"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44" w:history="1">
            <w:r w:rsidRPr="0016662B">
              <w:rPr>
                <w:rStyle w:val="Hyperlink"/>
                <w:noProof/>
              </w:rPr>
              <w:t>Program-Wide Measurement and Acceptance Criteria</w:t>
            </w:r>
            <w:r>
              <w:rPr>
                <w:noProof/>
                <w:webHidden/>
              </w:rPr>
              <w:tab/>
            </w:r>
            <w:r>
              <w:rPr>
                <w:noProof/>
                <w:webHidden/>
              </w:rPr>
              <w:fldChar w:fldCharType="begin"/>
            </w:r>
            <w:r>
              <w:rPr>
                <w:noProof/>
                <w:webHidden/>
              </w:rPr>
              <w:instrText xml:space="preserve"> PAGEREF _Toc238205544 \h </w:instrText>
            </w:r>
            <w:r>
              <w:rPr>
                <w:noProof/>
                <w:webHidden/>
              </w:rPr>
            </w:r>
            <w:r>
              <w:rPr>
                <w:noProof/>
                <w:webHidden/>
              </w:rPr>
              <w:fldChar w:fldCharType="separate"/>
            </w:r>
            <w:r w:rsidR="0093696B">
              <w:rPr>
                <w:noProof/>
                <w:webHidden/>
              </w:rPr>
              <w:t>20</w:t>
            </w:r>
            <w:r>
              <w:rPr>
                <w:noProof/>
                <w:webHidden/>
              </w:rPr>
              <w:fldChar w:fldCharType="end"/>
            </w:r>
          </w:hyperlink>
        </w:p>
        <w:p w14:paraId="0AF127BB" w14:textId="5EB20C6F"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45" w:history="1">
            <w:r w:rsidRPr="0016662B">
              <w:rPr>
                <w:rStyle w:val="Hyperlink"/>
                <w:noProof/>
              </w:rPr>
              <w:t>Development Phases</w:t>
            </w:r>
            <w:r>
              <w:rPr>
                <w:noProof/>
                <w:webHidden/>
              </w:rPr>
              <w:tab/>
            </w:r>
            <w:r>
              <w:rPr>
                <w:noProof/>
                <w:webHidden/>
              </w:rPr>
              <w:fldChar w:fldCharType="begin"/>
            </w:r>
            <w:r>
              <w:rPr>
                <w:noProof/>
                <w:webHidden/>
              </w:rPr>
              <w:instrText xml:space="preserve"> PAGEREF _Toc238205545 \h </w:instrText>
            </w:r>
            <w:r>
              <w:rPr>
                <w:noProof/>
                <w:webHidden/>
              </w:rPr>
            </w:r>
            <w:r>
              <w:rPr>
                <w:noProof/>
                <w:webHidden/>
              </w:rPr>
              <w:fldChar w:fldCharType="separate"/>
            </w:r>
            <w:r w:rsidR="0093696B">
              <w:rPr>
                <w:noProof/>
                <w:webHidden/>
              </w:rPr>
              <w:t>22</w:t>
            </w:r>
            <w:r>
              <w:rPr>
                <w:noProof/>
                <w:webHidden/>
              </w:rPr>
              <w:fldChar w:fldCharType="end"/>
            </w:r>
          </w:hyperlink>
        </w:p>
        <w:p w14:paraId="608DD486" w14:textId="17374528"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46" w:history="1">
            <w:r w:rsidRPr="0016662B">
              <w:rPr>
                <w:rStyle w:val="Hyperlink"/>
                <w:noProof/>
              </w:rPr>
              <w:t>Nuclear Energy Cost Assumptions</w:t>
            </w:r>
            <w:r>
              <w:rPr>
                <w:noProof/>
                <w:webHidden/>
              </w:rPr>
              <w:tab/>
            </w:r>
            <w:r>
              <w:rPr>
                <w:noProof/>
                <w:webHidden/>
              </w:rPr>
              <w:fldChar w:fldCharType="begin"/>
            </w:r>
            <w:r>
              <w:rPr>
                <w:noProof/>
                <w:webHidden/>
              </w:rPr>
              <w:instrText xml:space="preserve"> PAGEREF _Toc238205546 \h </w:instrText>
            </w:r>
            <w:r>
              <w:rPr>
                <w:noProof/>
                <w:webHidden/>
              </w:rPr>
            </w:r>
            <w:r>
              <w:rPr>
                <w:noProof/>
                <w:webHidden/>
              </w:rPr>
              <w:fldChar w:fldCharType="separate"/>
            </w:r>
            <w:r w:rsidR="0093696B">
              <w:rPr>
                <w:noProof/>
                <w:webHidden/>
              </w:rPr>
              <w:t>29</w:t>
            </w:r>
            <w:r>
              <w:rPr>
                <w:noProof/>
                <w:webHidden/>
              </w:rPr>
              <w:fldChar w:fldCharType="end"/>
            </w:r>
          </w:hyperlink>
        </w:p>
        <w:p w14:paraId="3C1EFD3C" w14:textId="39ED7D29"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47" w:history="1">
            <w:r w:rsidRPr="0016662B">
              <w:rPr>
                <w:rStyle w:val="Hyperlink"/>
                <w:rFonts w:cstheme="majorHAnsi"/>
                <w:noProof/>
              </w:rPr>
              <w:t>Industrial Processing to Reduce CO</w:t>
            </w:r>
            <w:r w:rsidRPr="0016662B">
              <w:rPr>
                <w:rStyle w:val="Hyperlink"/>
                <w:rFonts w:cstheme="majorHAnsi"/>
                <w:noProof/>
                <w:vertAlign w:val="subscript"/>
              </w:rPr>
              <w:t>2</w:t>
            </w:r>
            <w:r w:rsidRPr="0016662B">
              <w:rPr>
                <w:rStyle w:val="Hyperlink"/>
                <w:rFonts w:cstheme="majorHAnsi"/>
                <w:noProof/>
              </w:rPr>
              <w:t xml:space="preserve"> Emissions</w:t>
            </w:r>
            <w:r>
              <w:rPr>
                <w:noProof/>
                <w:webHidden/>
              </w:rPr>
              <w:tab/>
            </w:r>
            <w:r>
              <w:rPr>
                <w:noProof/>
                <w:webHidden/>
              </w:rPr>
              <w:fldChar w:fldCharType="begin"/>
            </w:r>
            <w:r>
              <w:rPr>
                <w:noProof/>
                <w:webHidden/>
              </w:rPr>
              <w:instrText xml:space="preserve"> PAGEREF _Toc238205547 \h </w:instrText>
            </w:r>
            <w:r>
              <w:rPr>
                <w:noProof/>
                <w:webHidden/>
              </w:rPr>
            </w:r>
            <w:r>
              <w:rPr>
                <w:noProof/>
                <w:webHidden/>
              </w:rPr>
              <w:fldChar w:fldCharType="separate"/>
            </w:r>
            <w:r w:rsidR="0093696B">
              <w:rPr>
                <w:noProof/>
                <w:webHidden/>
              </w:rPr>
              <w:t>31</w:t>
            </w:r>
            <w:r>
              <w:rPr>
                <w:noProof/>
                <w:webHidden/>
              </w:rPr>
              <w:fldChar w:fldCharType="end"/>
            </w:r>
          </w:hyperlink>
        </w:p>
        <w:p w14:paraId="0BE5B780" w14:textId="5341CE79"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48" w:history="1">
            <w:r w:rsidRPr="0016662B">
              <w:rPr>
                <w:rStyle w:val="Hyperlink"/>
                <w:noProof/>
              </w:rPr>
              <w:t>31 Nuclear-Integrated Processing Platforms</w:t>
            </w:r>
            <w:r>
              <w:rPr>
                <w:noProof/>
                <w:webHidden/>
              </w:rPr>
              <w:tab/>
            </w:r>
            <w:r>
              <w:rPr>
                <w:noProof/>
                <w:webHidden/>
              </w:rPr>
              <w:fldChar w:fldCharType="begin"/>
            </w:r>
            <w:r>
              <w:rPr>
                <w:noProof/>
                <w:webHidden/>
              </w:rPr>
              <w:instrText xml:space="preserve"> PAGEREF _Toc238205548 \h </w:instrText>
            </w:r>
            <w:r>
              <w:rPr>
                <w:noProof/>
                <w:webHidden/>
              </w:rPr>
            </w:r>
            <w:r>
              <w:rPr>
                <w:noProof/>
                <w:webHidden/>
              </w:rPr>
              <w:fldChar w:fldCharType="separate"/>
            </w:r>
            <w:r w:rsidR="0093696B">
              <w:rPr>
                <w:noProof/>
                <w:webHidden/>
              </w:rPr>
              <w:t>44</w:t>
            </w:r>
            <w:r>
              <w:rPr>
                <w:noProof/>
                <w:webHidden/>
              </w:rPr>
              <w:fldChar w:fldCharType="end"/>
            </w:r>
          </w:hyperlink>
        </w:p>
        <w:p w14:paraId="06BD4EAB" w14:textId="353E4779"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49" w:history="1">
            <w:r w:rsidRPr="0016662B">
              <w:rPr>
                <w:rStyle w:val="Hyperlink"/>
                <w:rFonts w:cstheme="majorHAnsi"/>
                <w:noProof/>
              </w:rPr>
              <w:t>Material Handling Costs</w:t>
            </w:r>
            <w:r>
              <w:rPr>
                <w:noProof/>
                <w:webHidden/>
              </w:rPr>
              <w:tab/>
            </w:r>
            <w:r>
              <w:rPr>
                <w:noProof/>
                <w:webHidden/>
              </w:rPr>
              <w:fldChar w:fldCharType="begin"/>
            </w:r>
            <w:r>
              <w:rPr>
                <w:noProof/>
                <w:webHidden/>
              </w:rPr>
              <w:instrText xml:space="preserve"> PAGEREF _Toc238205549 \h </w:instrText>
            </w:r>
            <w:r>
              <w:rPr>
                <w:noProof/>
                <w:webHidden/>
              </w:rPr>
            </w:r>
            <w:r>
              <w:rPr>
                <w:noProof/>
                <w:webHidden/>
              </w:rPr>
              <w:fldChar w:fldCharType="separate"/>
            </w:r>
            <w:r w:rsidR="0093696B">
              <w:rPr>
                <w:noProof/>
                <w:webHidden/>
              </w:rPr>
              <w:t>53</w:t>
            </w:r>
            <w:r>
              <w:rPr>
                <w:noProof/>
                <w:webHidden/>
              </w:rPr>
              <w:fldChar w:fldCharType="end"/>
            </w:r>
          </w:hyperlink>
        </w:p>
        <w:p w14:paraId="277FAD32" w14:textId="4BB5432F"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50" w:history="1">
            <w:r w:rsidRPr="0016662B">
              <w:rPr>
                <w:rStyle w:val="Hyperlink"/>
                <w:rFonts w:cstheme="majorHAnsi"/>
                <w:noProof/>
              </w:rPr>
              <w:t>Large Material Handling Equipment</w:t>
            </w:r>
            <w:r>
              <w:rPr>
                <w:noProof/>
                <w:webHidden/>
              </w:rPr>
              <w:tab/>
            </w:r>
            <w:r>
              <w:rPr>
                <w:noProof/>
                <w:webHidden/>
              </w:rPr>
              <w:fldChar w:fldCharType="begin"/>
            </w:r>
            <w:r>
              <w:rPr>
                <w:noProof/>
                <w:webHidden/>
              </w:rPr>
              <w:instrText xml:space="preserve"> PAGEREF _Toc238205550 \h </w:instrText>
            </w:r>
            <w:r>
              <w:rPr>
                <w:noProof/>
                <w:webHidden/>
              </w:rPr>
            </w:r>
            <w:r>
              <w:rPr>
                <w:noProof/>
                <w:webHidden/>
              </w:rPr>
              <w:fldChar w:fldCharType="separate"/>
            </w:r>
            <w:r w:rsidR="0093696B">
              <w:rPr>
                <w:noProof/>
                <w:webHidden/>
              </w:rPr>
              <w:t>61</w:t>
            </w:r>
            <w:r>
              <w:rPr>
                <w:noProof/>
                <w:webHidden/>
              </w:rPr>
              <w:fldChar w:fldCharType="end"/>
            </w:r>
          </w:hyperlink>
        </w:p>
        <w:p w14:paraId="68241E0B" w14:textId="262CD021"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51" w:history="1">
            <w:r w:rsidRPr="0016662B">
              <w:rPr>
                <w:rStyle w:val="Hyperlink"/>
                <w:noProof/>
              </w:rPr>
              <w:t>Independent Order-of-Magnitude Check on Program Scale</w:t>
            </w:r>
            <w:r>
              <w:rPr>
                <w:noProof/>
                <w:webHidden/>
              </w:rPr>
              <w:tab/>
            </w:r>
            <w:r>
              <w:rPr>
                <w:noProof/>
                <w:webHidden/>
              </w:rPr>
              <w:fldChar w:fldCharType="begin"/>
            </w:r>
            <w:r>
              <w:rPr>
                <w:noProof/>
                <w:webHidden/>
              </w:rPr>
              <w:instrText xml:space="preserve"> PAGEREF _Toc238205551 \h </w:instrText>
            </w:r>
            <w:r>
              <w:rPr>
                <w:noProof/>
                <w:webHidden/>
              </w:rPr>
            </w:r>
            <w:r>
              <w:rPr>
                <w:noProof/>
                <w:webHidden/>
              </w:rPr>
              <w:fldChar w:fldCharType="separate"/>
            </w:r>
            <w:r w:rsidR="0093696B">
              <w:rPr>
                <w:noProof/>
                <w:webHidden/>
              </w:rPr>
              <w:t>70</w:t>
            </w:r>
            <w:r>
              <w:rPr>
                <w:noProof/>
                <w:webHidden/>
              </w:rPr>
              <w:fldChar w:fldCharType="end"/>
            </w:r>
          </w:hyperlink>
        </w:p>
        <w:p w14:paraId="4CA185C1" w14:textId="51C9F99A"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52" w:history="1">
            <w:r w:rsidRPr="0016662B">
              <w:rPr>
                <w:rStyle w:val="Hyperlink"/>
                <w:noProof/>
              </w:rPr>
              <w:t>Standards Development</w:t>
            </w:r>
            <w:r>
              <w:rPr>
                <w:noProof/>
                <w:webHidden/>
              </w:rPr>
              <w:tab/>
            </w:r>
            <w:r>
              <w:rPr>
                <w:noProof/>
                <w:webHidden/>
              </w:rPr>
              <w:fldChar w:fldCharType="begin"/>
            </w:r>
            <w:r>
              <w:rPr>
                <w:noProof/>
                <w:webHidden/>
              </w:rPr>
              <w:instrText xml:space="preserve"> PAGEREF _Toc238205552 \h </w:instrText>
            </w:r>
            <w:r>
              <w:rPr>
                <w:noProof/>
                <w:webHidden/>
              </w:rPr>
            </w:r>
            <w:r>
              <w:rPr>
                <w:noProof/>
                <w:webHidden/>
              </w:rPr>
              <w:fldChar w:fldCharType="separate"/>
            </w:r>
            <w:r w:rsidR="0093696B">
              <w:rPr>
                <w:noProof/>
                <w:webHidden/>
              </w:rPr>
              <w:t>79</w:t>
            </w:r>
            <w:r>
              <w:rPr>
                <w:noProof/>
                <w:webHidden/>
              </w:rPr>
              <w:fldChar w:fldCharType="end"/>
            </w:r>
          </w:hyperlink>
        </w:p>
        <w:p w14:paraId="6B951D52" w14:textId="6ADD6783"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53" w:history="1">
            <w:r w:rsidRPr="0016662B">
              <w:rPr>
                <w:rStyle w:val="Hyperlink"/>
                <w:noProof/>
              </w:rPr>
              <w:t>Direct Air Capture (DAC) Using Nuclear Power</w:t>
            </w:r>
            <w:r>
              <w:rPr>
                <w:noProof/>
                <w:webHidden/>
              </w:rPr>
              <w:tab/>
            </w:r>
            <w:r>
              <w:rPr>
                <w:noProof/>
                <w:webHidden/>
              </w:rPr>
              <w:fldChar w:fldCharType="begin"/>
            </w:r>
            <w:r>
              <w:rPr>
                <w:noProof/>
                <w:webHidden/>
              </w:rPr>
              <w:instrText xml:space="preserve"> PAGEREF _Toc238205553 \h </w:instrText>
            </w:r>
            <w:r>
              <w:rPr>
                <w:noProof/>
                <w:webHidden/>
              </w:rPr>
            </w:r>
            <w:r>
              <w:rPr>
                <w:noProof/>
                <w:webHidden/>
              </w:rPr>
              <w:fldChar w:fldCharType="separate"/>
            </w:r>
            <w:r w:rsidR="0093696B">
              <w:rPr>
                <w:noProof/>
                <w:webHidden/>
              </w:rPr>
              <w:t>91</w:t>
            </w:r>
            <w:r>
              <w:rPr>
                <w:noProof/>
                <w:webHidden/>
              </w:rPr>
              <w:fldChar w:fldCharType="end"/>
            </w:r>
          </w:hyperlink>
        </w:p>
        <w:p w14:paraId="5292B552" w14:textId="027968C2"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54" w:history="1">
            <w:r w:rsidRPr="0016662B">
              <w:rPr>
                <w:rStyle w:val="Hyperlink"/>
                <w:rFonts w:cstheme="majorHAnsi"/>
                <w:noProof/>
              </w:rPr>
              <w:t>Automated Construction of Thermal Storage Tanks</w:t>
            </w:r>
            <w:r>
              <w:rPr>
                <w:noProof/>
                <w:webHidden/>
              </w:rPr>
              <w:tab/>
            </w:r>
            <w:r>
              <w:rPr>
                <w:noProof/>
                <w:webHidden/>
              </w:rPr>
              <w:fldChar w:fldCharType="begin"/>
            </w:r>
            <w:r>
              <w:rPr>
                <w:noProof/>
                <w:webHidden/>
              </w:rPr>
              <w:instrText xml:space="preserve"> PAGEREF _Toc238205554 \h </w:instrText>
            </w:r>
            <w:r>
              <w:rPr>
                <w:noProof/>
                <w:webHidden/>
              </w:rPr>
            </w:r>
            <w:r>
              <w:rPr>
                <w:noProof/>
                <w:webHidden/>
              </w:rPr>
              <w:fldChar w:fldCharType="separate"/>
            </w:r>
            <w:r w:rsidR="0093696B">
              <w:rPr>
                <w:noProof/>
                <w:webHidden/>
              </w:rPr>
              <w:t>95</w:t>
            </w:r>
            <w:r>
              <w:rPr>
                <w:noProof/>
                <w:webHidden/>
              </w:rPr>
              <w:fldChar w:fldCharType="end"/>
            </w:r>
          </w:hyperlink>
        </w:p>
        <w:p w14:paraId="6142DF3B" w14:textId="56D38588"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55" w:history="1">
            <w:r w:rsidRPr="0016662B">
              <w:rPr>
                <w:rStyle w:val="Hyperlink"/>
                <w:rFonts w:cstheme="majorHAnsi"/>
                <w:noProof/>
              </w:rPr>
              <w:t>Electrified Rail to Assist in Site Construction</w:t>
            </w:r>
            <w:r>
              <w:rPr>
                <w:noProof/>
                <w:webHidden/>
              </w:rPr>
              <w:tab/>
            </w:r>
            <w:r>
              <w:rPr>
                <w:noProof/>
                <w:webHidden/>
              </w:rPr>
              <w:fldChar w:fldCharType="begin"/>
            </w:r>
            <w:r>
              <w:rPr>
                <w:noProof/>
                <w:webHidden/>
              </w:rPr>
              <w:instrText xml:space="preserve"> PAGEREF _Toc238205555 \h </w:instrText>
            </w:r>
            <w:r>
              <w:rPr>
                <w:noProof/>
                <w:webHidden/>
              </w:rPr>
            </w:r>
            <w:r>
              <w:rPr>
                <w:noProof/>
                <w:webHidden/>
              </w:rPr>
              <w:fldChar w:fldCharType="separate"/>
            </w:r>
            <w:r w:rsidR="0093696B">
              <w:rPr>
                <w:noProof/>
                <w:webHidden/>
              </w:rPr>
              <w:t>105</w:t>
            </w:r>
            <w:r>
              <w:rPr>
                <w:noProof/>
                <w:webHidden/>
              </w:rPr>
              <w:fldChar w:fldCharType="end"/>
            </w:r>
          </w:hyperlink>
        </w:p>
        <w:p w14:paraId="5D7ACF78" w14:textId="759BFDA1"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56" w:history="1">
            <w:r w:rsidRPr="0016662B">
              <w:rPr>
                <w:rStyle w:val="Hyperlink"/>
                <w:rFonts w:cstheme="majorHAnsi"/>
                <w:noProof/>
              </w:rPr>
              <w:t>Different Ways to Make Ammonia</w:t>
            </w:r>
            <w:r>
              <w:rPr>
                <w:noProof/>
                <w:webHidden/>
              </w:rPr>
              <w:tab/>
            </w:r>
            <w:r>
              <w:rPr>
                <w:noProof/>
                <w:webHidden/>
              </w:rPr>
              <w:fldChar w:fldCharType="begin"/>
            </w:r>
            <w:r>
              <w:rPr>
                <w:noProof/>
                <w:webHidden/>
              </w:rPr>
              <w:instrText xml:space="preserve"> PAGEREF _Toc238205556 \h </w:instrText>
            </w:r>
            <w:r>
              <w:rPr>
                <w:noProof/>
                <w:webHidden/>
              </w:rPr>
            </w:r>
            <w:r>
              <w:rPr>
                <w:noProof/>
                <w:webHidden/>
              </w:rPr>
              <w:fldChar w:fldCharType="separate"/>
            </w:r>
            <w:r w:rsidR="0093696B">
              <w:rPr>
                <w:noProof/>
                <w:webHidden/>
              </w:rPr>
              <w:t>117</w:t>
            </w:r>
            <w:r>
              <w:rPr>
                <w:noProof/>
                <w:webHidden/>
              </w:rPr>
              <w:fldChar w:fldCharType="end"/>
            </w:r>
          </w:hyperlink>
        </w:p>
        <w:p w14:paraId="4B762428" w14:textId="3DCC26E0"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57" w:history="1">
            <w:r w:rsidRPr="0016662B">
              <w:rPr>
                <w:rStyle w:val="Hyperlink"/>
                <w:rFonts w:cstheme="majorHAnsi"/>
                <w:noProof/>
              </w:rPr>
              <w:t>Ships Powered by Ammonia</w:t>
            </w:r>
            <w:r>
              <w:rPr>
                <w:noProof/>
                <w:webHidden/>
              </w:rPr>
              <w:tab/>
            </w:r>
            <w:r>
              <w:rPr>
                <w:noProof/>
                <w:webHidden/>
              </w:rPr>
              <w:fldChar w:fldCharType="begin"/>
            </w:r>
            <w:r>
              <w:rPr>
                <w:noProof/>
                <w:webHidden/>
              </w:rPr>
              <w:instrText xml:space="preserve"> PAGEREF _Toc238205557 \h </w:instrText>
            </w:r>
            <w:r>
              <w:rPr>
                <w:noProof/>
                <w:webHidden/>
              </w:rPr>
            </w:r>
            <w:r>
              <w:rPr>
                <w:noProof/>
                <w:webHidden/>
              </w:rPr>
              <w:fldChar w:fldCharType="separate"/>
            </w:r>
            <w:r w:rsidR="0093696B">
              <w:rPr>
                <w:noProof/>
                <w:webHidden/>
              </w:rPr>
              <w:t>123</w:t>
            </w:r>
            <w:r>
              <w:rPr>
                <w:noProof/>
                <w:webHidden/>
              </w:rPr>
              <w:fldChar w:fldCharType="end"/>
            </w:r>
          </w:hyperlink>
        </w:p>
        <w:p w14:paraId="0E55EC26" w14:textId="781A2E68"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58" w:history="1">
            <w:r w:rsidRPr="0016662B">
              <w:rPr>
                <w:rStyle w:val="Hyperlink"/>
                <w:rFonts w:cstheme="majorHAnsi"/>
                <w:noProof/>
              </w:rPr>
              <w:t>Ammonia to Electricity Conversion Efficiency (e.g. on a ship)</w:t>
            </w:r>
            <w:r>
              <w:rPr>
                <w:noProof/>
                <w:webHidden/>
              </w:rPr>
              <w:tab/>
            </w:r>
            <w:r>
              <w:rPr>
                <w:noProof/>
                <w:webHidden/>
              </w:rPr>
              <w:fldChar w:fldCharType="begin"/>
            </w:r>
            <w:r>
              <w:rPr>
                <w:noProof/>
                <w:webHidden/>
              </w:rPr>
              <w:instrText xml:space="preserve"> PAGEREF _Toc238205558 \h </w:instrText>
            </w:r>
            <w:r>
              <w:rPr>
                <w:noProof/>
                <w:webHidden/>
              </w:rPr>
            </w:r>
            <w:r>
              <w:rPr>
                <w:noProof/>
                <w:webHidden/>
              </w:rPr>
              <w:fldChar w:fldCharType="separate"/>
            </w:r>
            <w:r w:rsidR="0093696B">
              <w:rPr>
                <w:noProof/>
                <w:webHidden/>
              </w:rPr>
              <w:t>131</w:t>
            </w:r>
            <w:r>
              <w:rPr>
                <w:noProof/>
                <w:webHidden/>
              </w:rPr>
              <w:fldChar w:fldCharType="end"/>
            </w:r>
          </w:hyperlink>
        </w:p>
        <w:p w14:paraId="11512A93" w14:textId="226834A1"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59" w:history="1">
            <w:r w:rsidRPr="0016662B">
              <w:rPr>
                <w:rStyle w:val="Hyperlink"/>
                <w:rFonts w:cstheme="majorHAnsi"/>
                <w:noProof/>
              </w:rPr>
              <w:t>Cost of Ammonia Fuel Cell on Large Ships</w:t>
            </w:r>
            <w:r>
              <w:rPr>
                <w:noProof/>
                <w:webHidden/>
              </w:rPr>
              <w:tab/>
            </w:r>
            <w:r>
              <w:rPr>
                <w:noProof/>
                <w:webHidden/>
              </w:rPr>
              <w:fldChar w:fldCharType="begin"/>
            </w:r>
            <w:r>
              <w:rPr>
                <w:noProof/>
                <w:webHidden/>
              </w:rPr>
              <w:instrText xml:space="preserve"> PAGEREF _Toc238205559 \h </w:instrText>
            </w:r>
            <w:r>
              <w:rPr>
                <w:noProof/>
                <w:webHidden/>
              </w:rPr>
            </w:r>
            <w:r>
              <w:rPr>
                <w:noProof/>
                <w:webHidden/>
              </w:rPr>
              <w:fldChar w:fldCharType="separate"/>
            </w:r>
            <w:r w:rsidR="0093696B">
              <w:rPr>
                <w:noProof/>
                <w:webHidden/>
              </w:rPr>
              <w:t>136</w:t>
            </w:r>
            <w:r>
              <w:rPr>
                <w:noProof/>
                <w:webHidden/>
              </w:rPr>
              <w:fldChar w:fldCharType="end"/>
            </w:r>
          </w:hyperlink>
        </w:p>
        <w:p w14:paraId="71DB08CA" w14:textId="2D3EAEB9"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60" w:history="1">
            <w:r w:rsidRPr="0016662B">
              <w:rPr>
                <w:rStyle w:val="Hyperlink"/>
                <w:rFonts w:cstheme="majorHAnsi"/>
                <w:noProof/>
              </w:rPr>
              <w:t>Liquid Ammonia Production Quantity</w:t>
            </w:r>
            <w:r>
              <w:rPr>
                <w:noProof/>
                <w:webHidden/>
              </w:rPr>
              <w:tab/>
            </w:r>
            <w:r>
              <w:rPr>
                <w:noProof/>
                <w:webHidden/>
              </w:rPr>
              <w:fldChar w:fldCharType="begin"/>
            </w:r>
            <w:r>
              <w:rPr>
                <w:noProof/>
                <w:webHidden/>
              </w:rPr>
              <w:instrText xml:space="preserve"> PAGEREF _Toc238205560 \h </w:instrText>
            </w:r>
            <w:r>
              <w:rPr>
                <w:noProof/>
                <w:webHidden/>
              </w:rPr>
            </w:r>
            <w:r>
              <w:rPr>
                <w:noProof/>
                <w:webHidden/>
              </w:rPr>
              <w:fldChar w:fldCharType="separate"/>
            </w:r>
            <w:r w:rsidR="0093696B">
              <w:rPr>
                <w:noProof/>
                <w:webHidden/>
              </w:rPr>
              <w:t>142</w:t>
            </w:r>
            <w:r>
              <w:rPr>
                <w:noProof/>
                <w:webHidden/>
              </w:rPr>
              <w:fldChar w:fldCharType="end"/>
            </w:r>
          </w:hyperlink>
        </w:p>
        <w:p w14:paraId="7AED20D8" w14:textId="1AF1DE10"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61" w:history="1">
            <w:r w:rsidRPr="0016662B">
              <w:rPr>
                <w:rStyle w:val="Hyperlink"/>
                <w:noProof/>
              </w:rPr>
              <w:t>Purchase Orders</w:t>
            </w:r>
            <w:r>
              <w:rPr>
                <w:noProof/>
                <w:webHidden/>
              </w:rPr>
              <w:tab/>
            </w:r>
            <w:r>
              <w:rPr>
                <w:noProof/>
                <w:webHidden/>
              </w:rPr>
              <w:fldChar w:fldCharType="begin"/>
            </w:r>
            <w:r>
              <w:rPr>
                <w:noProof/>
                <w:webHidden/>
              </w:rPr>
              <w:instrText xml:space="preserve"> PAGEREF _Toc238205561 \h </w:instrText>
            </w:r>
            <w:r>
              <w:rPr>
                <w:noProof/>
                <w:webHidden/>
              </w:rPr>
            </w:r>
            <w:r>
              <w:rPr>
                <w:noProof/>
                <w:webHidden/>
              </w:rPr>
              <w:fldChar w:fldCharType="separate"/>
            </w:r>
            <w:r w:rsidR="0093696B">
              <w:rPr>
                <w:noProof/>
                <w:webHidden/>
              </w:rPr>
              <w:t>147</w:t>
            </w:r>
            <w:r>
              <w:rPr>
                <w:noProof/>
                <w:webHidden/>
              </w:rPr>
              <w:fldChar w:fldCharType="end"/>
            </w:r>
          </w:hyperlink>
        </w:p>
        <w:p w14:paraId="7611FB39" w14:textId="0A9E0E76"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62" w:history="1">
            <w:r w:rsidRPr="0016662B">
              <w:rPr>
                <w:rStyle w:val="Hyperlink"/>
                <w:noProof/>
              </w:rPr>
              <w:t>Purchase Order Recipients</w:t>
            </w:r>
            <w:r>
              <w:rPr>
                <w:noProof/>
                <w:webHidden/>
              </w:rPr>
              <w:tab/>
            </w:r>
            <w:r>
              <w:rPr>
                <w:noProof/>
                <w:webHidden/>
              </w:rPr>
              <w:fldChar w:fldCharType="begin"/>
            </w:r>
            <w:r>
              <w:rPr>
                <w:noProof/>
                <w:webHidden/>
              </w:rPr>
              <w:instrText xml:space="preserve"> PAGEREF _Toc238205562 \h </w:instrText>
            </w:r>
            <w:r>
              <w:rPr>
                <w:noProof/>
                <w:webHidden/>
              </w:rPr>
            </w:r>
            <w:r>
              <w:rPr>
                <w:noProof/>
                <w:webHidden/>
              </w:rPr>
              <w:fldChar w:fldCharType="separate"/>
            </w:r>
            <w:r w:rsidR="0093696B">
              <w:rPr>
                <w:noProof/>
                <w:webHidden/>
              </w:rPr>
              <w:t>151</w:t>
            </w:r>
            <w:r>
              <w:rPr>
                <w:noProof/>
                <w:webHidden/>
              </w:rPr>
              <w:fldChar w:fldCharType="end"/>
            </w:r>
          </w:hyperlink>
        </w:p>
        <w:p w14:paraId="2ADFA42F" w14:textId="6F1345AA"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63" w:history="1">
            <w:r w:rsidRPr="0016662B">
              <w:rPr>
                <w:rStyle w:val="Hyperlink"/>
                <w:noProof/>
              </w:rPr>
              <w:t>Project Management</w:t>
            </w:r>
            <w:r>
              <w:rPr>
                <w:noProof/>
                <w:webHidden/>
              </w:rPr>
              <w:tab/>
            </w:r>
            <w:r>
              <w:rPr>
                <w:noProof/>
                <w:webHidden/>
              </w:rPr>
              <w:fldChar w:fldCharType="begin"/>
            </w:r>
            <w:r>
              <w:rPr>
                <w:noProof/>
                <w:webHidden/>
              </w:rPr>
              <w:instrText xml:space="preserve"> PAGEREF _Toc238205563 \h </w:instrText>
            </w:r>
            <w:r>
              <w:rPr>
                <w:noProof/>
                <w:webHidden/>
              </w:rPr>
            </w:r>
            <w:r>
              <w:rPr>
                <w:noProof/>
                <w:webHidden/>
              </w:rPr>
              <w:fldChar w:fldCharType="separate"/>
            </w:r>
            <w:r w:rsidR="0093696B">
              <w:rPr>
                <w:noProof/>
                <w:webHidden/>
              </w:rPr>
              <w:t>153</w:t>
            </w:r>
            <w:r>
              <w:rPr>
                <w:noProof/>
                <w:webHidden/>
              </w:rPr>
              <w:fldChar w:fldCharType="end"/>
            </w:r>
          </w:hyperlink>
        </w:p>
        <w:p w14:paraId="60AA56E5" w14:textId="19171269"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64" w:history="1">
            <w:r w:rsidRPr="0016662B">
              <w:rPr>
                <w:rStyle w:val="Hyperlink"/>
                <w:noProof/>
              </w:rPr>
              <w:t>Funding Source Requirements</w:t>
            </w:r>
            <w:r>
              <w:rPr>
                <w:noProof/>
                <w:webHidden/>
              </w:rPr>
              <w:tab/>
            </w:r>
            <w:r>
              <w:rPr>
                <w:noProof/>
                <w:webHidden/>
              </w:rPr>
              <w:fldChar w:fldCharType="begin"/>
            </w:r>
            <w:r>
              <w:rPr>
                <w:noProof/>
                <w:webHidden/>
              </w:rPr>
              <w:instrText xml:space="preserve"> PAGEREF _Toc238205564 \h </w:instrText>
            </w:r>
            <w:r>
              <w:rPr>
                <w:noProof/>
                <w:webHidden/>
              </w:rPr>
            </w:r>
            <w:r>
              <w:rPr>
                <w:noProof/>
                <w:webHidden/>
              </w:rPr>
              <w:fldChar w:fldCharType="separate"/>
            </w:r>
            <w:r w:rsidR="0093696B">
              <w:rPr>
                <w:noProof/>
                <w:webHidden/>
              </w:rPr>
              <w:t>155</w:t>
            </w:r>
            <w:r>
              <w:rPr>
                <w:noProof/>
                <w:webHidden/>
              </w:rPr>
              <w:fldChar w:fldCharType="end"/>
            </w:r>
          </w:hyperlink>
        </w:p>
        <w:p w14:paraId="01D47566" w14:textId="57C16A44"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65" w:history="1">
            <w:r w:rsidRPr="0016662B">
              <w:rPr>
                <w:rStyle w:val="Hyperlink"/>
                <w:noProof/>
              </w:rPr>
              <w:t>Top Industrial Processing and Nuclear Integration References</w:t>
            </w:r>
            <w:r>
              <w:rPr>
                <w:noProof/>
                <w:webHidden/>
              </w:rPr>
              <w:tab/>
            </w:r>
            <w:r>
              <w:rPr>
                <w:noProof/>
                <w:webHidden/>
              </w:rPr>
              <w:fldChar w:fldCharType="begin"/>
            </w:r>
            <w:r>
              <w:rPr>
                <w:noProof/>
                <w:webHidden/>
              </w:rPr>
              <w:instrText xml:space="preserve"> PAGEREF _Toc238205565 \h </w:instrText>
            </w:r>
            <w:r>
              <w:rPr>
                <w:noProof/>
                <w:webHidden/>
              </w:rPr>
            </w:r>
            <w:r>
              <w:rPr>
                <w:noProof/>
                <w:webHidden/>
              </w:rPr>
              <w:fldChar w:fldCharType="separate"/>
            </w:r>
            <w:r w:rsidR="0093696B">
              <w:rPr>
                <w:noProof/>
                <w:webHidden/>
              </w:rPr>
              <w:t>158</w:t>
            </w:r>
            <w:r>
              <w:rPr>
                <w:noProof/>
                <w:webHidden/>
              </w:rPr>
              <w:fldChar w:fldCharType="end"/>
            </w:r>
          </w:hyperlink>
        </w:p>
        <w:p w14:paraId="4EA8743D" w14:textId="29537D0E"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66" w:history="1">
            <w:r w:rsidRPr="0016662B">
              <w:rPr>
                <w:rStyle w:val="Hyperlink"/>
                <w:noProof/>
              </w:rPr>
              <w:t>Top Researchers and Organizations</w:t>
            </w:r>
            <w:r>
              <w:rPr>
                <w:noProof/>
                <w:webHidden/>
              </w:rPr>
              <w:tab/>
            </w:r>
            <w:r>
              <w:rPr>
                <w:noProof/>
                <w:webHidden/>
              </w:rPr>
              <w:fldChar w:fldCharType="begin"/>
            </w:r>
            <w:r>
              <w:rPr>
                <w:noProof/>
                <w:webHidden/>
              </w:rPr>
              <w:instrText xml:space="preserve"> PAGEREF _Toc238205566 \h </w:instrText>
            </w:r>
            <w:r>
              <w:rPr>
                <w:noProof/>
                <w:webHidden/>
              </w:rPr>
            </w:r>
            <w:r>
              <w:rPr>
                <w:noProof/>
                <w:webHidden/>
              </w:rPr>
              <w:fldChar w:fldCharType="separate"/>
            </w:r>
            <w:r w:rsidR="0093696B">
              <w:rPr>
                <w:noProof/>
                <w:webHidden/>
              </w:rPr>
              <w:t>167</w:t>
            </w:r>
            <w:r>
              <w:rPr>
                <w:noProof/>
                <w:webHidden/>
              </w:rPr>
              <w:fldChar w:fldCharType="end"/>
            </w:r>
          </w:hyperlink>
        </w:p>
        <w:p w14:paraId="2F802C1E" w14:textId="7B897C81"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67" w:history="1">
            <w:r w:rsidRPr="0016662B">
              <w:rPr>
                <w:rStyle w:val="Hyperlink"/>
                <w:noProof/>
              </w:rPr>
              <w:t>Scientific and Engineering Advisory Panel</w:t>
            </w:r>
            <w:r>
              <w:rPr>
                <w:noProof/>
                <w:webHidden/>
              </w:rPr>
              <w:tab/>
            </w:r>
            <w:r>
              <w:rPr>
                <w:noProof/>
                <w:webHidden/>
              </w:rPr>
              <w:fldChar w:fldCharType="begin"/>
            </w:r>
            <w:r>
              <w:rPr>
                <w:noProof/>
                <w:webHidden/>
              </w:rPr>
              <w:instrText xml:space="preserve"> PAGEREF _Toc238205567 \h </w:instrText>
            </w:r>
            <w:r>
              <w:rPr>
                <w:noProof/>
                <w:webHidden/>
              </w:rPr>
            </w:r>
            <w:r>
              <w:rPr>
                <w:noProof/>
                <w:webHidden/>
              </w:rPr>
              <w:fldChar w:fldCharType="separate"/>
            </w:r>
            <w:r w:rsidR="0093696B">
              <w:rPr>
                <w:noProof/>
                <w:webHidden/>
              </w:rPr>
              <w:t>169</w:t>
            </w:r>
            <w:r>
              <w:rPr>
                <w:noProof/>
                <w:webHidden/>
              </w:rPr>
              <w:fldChar w:fldCharType="end"/>
            </w:r>
          </w:hyperlink>
        </w:p>
        <w:p w14:paraId="63295137" w14:textId="47913EEA"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68" w:history="1">
            <w:r w:rsidRPr="0016662B">
              <w:rPr>
                <w:rStyle w:val="Hyperlink"/>
                <w:noProof/>
              </w:rPr>
              <w:t>Management Advisory Panel</w:t>
            </w:r>
            <w:r>
              <w:rPr>
                <w:noProof/>
                <w:webHidden/>
              </w:rPr>
              <w:tab/>
            </w:r>
            <w:r>
              <w:rPr>
                <w:noProof/>
                <w:webHidden/>
              </w:rPr>
              <w:fldChar w:fldCharType="begin"/>
            </w:r>
            <w:r>
              <w:rPr>
                <w:noProof/>
                <w:webHidden/>
              </w:rPr>
              <w:instrText xml:space="preserve"> PAGEREF _Toc238205568 \h </w:instrText>
            </w:r>
            <w:r>
              <w:rPr>
                <w:noProof/>
                <w:webHidden/>
              </w:rPr>
            </w:r>
            <w:r>
              <w:rPr>
                <w:noProof/>
                <w:webHidden/>
              </w:rPr>
              <w:fldChar w:fldCharType="separate"/>
            </w:r>
            <w:r w:rsidR="0093696B">
              <w:rPr>
                <w:noProof/>
                <w:webHidden/>
              </w:rPr>
              <w:t>171</w:t>
            </w:r>
            <w:r>
              <w:rPr>
                <w:noProof/>
                <w:webHidden/>
              </w:rPr>
              <w:fldChar w:fldCharType="end"/>
            </w:r>
          </w:hyperlink>
        </w:p>
        <w:p w14:paraId="431D8E69" w14:textId="46F2DD10"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69" w:history="1">
            <w:r w:rsidRPr="0016662B">
              <w:rPr>
                <w:rStyle w:val="Hyperlink"/>
                <w:noProof/>
              </w:rPr>
              <w:t>Agreements</w:t>
            </w:r>
            <w:r>
              <w:rPr>
                <w:noProof/>
                <w:webHidden/>
              </w:rPr>
              <w:tab/>
            </w:r>
            <w:r>
              <w:rPr>
                <w:noProof/>
                <w:webHidden/>
              </w:rPr>
              <w:fldChar w:fldCharType="begin"/>
            </w:r>
            <w:r>
              <w:rPr>
                <w:noProof/>
                <w:webHidden/>
              </w:rPr>
              <w:instrText xml:space="preserve"> PAGEREF _Toc238205569 \h </w:instrText>
            </w:r>
            <w:r>
              <w:rPr>
                <w:noProof/>
                <w:webHidden/>
              </w:rPr>
            </w:r>
            <w:r>
              <w:rPr>
                <w:noProof/>
                <w:webHidden/>
              </w:rPr>
              <w:fldChar w:fldCharType="separate"/>
            </w:r>
            <w:r w:rsidR="0093696B">
              <w:rPr>
                <w:noProof/>
                <w:webHidden/>
              </w:rPr>
              <w:t>172</w:t>
            </w:r>
            <w:r>
              <w:rPr>
                <w:noProof/>
                <w:webHidden/>
              </w:rPr>
              <w:fldChar w:fldCharType="end"/>
            </w:r>
          </w:hyperlink>
        </w:p>
        <w:p w14:paraId="5FED2D68" w14:textId="18B9D6A5" w:rsidR="00CE5ECF" w:rsidRDefault="00CE5ECF" w:rsidP="00CE5ECF">
          <w:pPr>
            <w:pStyle w:val="cTableofContents"/>
            <w:rPr>
              <w:rFonts w:asciiTheme="minorHAnsi" w:eastAsiaTheme="minorEastAsia" w:hAnsiTheme="minorHAnsi"/>
              <w:noProof/>
              <w:kern w:val="2"/>
              <w:szCs w:val="24"/>
              <w14:ligatures w14:val="standardContextual"/>
            </w:rPr>
          </w:pPr>
          <w:hyperlink w:anchor="_Toc238205570" w:history="1">
            <w:r w:rsidRPr="0016662B">
              <w:rPr>
                <w:rStyle w:val="Hyperlink"/>
                <w:noProof/>
              </w:rPr>
              <w:t>Key Codes, Standards, and Data Sources</w:t>
            </w:r>
            <w:r>
              <w:rPr>
                <w:noProof/>
                <w:webHidden/>
              </w:rPr>
              <w:tab/>
            </w:r>
            <w:r>
              <w:rPr>
                <w:noProof/>
                <w:webHidden/>
              </w:rPr>
              <w:fldChar w:fldCharType="begin"/>
            </w:r>
            <w:r>
              <w:rPr>
                <w:noProof/>
                <w:webHidden/>
              </w:rPr>
              <w:instrText xml:space="preserve"> PAGEREF _Toc238205570 \h </w:instrText>
            </w:r>
            <w:r>
              <w:rPr>
                <w:noProof/>
                <w:webHidden/>
              </w:rPr>
            </w:r>
            <w:r>
              <w:rPr>
                <w:noProof/>
                <w:webHidden/>
              </w:rPr>
              <w:fldChar w:fldCharType="separate"/>
            </w:r>
            <w:r w:rsidR="0093696B">
              <w:rPr>
                <w:noProof/>
                <w:webHidden/>
              </w:rPr>
              <w:t>174</w:t>
            </w:r>
            <w:r>
              <w:rPr>
                <w:noProof/>
                <w:webHidden/>
              </w:rPr>
              <w:fldChar w:fldCharType="end"/>
            </w:r>
          </w:hyperlink>
        </w:p>
        <w:p w14:paraId="38C6EFFE" w14:textId="28F3D1C3" w:rsidR="00B079CC" w:rsidRDefault="00994197" w:rsidP="00322275">
          <w:pPr>
            <w:pStyle w:val="cTableofContents"/>
          </w:pPr>
          <w:r>
            <w:fldChar w:fldCharType="end"/>
          </w:r>
        </w:p>
      </w:sdtContent>
    </w:sdt>
    <w:p w14:paraId="42F1C821" w14:textId="77777777" w:rsidR="00774995" w:rsidRPr="00774995" w:rsidRDefault="00774995" w:rsidP="00774995"/>
    <w:p w14:paraId="50976032" w14:textId="77777777" w:rsidR="004E69F3" w:rsidRPr="00DC7AA5" w:rsidRDefault="00DC7AA5" w:rsidP="00DC7AA5">
      <w:pPr>
        <w:pStyle w:val="Heading1"/>
      </w:pPr>
      <w:bookmarkStart w:id="8" w:name="_Toc237471099"/>
      <w:bookmarkStart w:id="9" w:name="_Toc238129754"/>
      <w:bookmarkStart w:id="10" w:name="_Toc238205538"/>
      <w:bookmarkStart w:id="11" w:name="_Toc237345518"/>
      <w:r w:rsidRPr="00DC7AA5">
        <w:lastRenderedPageBreak/>
        <w:t>N</w:t>
      </w:r>
      <w:r w:rsidR="004E69F3" w:rsidRPr="00DC7AA5">
        <w:t>uclear-Integrated Industrial Processing Platforms</w:t>
      </w:r>
      <w:bookmarkEnd w:id="8"/>
      <w:bookmarkEnd w:id="9"/>
      <w:bookmarkEnd w:id="10"/>
    </w:p>
    <w:p w14:paraId="5A523F92" w14:textId="77777777" w:rsidR="006964D0" w:rsidRDefault="006964D0" w:rsidP="002E7045">
      <w:r>
        <w:t>In the proposed concept, large platforms of industrial processing equipment are co-located with nuclear power plants and powered by heat transported through isolated steam, hot-water, or other qualified intermediate loops. The reference transport envelope is 12 m wide, with 24 m modular increments: one to four modules can form 12 × 24, 12 × 48, 12 × 72, or 12 × 96 m platforms. The largest four-module platforms can be transported by double rail and positioned side-by-side near the reactor (Figure 1). Site-wide efficiency can be improved by cascading useful heat among processes, recovering waste heat, and using thermal storage, heat pumps, or mechanical-vapor recompression where economical. The platform families include generic industrial heat services, direct air capture, hydrogen and ammonia production, and sector-specific industrial processing.</w:t>
      </w:r>
    </w:p>
    <w:p w14:paraId="205DA2FA" w14:textId="77777777" w:rsidR="006964D0" w:rsidRPr="00D12D3D" w:rsidRDefault="006964D0" w:rsidP="006964D0">
      <w:pPr>
        <w:jc w:val="center"/>
      </w:pPr>
      <w:r w:rsidRPr="00D12D3D">
        <w:rPr>
          <w:noProof/>
        </w:rPr>
        <w:drawing>
          <wp:inline distT="0" distB="0" distL="0" distR="0" wp14:anchorId="26742767" wp14:editId="6FE3B739">
            <wp:extent cx="5449600" cy="381635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20_consolidated2_66pt_LABELED"/>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460173" cy="3823754"/>
                    </a:xfrm>
                    <a:prstGeom prst="rect">
                      <a:avLst/>
                    </a:prstGeom>
                    <a:noFill/>
                  </pic:spPr>
                </pic:pic>
              </a:graphicData>
            </a:graphic>
          </wp:inline>
        </w:drawing>
      </w:r>
    </w:p>
    <w:p w14:paraId="4342099E" w14:textId="77777777" w:rsidR="006964D0" w:rsidRDefault="006964D0" w:rsidP="006964D0">
      <w:pPr>
        <w:pStyle w:val="bfigure-caption"/>
      </w:pPr>
      <w:r w:rsidRPr="00D12D3D">
        <w:t>Figure</w:t>
      </w:r>
      <w:r>
        <w:t xml:space="preserve"> 1</w:t>
      </w:r>
      <w:r w:rsidRPr="00D12D3D">
        <w:t>: Nuclear reactors co-located with multiple platforms of chemical processing equipment. Concept illustration by G. Weinreb.</w:t>
      </w:r>
    </w:p>
    <w:p w14:paraId="5777C019" w14:textId="77777777" w:rsidR="006964D0" w:rsidRPr="00D12D3D" w:rsidRDefault="006964D0" w:rsidP="006964D0">
      <w:pPr>
        <w:pStyle w:val="Heading2"/>
      </w:pPr>
      <w:r>
        <w:t xml:space="preserve">Industrial Processing Yard </w:t>
      </w:r>
    </w:p>
    <w:p w14:paraId="281166C9" w14:textId="77777777" w:rsidR="006964D0" w:rsidRPr="00D12D3D" w:rsidRDefault="006964D0" w:rsidP="00A034F3">
      <w:r>
        <w:t>In theory, c</w:t>
      </w:r>
      <w:r w:rsidRPr="00D12D3D">
        <w:t xml:space="preserve">hemical processing </w:t>
      </w:r>
      <w:r>
        <w:t>platforms could be</w:t>
      </w:r>
      <w:r w:rsidRPr="00D12D3D">
        <w:t xml:space="preserve"> positioned side-by-side, a</w:t>
      </w:r>
      <w:r>
        <w:t>s shown below</w:t>
      </w:r>
      <w:r w:rsidRPr="00D12D3D">
        <w:t xml:space="preserve">. In this illustration, platforms are shown in green, pipes carrying heat from the nuclear reactors are shown in blue, underground tunnels that support pipes in between platforms are shown in light violet, and </w:t>
      </w:r>
      <w:r w:rsidRPr="00D12D3D">
        <w:lastRenderedPageBreak/>
        <w:t>underground tunnels that support moving material into and out of the chemical processing platforms are shown in light purple.</w:t>
      </w:r>
    </w:p>
    <w:p w14:paraId="3EA0EF7B" w14:textId="77777777" w:rsidR="006964D0" w:rsidRPr="00D12D3D" w:rsidRDefault="006964D0" w:rsidP="006964D0">
      <w:pPr>
        <w:ind w:left="-720" w:right="-792"/>
        <w:jc w:val="center"/>
        <w:rPr>
          <w:highlight w:val="yellow"/>
        </w:rPr>
      </w:pPr>
      <w:r w:rsidRPr="008A4745">
        <w:rPr>
          <w:noProof/>
        </w:rPr>
        <w:drawing>
          <wp:inline distT="0" distB="0" distL="0" distR="0" wp14:anchorId="2DDB4B92" wp14:editId="50EEE4E6">
            <wp:extent cx="4480244" cy="17399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481993" cy="1740579"/>
                    </a:xfrm>
                    <a:prstGeom prst="rect">
                      <a:avLst/>
                    </a:prstGeom>
                    <a:noFill/>
                    <a:ln>
                      <a:noFill/>
                    </a:ln>
                  </pic:spPr>
                </pic:pic>
              </a:graphicData>
            </a:graphic>
          </wp:inline>
        </w:drawing>
      </w:r>
      <w:r w:rsidRPr="008A4745">
        <w:t xml:space="preserve">   </w:t>
      </w:r>
      <w:r w:rsidRPr="008A4745">
        <w:rPr>
          <w:rStyle w:val="bcharacterChar"/>
          <w:rFonts w:eastAsiaTheme="minorHAnsi"/>
          <w:noProof/>
        </w:rPr>
        <w:drawing>
          <wp:inline distT="0" distB="0" distL="0" distR="0" wp14:anchorId="77D0229E" wp14:editId="0E80050B">
            <wp:extent cx="2432050" cy="1613276"/>
            <wp:effectExtent l="0" t="0" r="6350" b="6350"/>
            <wp:docPr id="3240568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37898" cy="1617155"/>
                    </a:xfrm>
                    <a:prstGeom prst="rect">
                      <a:avLst/>
                    </a:prstGeom>
                    <a:noFill/>
                    <a:ln>
                      <a:noFill/>
                    </a:ln>
                  </pic:spPr>
                </pic:pic>
              </a:graphicData>
            </a:graphic>
          </wp:inline>
        </w:drawing>
      </w:r>
    </w:p>
    <w:p w14:paraId="3F101FF2" w14:textId="77777777" w:rsidR="006964D0" w:rsidRPr="00D12D3D" w:rsidRDefault="006964D0" w:rsidP="006964D0">
      <w:pPr>
        <w:pStyle w:val="bfigure-caption"/>
      </w:pPr>
      <w:r w:rsidRPr="00D12D3D">
        <w:t xml:space="preserve">Figure </w:t>
      </w:r>
      <w:r>
        <w:t>2</w:t>
      </w:r>
      <w:r w:rsidRPr="00D12D3D">
        <w:t>: Chemical processing yard consists of processing platforms side-by-side.</w:t>
      </w:r>
    </w:p>
    <w:p w14:paraId="68A64DB8" w14:textId="77777777" w:rsidR="006964D0" w:rsidRPr="00D12D3D" w:rsidRDefault="006964D0" w:rsidP="006964D0">
      <w:r w:rsidRPr="00D12D3D">
        <w:t xml:space="preserve">There are two primary approaches to underground tunnel construction. </w:t>
      </w:r>
      <w:r>
        <w:t>One method involves manufacturing precast concrete modules at an off-site factory, transporting them to the site, and joining them with more concrete.</w:t>
      </w:r>
      <w:r w:rsidRPr="00D12D3D">
        <w:t xml:space="preserve"> </w:t>
      </w:r>
      <w:r>
        <w:t>Alternatively, rebar cages and forms could be assembled off-site, transported to the site, and then filled with wet concrete</w:t>
      </w:r>
      <w:r w:rsidRPr="00D12D3D">
        <w:t xml:space="preserve">. </w:t>
      </w:r>
      <w:r>
        <w:t xml:space="preserve">Specialized </w:t>
      </w:r>
      <w:r w:rsidRPr="00D12D3D">
        <w:t xml:space="preserve">equipment and factories </w:t>
      </w:r>
      <w:r>
        <w:t>could be developed that</w:t>
      </w:r>
      <w:r w:rsidRPr="00D12D3D">
        <w:t xml:space="preserve"> support both methods.</w:t>
      </w:r>
    </w:p>
    <w:p w14:paraId="4F007EA2" w14:textId="77777777" w:rsidR="006964D0" w:rsidRPr="00D12D3D" w:rsidRDefault="006964D0" w:rsidP="006964D0">
      <w:pPr>
        <w:pStyle w:val="Heading2"/>
      </w:pPr>
      <w:r w:rsidRPr="00D12D3D">
        <w:t>Platform Transporter</w:t>
      </w:r>
    </w:p>
    <w:p w14:paraId="6106F12E" w14:textId="77777777" w:rsidR="006964D0" w:rsidRDefault="006964D0" w:rsidP="006964D0">
      <w:r>
        <w:t>In theory,</w:t>
      </w:r>
      <w:r w:rsidRPr="00D12D3D">
        <w:t xml:space="preserve"> equipment </w:t>
      </w:r>
      <w:r>
        <w:t>could be developed that</w:t>
      </w:r>
      <w:r w:rsidRPr="00D12D3D">
        <w:t xml:space="preserve"> moves 12m</w:t>
      </w:r>
      <w:r>
        <w:t xml:space="preserve"> ×</w:t>
      </w:r>
      <w:r w:rsidRPr="00D12D3D">
        <w:t xml:space="preserve"> 96m platforms across land via double-rai</w:t>
      </w:r>
      <w:r>
        <w:t xml:space="preserve">l, and across water via specially </w:t>
      </w:r>
      <w:r w:rsidRPr="00D12D3D">
        <w:t xml:space="preserve">built ships. To prevent bending when traveling over hills or around curves, </w:t>
      </w:r>
      <w:r>
        <w:t xml:space="preserve">these platforms could </w:t>
      </w:r>
      <w:r w:rsidRPr="00D12D3D">
        <w:t xml:space="preserve">be </w:t>
      </w:r>
      <w:r>
        <w:t>mounted</w:t>
      </w:r>
      <w:r w:rsidRPr="00D12D3D">
        <w:t xml:space="preserve"> on a ridged </w:t>
      </w:r>
      <w:hyperlink r:id="rId22" w:history="1">
        <w:r w:rsidRPr="00ED32F9">
          <w:rPr>
            <w:rStyle w:val="bhyperlinkChar"/>
          </w:rPr>
          <w:t>truss</w:t>
        </w:r>
      </w:hyperlink>
      <w:r w:rsidRPr="00D12D3D">
        <w:t xml:space="preserve"> </w:t>
      </w:r>
      <w:r>
        <w:t>s</w:t>
      </w:r>
      <w:r w:rsidRPr="00D12D3D">
        <w:t xml:space="preserve">upported by jacks between the </w:t>
      </w:r>
      <w:r>
        <w:t>truss and railcars</w:t>
      </w:r>
      <w:r w:rsidRPr="00D12D3D">
        <w:t xml:space="preserve">, as </w:t>
      </w:r>
      <w:r>
        <w:t>illustrated</w:t>
      </w:r>
      <w:r w:rsidRPr="00D12D3D">
        <w:t xml:space="preserve"> below.</w:t>
      </w:r>
    </w:p>
    <w:p w14:paraId="625F53DD" w14:textId="77777777" w:rsidR="006964D0" w:rsidRPr="00D12D3D" w:rsidRDefault="006964D0" w:rsidP="006964D0">
      <w:pPr>
        <w:jc w:val="center"/>
      </w:pPr>
      <w:r>
        <w:rPr>
          <w:rStyle w:val="bcharacterChar"/>
          <w:rFonts w:eastAsiaTheme="minorHAnsi"/>
          <w:noProof/>
        </w:rPr>
        <w:lastRenderedPageBreak/>
        <w:drawing>
          <wp:inline distT="0" distB="0" distL="0" distR="0" wp14:anchorId="030B2C4D" wp14:editId="76A0B656">
            <wp:extent cx="5187950" cy="2920213"/>
            <wp:effectExtent l="0" t="0" r="0" b="0"/>
            <wp:docPr id="14006454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20497" cy="2938533"/>
                    </a:xfrm>
                    <a:prstGeom prst="rect">
                      <a:avLst/>
                    </a:prstGeom>
                    <a:noFill/>
                    <a:ln>
                      <a:noFill/>
                    </a:ln>
                  </pic:spPr>
                </pic:pic>
              </a:graphicData>
            </a:graphic>
          </wp:inline>
        </w:drawing>
      </w:r>
    </w:p>
    <w:p w14:paraId="7E214389" w14:textId="77777777" w:rsidR="006964D0" w:rsidRPr="00D12D3D" w:rsidRDefault="006964D0" w:rsidP="006964D0">
      <w:pPr>
        <w:keepNext/>
        <w:jc w:val="center"/>
      </w:pPr>
      <w:r w:rsidRPr="00D12D3D">
        <w:rPr>
          <w:noProof/>
        </w:rPr>
        <w:drawing>
          <wp:inline distT="0" distB="0" distL="0" distR="0" wp14:anchorId="0075C266" wp14:editId="27154910">
            <wp:extent cx="6099884" cy="857614"/>
            <wp:effectExtent l="0" t="0" r="0" b="0"/>
            <wp:docPr id="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099884" cy="857614"/>
                    </a:xfrm>
                    <a:prstGeom prst="rect">
                      <a:avLst/>
                    </a:prstGeom>
                  </pic:spPr>
                </pic:pic>
              </a:graphicData>
            </a:graphic>
          </wp:inline>
        </w:drawing>
      </w:r>
    </w:p>
    <w:p w14:paraId="5D28E171" w14:textId="77777777" w:rsidR="006964D0" w:rsidRPr="00D12D3D" w:rsidRDefault="006964D0" w:rsidP="006964D0">
      <w:pPr>
        <w:pStyle w:val="bfigure-caption"/>
        <w:ind w:left="720" w:right="1188"/>
      </w:pPr>
      <w:r w:rsidRPr="00D12D3D">
        <w:t xml:space="preserve">Figure </w:t>
      </w:r>
      <w:r>
        <w:t>3</w:t>
      </w:r>
      <w:r w:rsidRPr="00D12D3D">
        <w:t>: Concept illustration of chemical processing platform transported on a rigid truss, mounted on four double-width railcars.</w:t>
      </w:r>
    </w:p>
    <w:p w14:paraId="045DA3DD" w14:textId="77777777" w:rsidR="006964D0" w:rsidRDefault="006964D0" w:rsidP="006964D0">
      <w:pPr>
        <w:pStyle w:val="Heading2"/>
      </w:pPr>
      <w:r>
        <w:t>Thermal Storage</w:t>
      </w:r>
    </w:p>
    <w:p w14:paraId="176419C6" w14:textId="77777777" w:rsidR="006964D0" w:rsidRDefault="006964D0" w:rsidP="006964D0">
      <w:r>
        <w:t xml:space="preserve">When electricity demand is low, nuclear reactors can increase the temperature of a hot liquid in a thermal storage tank; and when electricity demand is high, the stored energy can be used to make electricity. In other words, to minimize costs, thermal storage can bridge the gap between fluctuating demand and constant supply. </w:t>
      </w:r>
      <w:r w:rsidRPr="00D12D3D">
        <w:t xml:space="preserve">Also, thermal storage </w:t>
      </w:r>
      <w:r>
        <w:t>can</w:t>
      </w:r>
      <w:r w:rsidRPr="00D12D3D">
        <w:t xml:space="preserve"> minimize w</w:t>
      </w:r>
      <w:r>
        <w:t xml:space="preserve">aste heat by consuming it when </w:t>
      </w:r>
      <w:r w:rsidRPr="00D12D3D">
        <w:t>available at a temperature higher than the storage temperature</w:t>
      </w:r>
      <w:r>
        <w:t>.</w:t>
      </w:r>
      <w:r w:rsidRPr="004B0223">
        <w:t xml:space="preserve"> </w:t>
      </w:r>
      <w:r>
        <w:t xml:space="preserve">In theory, R&amp;D could </w:t>
      </w:r>
      <w:r w:rsidRPr="004B0223">
        <w:t xml:space="preserve">reduce </w:t>
      </w:r>
      <w:r>
        <w:t xml:space="preserve">thermal storage </w:t>
      </w:r>
      <w:r w:rsidRPr="004B0223">
        <w:t xml:space="preserve">costs by supporting the development of </w:t>
      </w:r>
      <w:r>
        <w:t xml:space="preserve">equipment that </w:t>
      </w:r>
      <w:r w:rsidRPr="004B0223">
        <w:t>automate</w:t>
      </w:r>
      <w:r>
        <w:t>s the</w:t>
      </w:r>
      <w:r w:rsidRPr="004B0223">
        <w:t xml:space="preserve"> construction </w:t>
      </w:r>
      <w:r>
        <w:t xml:space="preserve">of </w:t>
      </w:r>
      <w:r w:rsidRPr="004B0223">
        <w:t>thermal storage tanks</w:t>
      </w:r>
      <w:r>
        <w:t>.</w:t>
      </w:r>
    </w:p>
    <w:p w14:paraId="763D7527" w14:textId="77777777" w:rsidR="006964D0" w:rsidRPr="001C4475" w:rsidRDefault="006964D0" w:rsidP="006964D0"/>
    <w:p w14:paraId="2EC44A29" w14:textId="77777777" w:rsidR="00B41F9C" w:rsidRDefault="00994197">
      <w:pPr>
        <w:pStyle w:val="Heading1"/>
      </w:pPr>
      <w:bookmarkStart w:id="12" w:name="_Toc238205539"/>
      <w:r>
        <w:lastRenderedPageBreak/>
        <w:t>Relationship to the Nuclear Power Automated Site-Construction Initiative</w:t>
      </w:r>
      <w:bookmarkEnd w:id="12"/>
    </w:p>
    <w:p w14:paraId="259E994C" w14:textId="52EBB8E2" w:rsidR="00B41F9C" w:rsidRDefault="00994197">
      <w:r>
        <w:t xml:space="preserve">The </w:t>
      </w:r>
      <w:hyperlink r:id="rId25" w:history="1">
        <w:r w:rsidR="00245FC6" w:rsidRPr="00C94488">
          <w:rPr>
            <w:rStyle w:val="bhyperlinkChar"/>
          </w:rPr>
          <w:t>$1B automated site-construction</w:t>
        </w:r>
      </w:hyperlink>
      <w:r w:rsidR="00245FC6" w:rsidRPr="00797AAF">
        <w:t xml:space="preserve"> initiative</w:t>
      </w:r>
      <w:r w:rsidR="00245FC6">
        <w:t xml:space="preserve"> and the </w:t>
      </w:r>
      <w:hyperlink r:id="rId26" w:history="1">
        <w:r w:rsidR="00245FC6" w:rsidRPr="00245FC6">
          <w:rPr>
            <w:rStyle w:val="bhyperlinkChar"/>
          </w:rPr>
          <w:t>$1B chemical processing</w:t>
        </w:r>
      </w:hyperlink>
      <w:r w:rsidR="00245FC6">
        <w:t xml:space="preserve"> initiative s</w:t>
      </w:r>
      <w:r>
        <w:t>hould be treated as adjacent layers of one industrial system, not as two programs that independently buy the same cranes, transporters, rail systems, digital tools, and test facilities. The nuclear site-construction initiative develops the common construction backbone needed to build HTR-PM and Hualong One/PWR plants. The industrial-processing initiative develops the process-yard hardware that uses the resulting nuclear heat and electricity.</w:t>
      </w:r>
    </w:p>
    <w:p w14:paraId="506BB65A" w14:textId="77777777" w:rsidR="00B41F9C" w:rsidRDefault="00994197">
      <w:r>
        <w:t>A simple rule should govern procurement: if the site-construction initiative has already qualified a shared asset to the load, precision, safety, and interface requirements needed by the industrial yard, the industrial-processing initiative should use that asset rather than fund a second version. The industrial-processing initiative pays only for incremental industrial requirements—for example a 12 × 96 m processing-platform payload, ship/shore transfer, process-material connections, or additional operating</w:t>
      </w:r>
      <w:r>
        <w:t xml:space="preserve"> cycles that are not part of the reactor-construction mission.</w:t>
      </w:r>
    </w:p>
    <w:p w14:paraId="4F3F67F2" w14:textId="77777777" w:rsidR="00B41F9C" w:rsidRDefault="00994197">
      <w:pPr>
        <w:pStyle w:val="Heading2"/>
      </w:pPr>
      <w:r>
        <w:t>Division of scope</w:t>
      </w:r>
    </w:p>
    <w:tbl>
      <w:tblPr>
        <w:tblStyle w:val="gswTableStyle"/>
        <w:tblW w:w="10465" w:type="dxa"/>
        <w:tblLook w:val="04A0" w:firstRow="1" w:lastRow="0" w:firstColumn="1" w:lastColumn="0" w:noHBand="0" w:noVBand="1"/>
      </w:tblPr>
      <w:tblGrid>
        <w:gridCol w:w="1915"/>
        <w:gridCol w:w="2880"/>
        <w:gridCol w:w="3168"/>
        <w:gridCol w:w="2502"/>
      </w:tblGrid>
      <w:tr w:rsidR="00B41F9C" w:rsidRPr="009561AD" w14:paraId="4FB18B8E" w14:textId="77777777" w:rsidTr="00322275">
        <w:trPr>
          <w:cnfStyle w:val="100000000000" w:firstRow="1" w:lastRow="0" w:firstColumn="0" w:lastColumn="0" w:oddVBand="0" w:evenVBand="0" w:oddHBand="0" w:evenHBand="0" w:firstRowFirstColumn="0" w:firstRowLastColumn="0" w:lastRowFirstColumn="0" w:lastRowLastColumn="0"/>
        </w:trPr>
        <w:tc>
          <w:tcPr>
            <w:tcW w:w="1915" w:type="dxa"/>
          </w:tcPr>
          <w:p w14:paraId="4E83932B" w14:textId="77777777" w:rsidR="00B41F9C" w:rsidRPr="009561AD" w:rsidRDefault="00994197" w:rsidP="009561AD">
            <w:pPr>
              <w:pStyle w:val="cTableHeader"/>
            </w:pPr>
            <w:r w:rsidRPr="009561AD">
              <w:t>Capability</w:t>
            </w:r>
          </w:p>
        </w:tc>
        <w:tc>
          <w:tcPr>
            <w:tcW w:w="2880" w:type="dxa"/>
          </w:tcPr>
          <w:p w14:paraId="28B1B3D0" w14:textId="77777777" w:rsidR="00B41F9C" w:rsidRPr="009561AD" w:rsidRDefault="00994197" w:rsidP="009561AD">
            <w:pPr>
              <w:pStyle w:val="cTableHeader"/>
            </w:pPr>
            <w:r>
              <w:t>Site-construction initiative</w:t>
            </w:r>
          </w:p>
        </w:tc>
        <w:tc>
          <w:tcPr>
            <w:tcW w:w="3168" w:type="dxa"/>
          </w:tcPr>
          <w:p w14:paraId="444BE836" w14:textId="77777777" w:rsidR="00B41F9C" w:rsidRPr="009561AD" w:rsidRDefault="00994197" w:rsidP="009561AD">
            <w:pPr>
              <w:pStyle w:val="cTableHeader"/>
            </w:pPr>
            <w:r>
              <w:t>Industrial-processing initiative</w:t>
            </w:r>
          </w:p>
        </w:tc>
        <w:tc>
          <w:tcPr>
            <w:tcW w:w="2502" w:type="dxa"/>
          </w:tcPr>
          <w:p w14:paraId="2F183B8E" w14:textId="77777777" w:rsidR="00B41F9C" w:rsidRPr="009561AD" w:rsidRDefault="00994197" w:rsidP="009561AD">
            <w:pPr>
              <w:pStyle w:val="cTableHeader"/>
            </w:pPr>
            <w:r w:rsidRPr="009561AD">
              <w:t>Coordination rule</w:t>
            </w:r>
          </w:p>
        </w:tc>
      </w:tr>
      <w:tr w:rsidR="00B41F9C" w14:paraId="7FEDB924" w14:textId="77777777" w:rsidTr="00322275">
        <w:tc>
          <w:tcPr>
            <w:tcW w:w="1915" w:type="dxa"/>
          </w:tcPr>
          <w:p w14:paraId="69439FAC" w14:textId="77777777" w:rsidR="00B41F9C" w:rsidRDefault="00994197">
            <w:pPr>
              <w:pStyle w:val="cTableBody"/>
              <w:spacing w:before="0"/>
            </w:pPr>
            <w:r>
              <w:t>Heavy-module transport</w:t>
            </w:r>
          </w:p>
        </w:tc>
        <w:tc>
          <w:tcPr>
            <w:tcW w:w="2880" w:type="dxa"/>
          </w:tcPr>
          <w:p w14:paraId="62518890" w14:textId="77777777" w:rsidR="00B41F9C" w:rsidRDefault="00994197">
            <w:pPr>
              <w:pStyle w:val="cTableBody"/>
              <w:spacing w:before="0"/>
            </w:pPr>
            <w:r>
              <w:t>Develop common factory/port/site heavy-transport architecture for reactor and structural modules.</w:t>
            </w:r>
          </w:p>
        </w:tc>
        <w:tc>
          <w:tcPr>
            <w:tcW w:w="3168" w:type="dxa"/>
          </w:tcPr>
          <w:p w14:paraId="6CF0D88C" w14:textId="77777777" w:rsidR="00B41F9C" w:rsidRDefault="00994197">
            <w:pPr>
              <w:pStyle w:val="cTableBody"/>
              <w:spacing w:before="0"/>
            </w:pPr>
            <w:r>
              <w:t>Qualify incremental 12 × 96 m industrial-platform payloads, rigid-truss behavior, repeated platform replacement, and process-yard routes.</w:t>
            </w:r>
          </w:p>
        </w:tc>
        <w:tc>
          <w:tcPr>
            <w:tcW w:w="2502" w:type="dxa"/>
          </w:tcPr>
          <w:p w14:paraId="6EB063B3" w14:textId="77777777" w:rsidR="00B41F9C" w:rsidRDefault="00994197">
            <w:pPr>
              <w:pStyle w:val="cTableBody"/>
              <w:spacing w:before="0"/>
            </w:pPr>
            <w:r>
              <w:t>One transporter family where practical; the industrial-processing initiative pays only for added payload/interface requirements.</w:t>
            </w:r>
          </w:p>
        </w:tc>
      </w:tr>
      <w:tr w:rsidR="00B41F9C" w14:paraId="6AF71287" w14:textId="77777777" w:rsidTr="00322275">
        <w:tc>
          <w:tcPr>
            <w:tcW w:w="1915" w:type="dxa"/>
          </w:tcPr>
          <w:p w14:paraId="5DE4A8AA" w14:textId="77777777" w:rsidR="00B41F9C" w:rsidRDefault="00994197">
            <w:pPr>
              <w:pStyle w:val="cTableBody"/>
              <w:spacing w:before="0"/>
            </w:pPr>
            <w:r>
              <w:t>Heavy lift, gantry, crane and positioning</w:t>
            </w:r>
          </w:p>
        </w:tc>
        <w:tc>
          <w:tcPr>
            <w:tcW w:w="2880" w:type="dxa"/>
          </w:tcPr>
          <w:p w14:paraId="28277513" w14:textId="77777777" w:rsidR="00B41F9C" w:rsidRDefault="00994197">
            <w:pPr>
              <w:pStyle w:val="cTableBody"/>
              <w:spacing w:before="0"/>
            </w:pPr>
            <w:r>
              <w:t>Develop common heavy-handling machines, controls, metrology, proof-load methods, and reactor-specific fixtures.</w:t>
            </w:r>
          </w:p>
        </w:tc>
        <w:tc>
          <w:tcPr>
            <w:tcW w:w="3168" w:type="dxa"/>
          </w:tcPr>
          <w:p w14:paraId="0CC32249" w14:textId="77777777" w:rsidR="00B41F9C" w:rsidRDefault="00994197">
            <w:pPr>
              <w:pStyle w:val="cTableBody"/>
              <w:spacing w:before="0"/>
            </w:pPr>
            <w:r>
              <w:t>Develop industrial-platform lifting/docking fixtures and bay interfaces.</w:t>
            </w:r>
          </w:p>
        </w:tc>
        <w:tc>
          <w:tcPr>
            <w:tcW w:w="2502" w:type="dxa"/>
          </w:tcPr>
          <w:p w14:paraId="35070FD4" w14:textId="77777777" w:rsidR="00B41F9C" w:rsidRDefault="00994197">
            <w:pPr>
              <w:pStyle w:val="cTableBody"/>
              <w:spacing w:before="0"/>
            </w:pPr>
            <w:r>
              <w:t>Reuse the common gantry/crane platform; do not buy duplicate base machines.</w:t>
            </w:r>
          </w:p>
        </w:tc>
      </w:tr>
      <w:tr w:rsidR="00B41F9C" w14:paraId="21F2FB1D" w14:textId="77777777" w:rsidTr="00322275">
        <w:tc>
          <w:tcPr>
            <w:tcW w:w="1915" w:type="dxa"/>
          </w:tcPr>
          <w:p w14:paraId="238EAF12" w14:textId="77777777" w:rsidR="00B41F9C" w:rsidRDefault="00994197">
            <w:pPr>
              <w:pStyle w:val="cTableBody"/>
              <w:spacing w:before="0"/>
            </w:pPr>
            <w:r>
              <w:t>Rail and site logistics</w:t>
            </w:r>
          </w:p>
        </w:tc>
        <w:tc>
          <w:tcPr>
            <w:tcW w:w="2880" w:type="dxa"/>
          </w:tcPr>
          <w:p w14:paraId="33DEF9EA" w14:textId="77777777" w:rsidR="00B41F9C" w:rsidRDefault="00994197">
            <w:pPr>
              <w:pStyle w:val="cTableBody"/>
              <w:spacing w:before="0"/>
            </w:pPr>
            <w:r>
              <w:t>Develop construction rail/site-logistics geometry and heavy movement interfaces used by HTR-PM/PWR construction.</w:t>
            </w:r>
          </w:p>
        </w:tc>
        <w:tc>
          <w:tcPr>
            <w:tcW w:w="3168" w:type="dxa"/>
          </w:tcPr>
          <w:p w14:paraId="0C265E94" w14:textId="77777777" w:rsidR="00B41F9C" w:rsidRDefault="00994197">
            <w:pPr>
              <w:pStyle w:val="cTableBody"/>
              <w:spacing w:before="0"/>
            </w:pPr>
            <w:r>
              <w:t>Develop segmented electrified-rail power delivery, collectors, switching, lockout, warning systems, and industrial-yard operating profiles.</w:t>
            </w:r>
          </w:p>
        </w:tc>
        <w:tc>
          <w:tcPr>
            <w:tcW w:w="2502" w:type="dxa"/>
          </w:tcPr>
          <w:p w14:paraId="3706FBB4" w14:textId="77777777" w:rsidR="00B41F9C" w:rsidRDefault="00994197">
            <w:pPr>
              <w:pStyle w:val="cTableBody"/>
              <w:spacing w:before="0"/>
            </w:pPr>
            <w:r>
              <w:t>Share rail geometry and safety envelope; the industrial-processing initiative owns the electrification extension unless the site-construction initiative adopts it first.</w:t>
            </w:r>
          </w:p>
        </w:tc>
      </w:tr>
      <w:tr w:rsidR="00B41F9C" w14:paraId="63D751BA" w14:textId="77777777" w:rsidTr="00322275">
        <w:tc>
          <w:tcPr>
            <w:tcW w:w="1915" w:type="dxa"/>
          </w:tcPr>
          <w:p w14:paraId="01984F65" w14:textId="77777777" w:rsidR="00B41F9C" w:rsidRDefault="00994197">
            <w:pPr>
              <w:pStyle w:val="cTableBody"/>
              <w:spacing w:before="0"/>
            </w:pPr>
            <w:r>
              <w:t>Civil works, tunnels and material flow</w:t>
            </w:r>
          </w:p>
        </w:tc>
        <w:tc>
          <w:tcPr>
            <w:tcW w:w="2880" w:type="dxa"/>
          </w:tcPr>
          <w:p w14:paraId="4B2A9096" w14:textId="77777777" w:rsidR="00B41F9C" w:rsidRDefault="00994197">
            <w:pPr>
              <w:pStyle w:val="cTableBody"/>
              <w:spacing w:before="0"/>
            </w:pPr>
            <w:r>
              <w:t>Develop reactor-site excavation, concrete, rebar, structural automation, spoil removal, and construction logistics.</w:t>
            </w:r>
          </w:p>
        </w:tc>
        <w:tc>
          <w:tcPr>
            <w:tcW w:w="3168" w:type="dxa"/>
          </w:tcPr>
          <w:p w14:paraId="3AF99B7E" w14:textId="77777777" w:rsidR="00B41F9C" w:rsidRDefault="00994197">
            <w:pPr>
              <w:pStyle w:val="cTableBody"/>
              <w:spacing w:before="0"/>
            </w:pPr>
            <w:r>
              <w:t>Develop pre-equipped industrial tunnels, material-distribution spines, manifolds, conveyors, storage and waterfront modules.</w:t>
            </w:r>
          </w:p>
        </w:tc>
        <w:tc>
          <w:tcPr>
            <w:tcW w:w="2502" w:type="dxa"/>
          </w:tcPr>
          <w:p w14:paraId="14CEFD47" w14:textId="77777777" w:rsidR="00B41F9C" w:rsidRDefault="00994197">
            <w:pPr>
              <w:pStyle w:val="cTableBody"/>
              <w:spacing w:before="0"/>
            </w:pPr>
            <w:r>
              <w:t xml:space="preserve">Share civil automation methods; the industrial-processing initiative pays for process-yard-specific </w:t>
            </w:r>
            <w:r>
              <w:lastRenderedPageBreak/>
              <w:t>tunnel contents and logistics.</w:t>
            </w:r>
          </w:p>
        </w:tc>
      </w:tr>
      <w:tr w:rsidR="00B41F9C" w14:paraId="77CE0615" w14:textId="77777777" w:rsidTr="00322275">
        <w:tc>
          <w:tcPr>
            <w:tcW w:w="1915" w:type="dxa"/>
          </w:tcPr>
          <w:p w14:paraId="56672A9B" w14:textId="77777777" w:rsidR="00B41F9C" w:rsidRDefault="00994197">
            <w:pPr>
              <w:pStyle w:val="cTableBody"/>
              <w:spacing w:before="0"/>
            </w:pPr>
            <w:r>
              <w:lastRenderedPageBreak/>
              <w:t>Digital twin, autonomy and metrology</w:t>
            </w:r>
          </w:p>
        </w:tc>
        <w:tc>
          <w:tcPr>
            <w:tcW w:w="2880" w:type="dxa"/>
          </w:tcPr>
          <w:p w14:paraId="4EDA5493" w14:textId="77777777" w:rsidR="00B41F9C" w:rsidRDefault="00994197">
            <w:pPr>
              <w:pStyle w:val="cTableBody"/>
              <w:spacing w:before="0"/>
            </w:pPr>
            <w:r>
              <w:t>Develop regulated construction digital twin, machine control, metrology, configuration and QA data thread.</w:t>
            </w:r>
          </w:p>
        </w:tc>
        <w:tc>
          <w:tcPr>
            <w:tcW w:w="3168" w:type="dxa"/>
          </w:tcPr>
          <w:p w14:paraId="28EB6432" w14:textId="77777777" w:rsidR="00B41F9C" w:rsidRDefault="00994197">
            <w:pPr>
              <w:pStyle w:val="cTableBody"/>
              <w:spacing w:before="0"/>
            </w:pPr>
            <w:r>
              <w:t>Extend the same digital architecture to industrial modules, interoperability, maintenance, process interfaces and conformance testing.</w:t>
            </w:r>
          </w:p>
        </w:tc>
        <w:tc>
          <w:tcPr>
            <w:tcW w:w="2502" w:type="dxa"/>
          </w:tcPr>
          <w:p w14:paraId="696F8F01" w14:textId="77777777" w:rsidR="00B41F9C" w:rsidRDefault="00994197">
            <w:pPr>
              <w:pStyle w:val="cTableBody"/>
              <w:spacing w:before="0"/>
            </w:pPr>
            <w:r>
              <w:t>Use common identifiers/data protocols where possible; avoid parallel software stacks.</w:t>
            </w:r>
          </w:p>
        </w:tc>
      </w:tr>
      <w:tr w:rsidR="00B41F9C" w14:paraId="524088B7" w14:textId="77777777" w:rsidTr="00322275">
        <w:tc>
          <w:tcPr>
            <w:tcW w:w="1915" w:type="dxa"/>
          </w:tcPr>
          <w:p w14:paraId="35CC42F9" w14:textId="77777777" w:rsidR="00B41F9C" w:rsidRDefault="00994197">
            <w:pPr>
              <w:pStyle w:val="cTableBody"/>
              <w:spacing w:before="0"/>
            </w:pPr>
            <w:r>
              <w:t>Nuclear/industrial heat boundary</w:t>
            </w:r>
          </w:p>
        </w:tc>
        <w:tc>
          <w:tcPr>
            <w:tcW w:w="2880" w:type="dxa"/>
          </w:tcPr>
          <w:p w14:paraId="7832214C" w14:textId="77777777" w:rsidR="00B41F9C" w:rsidRDefault="00994197">
            <w:pPr>
              <w:pStyle w:val="cTableBody"/>
              <w:spacing w:before="0"/>
            </w:pPr>
            <w:r>
              <w:t>Define plant-side construction envelopes and reactor-side interfaces needed for the reference plants.</w:t>
            </w:r>
          </w:p>
        </w:tc>
        <w:tc>
          <w:tcPr>
            <w:tcW w:w="3168" w:type="dxa"/>
          </w:tcPr>
          <w:p w14:paraId="36344E75" w14:textId="77777777" w:rsidR="00B41F9C" w:rsidRDefault="00994197">
            <w:pPr>
              <w:pStyle w:val="cTableBody"/>
              <w:spacing w:before="0"/>
            </w:pPr>
            <w:r>
              <w:t>Develop qualified isolation loops, heat grades, steam/molten-salt interfaces, metering, process-yard headers and platform connection standards.</w:t>
            </w:r>
          </w:p>
        </w:tc>
        <w:tc>
          <w:tcPr>
            <w:tcW w:w="2502" w:type="dxa"/>
          </w:tcPr>
          <w:p w14:paraId="0FB29D13" w14:textId="77777777" w:rsidR="00B41F9C" w:rsidRDefault="00994197">
            <w:pPr>
              <w:pStyle w:val="cTableBody"/>
              <w:spacing w:before="0"/>
            </w:pPr>
            <w:r>
              <w:t>The industrial-processing initiative owns the non-nuclear process interface; the reactor safety boundary remains controlled by the nuclear design authority.</w:t>
            </w:r>
          </w:p>
        </w:tc>
      </w:tr>
      <w:tr w:rsidR="00B41F9C" w14:paraId="4E45509E" w14:textId="77777777" w:rsidTr="00322275">
        <w:tc>
          <w:tcPr>
            <w:tcW w:w="1915" w:type="dxa"/>
          </w:tcPr>
          <w:p w14:paraId="10C9B1C5" w14:textId="77777777" w:rsidR="00B41F9C" w:rsidRDefault="00994197">
            <w:pPr>
              <w:pStyle w:val="cTableBody"/>
              <w:spacing w:before="0"/>
            </w:pPr>
            <w:r>
              <w:t>Thermal storage and industrial utilities</w:t>
            </w:r>
          </w:p>
        </w:tc>
        <w:tc>
          <w:tcPr>
            <w:tcW w:w="2880" w:type="dxa"/>
          </w:tcPr>
          <w:p w14:paraId="24B58B84" w14:textId="77777777" w:rsidR="00B41F9C" w:rsidRDefault="00994197">
            <w:pPr>
              <w:pStyle w:val="cTableBody"/>
              <w:spacing w:before="0"/>
            </w:pPr>
            <w:r>
              <w:t>May provide site construction methods and shared heavy equipment if useful.</w:t>
            </w:r>
          </w:p>
        </w:tc>
        <w:tc>
          <w:tcPr>
            <w:tcW w:w="3168" w:type="dxa"/>
          </w:tcPr>
          <w:p w14:paraId="63B5FC3A" w14:textId="77777777" w:rsidR="00B41F9C" w:rsidRDefault="00994197">
            <w:pPr>
              <w:pStyle w:val="cTableBody"/>
              <w:spacing w:before="0"/>
            </w:pPr>
            <w:r>
              <w:t>Develop automated tank-construction machines, storage modules, heat pumps/MVR, utility platforms, and industrial distribution systems.</w:t>
            </w:r>
          </w:p>
        </w:tc>
        <w:tc>
          <w:tcPr>
            <w:tcW w:w="2502" w:type="dxa"/>
          </w:tcPr>
          <w:p w14:paraId="579A1C87" w14:textId="77777777" w:rsidR="00B41F9C" w:rsidRDefault="00994197">
            <w:pPr>
              <w:pStyle w:val="cTableBody"/>
              <w:spacing w:before="0"/>
            </w:pPr>
            <w:r>
              <w:t>Use site-construction initiative machines when qualified; fund only incremental industrial tooling.</w:t>
            </w:r>
          </w:p>
        </w:tc>
      </w:tr>
      <w:tr w:rsidR="00B41F9C" w14:paraId="0E9DE096" w14:textId="77777777" w:rsidTr="00322275">
        <w:tc>
          <w:tcPr>
            <w:tcW w:w="1915" w:type="dxa"/>
          </w:tcPr>
          <w:p w14:paraId="5432949D" w14:textId="77777777" w:rsidR="00B41F9C" w:rsidRDefault="00994197">
            <w:pPr>
              <w:pStyle w:val="cTableBody"/>
              <w:spacing w:before="0"/>
            </w:pPr>
            <w:r>
              <w:t>Industrial processes, DAC and ammonia</w:t>
            </w:r>
          </w:p>
        </w:tc>
        <w:tc>
          <w:tcPr>
            <w:tcW w:w="2880" w:type="dxa"/>
          </w:tcPr>
          <w:p w14:paraId="337C355C" w14:textId="77777777" w:rsidR="00B41F9C" w:rsidRDefault="00994197">
            <w:pPr>
              <w:pStyle w:val="cTableBody"/>
              <w:spacing w:before="0"/>
            </w:pPr>
            <w:r>
              <w:t>Outside the site-construction initiative except for generic site interfaces.</w:t>
            </w:r>
          </w:p>
        </w:tc>
        <w:tc>
          <w:tcPr>
            <w:tcW w:w="3168" w:type="dxa"/>
          </w:tcPr>
          <w:p w14:paraId="3F17DA98" w14:textId="77777777" w:rsidR="00B41F9C" w:rsidRDefault="00994197">
            <w:pPr>
              <w:pStyle w:val="cTableBody"/>
              <w:spacing w:before="0"/>
            </w:pPr>
            <w:r>
              <w:t>Own the 31 platform families, DAC, hydrogen/ammonia, marine ammonia fuel cells, process pilots and long-duration industrial testing.</w:t>
            </w:r>
          </w:p>
        </w:tc>
        <w:tc>
          <w:tcPr>
            <w:tcW w:w="2502" w:type="dxa"/>
          </w:tcPr>
          <w:p w14:paraId="1129E0B3" w14:textId="77777777" w:rsidR="00B41F9C" w:rsidRDefault="00994197">
            <w:pPr>
              <w:pStyle w:val="cTableBody"/>
              <w:spacing w:before="0"/>
            </w:pPr>
            <w:r>
              <w:t>No overlap: these are industrial-processing deliverables.</w:t>
            </w:r>
          </w:p>
        </w:tc>
      </w:tr>
    </w:tbl>
    <w:p w14:paraId="59BD9EC0" w14:textId="77777777" w:rsidR="00B41F9C" w:rsidRDefault="00994197">
      <w:pPr>
        <w:pStyle w:val="Heading2"/>
      </w:pPr>
      <w:r>
        <w:t>Funding and interface rule</w:t>
      </w:r>
    </w:p>
    <w:p w14:paraId="5A8017CC" w14:textId="77777777" w:rsidR="00B41F9C" w:rsidRPr="004D3942" w:rsidRDefault="00994197" w:rsidP="004D3942">
      <w:pPr>
        <w:pStyle w:val="blist-bullets"/>
      </w:pPr>
      <w:r w:rsidRPr="004D3942">
        <w:t>Fund each shared physical asset only once; charge the second program only for incremental requirements, tooling, tests, or operating time.</w:t>
      </w:r>
    </w:p>
    <w:p w14:paraId="7F1DC419" w14:textId="77777777" w:rsidR="00B41F9C" w:rsidRPr="004D3942" w:rsidRDefault="00994197" w:rsidP="004D3942">
      <w:pPr>
        <w:pStyle w:val="blist-bullets"/>
      </w:pPr>
      <w:r w:rsidRPr="004D3942">
        <w:t>Maintain one interface-control document for module dimensions, rail geometry, lifting points, electrical power, heat, process piping, controls/data, metrology, and safety boundaries.</w:t>
      </w:r>
    </w:p>
    <w:p w14:paraId="33F8EEDD" w14:textId="77777777" w:rsidR="00B41F9C" w:rsidRPr="004D3942" w:rsidRDefault="00994197" w:rsidP="004D3942">
      <w:pPr>
        <w:pStyle w:val="blist-bullets"/>
      </w:pPr>
      <w:r w:rsidRPr="004D3942">
        <w:t>Use a joint configuration-control board for changes that affect both reactor construction and the industrial yard.</w:t>
      </w:r>
    </w:p>
    <w:p w14:paraId="6FF070D2" w14:textId="77777777" w:rsidR="00B41F9C" w:rsidRPr="004D3942" w:rsidRDefault="00994197" w:rsidP="004D3942">
      <w:pPr>
        <w:pStyle w:val="blist-bullets"/>
      </w:pPr>
      <w:r w:rsidRPr="004D3942">
        <w:t>Maintain a procurement ledger marking every major package as construction-only, industrial-only, or shared, with the funding split and acceptance tests stated before award.</w:t>
      </w:r>
    </w:p>
    <w:p w14:paraId="76250EA3" w14:textId="77777777" w:rsidR="00B41F9C" w:rsidRDefault="00994197">
      <w:r>
        <w:t>This division lets the two $1B programs reinforce each other. The site-construction initiative proves that standardized Chinese PWR and HTR-PM plants can be built with a more automated site system; the industrial-processing initiative then turns low-cost nuclear heat and electricity into a standardized industrial campus without paying a second time for the same construction backbone.</w:t>
      </w:r>
    </w:p>
    <w:p w14:paraId="06AF8837" w14:textId="77777777" w:rsidR="009C3A0E" w:rsidRDefault="004E69F3">
      <w:pPr>
        <w:pStyle w:val="Heading1"/>
        <w:spacing w:before="0" w:after="0"/>
      </w:pPr>
      <w:bookmarkStart w:id="13" w:name="_Toc237471101"/>
      <w:bookmarkStart w:id="14" w:name="_Toc238129756"/>
      <w:bookmarkStart w:id="15" w:name="_Toc238205540"/>
      <w:bookmarkEnd w:id="11"/>
      <w:r>
        <w:lastRenderedPageBreak/>
        <w:t>Proposed $1B R&amp;D Initiative</w:t>
      </w:r>
      <w:bookmarkEnd w:id="13"/>
      <w:bookmarkEnd w:id="14"/>
      <w:bookmarkEnd w:id="15"/>
    </w:p>
    <w:p w14:paraId="17096958" w14:textId="496D5A38" w:rsidR="00A861E8" w:rsidRPr="00A861E8" w:rsidRDefault="00A352AA" w:rsidP="00A352AA">
      <w:pPr>
        <w:pStyle w:val="cUserPromptText"/>
        <w:rPr>
          <w:b/>
        </w:rPr>
      </w:pPr>
      <w:r>
        <w:rPr>
          <w:b/>
        </w:rPr>
        <w:t xml:space="preserve">Prompt to AI: </w:t>
      </w:r>
      <w:r w:rsidR="00A861E8" w:rsidRPr="00A861E8">
        <w:t xml:space="preserve">Summarize </w:t>
      </w:r>
      <w:r w:rsidR="000D366D">
        <w:t>a 5-year $1B R&amp;D</w:t>
      </w:r>
      <w:r w:rsidR="001D7D83">
        <w:t xml:space="preserve"> </w:t>
      </w:r>
      <w:r w:rsidR="00A861E8" w:rsidRPr="00A861E8">
        <w:t>program to co-locate large, factory-built chemical processing platforms with nuclear power plants</w:t>
      </w:r>
      <w:r w:rsidR="00A861E8">
        <w:t xml:space="preserve">. This is </w:t>
      </w:r>
      <w:r w:rsidR="00A861E8" w:rsidRPr="00A861E8">
        <w:t xml:space="preserve">based primarily on the “Co-locate Chemical Processing with Nuclear Power” chapter </w:t>
      </w:r>
      <w:r w:rsidR="00A861E8">
        <w:t>within</w:t>
      </w:r>
      <w:r w:rsidR="00A861E8" w:rsidRPr="00A861E8">
        <w:t xml:space="preserve"> the </w:t>
      </w:r>
      <w:hyperlink r:id="rId27" w:history="1">
        <w:r w:rsidR="00A861E8" w:rsidRPr="00717536">
          <w:rPr>
            <w:rStyle w:val="bhyperlinkChar"/>
          </w:rPr>
          <w:t>Climate Moonshot Business Plan</w:t>
        </w:r>
      </w:hyperlink>
      <w:r w:rsidR="00A861E8" w:rsidRPr="00A861E8">
        <w:t>.</w:t>
      </w:r>
    </w:p>
    <w:p w14:paraId="40CAD2B4" w14:textId="77F20AF2" w:rsidR="00EE5495" w:rsidRPr="00717536" w:rsidRDefault="00A861E8" w:rsidP="00717536">
      <w:pPr>
        <w:pStyle w:val="cUserPromptText"/>
      </w:pPr>
      <w:r>
        <w:t>The program should d</w:t>
      </w:r>
      <w:r w:rsidRPr="00A352AA">
        <w:t>evelop</w:t>
      </w:r>
      <w:r>
        <w:t xml:space="preserve"> </w:t>
      </w:r>
      <w:r>
        <w:rPr>
          <w:rFonts w:cs="Calibri"/>
        </w:rPr>
        <w:t>≥</w:t>
      </w:r>
      <w:r w:rsidRPr="00A352AA">
        <w:t xml:space="preserve"> 3</w:t>
      </w:r>
      <w:r>
        <w:t>0</w:t>
      </w:r>
      <w:r w:rsidRPr="00A352AA">
        <w:t xml:space="preserve"> standardized industrial-processing platforms</w:t>
      </w:r>
      <w:r>
        <w:t xml:space="preserve"> that support </w:t>
      </w:r>
      <w:r w:rsidRPr="00A352AA">
        <w:t>ammonia production</w:t>
      </w:r>
      <w:r>
        <w:t xml:space="preserve">, along with other common chemical processing tasks. Also, it should: (a) develop </w:t>
      </w:r>
      <w:r w:rsidRPr="00A352AA">
        <w:t xml:space="preserve">marine ammonia fuel-cell systems, develop common standards, </w:t>
      </w:r>
      <w:r>
        <w:t xml:space="preserve">develop </w:t>
      </w:r>
      <w:r w:rsidRPr="00A352AA">
        <w:t>electrified construction rail</w:t>
      </w:r>
      <w:r>
        <w:t xml:space="preserve"> standards</w:t>
      </w:r>
      <w:r w:rsidRPr="00A352AA">
        <w:t xml:space="preserve">, </w:t>
      </w:r>
      <w:r>
        <w:t xml:space="preserve">and develop machines that </w:t>
      </w:r>
      <w:r w:rsidRPr="00A352AA">
        <w:t>automate</w:t>
      </w:r>
      <w:r>
        <w:t xml:space="preserve"> </w:t>
      </w:r>
      <w:r w:rsidRPr="00A352AA">
        <w:t>thermal-storage-tank construction</w:t>
      </w:r>
      <w:r>
        <w:t>. P</w:t>
      </w:r>
      <w:r w:rsidRPr="00A352AA">
        <w:t xml:space="preserve">rototypes </w:t>
      </w:r>
      <w:r>
        <w:t>should be built and tested for</w:t>
      </w:r>
      <w:r w:rsidRPr="00A352AA">
        <w:t xml:space="preserve"> long-duration</w:t>
      </w:r>
      <w:r>
        <w:t xml:space="preserve">s </w:t>
      </w:r>
      <w:r w:rsidRPr="00A352AA">
        <w:t>without nuclear fuel.</w:t>
      </w:r>
      <w:r>
        <w:t xml:space="preserve"> Focus on </w:t>
      </w:r>
      <w:r w:rsidR="00A352AA">
        <w:t>PWR</w:t>
      </w:r>
      <w:r>
        <w:t xml:space="preserve"> and </w:t>
      </w:r>
      <w:r w:rsidR="00A352AA">
        <w:t>HTR-PM</w:t>
      </w:r>
      <w:r>
        <w:t xml:space="preserve"> nuclear power plants built in China with automated site construction.</w:t>
      </w:r>
      <w:r w:rsidR="00A352AA" w:rsidRPr="00A352AA">
        <w:t xml:space="preserve"> </w:t>
      </w:r>
    </w:p>
    <w:p w14:paraId="38F3AFCB" w14:textId="77777777" w:rsidR="009C3A0E" w:rsidRDefault="00994197">
      <w:pPr>
        <w:spacing w:before="280" w:after="280"/>
      </w:pPr>
      <w:r>
        <w:rPr>
          <w:b/>
          <w:color w:val="4F81BD"/>
          <w:u w:val="single"/>
        </w:rPr>
        <w:t>Response From AI:</w:t>
      </w:r>
    </w:p>
    <w:p w14:paraId="77ABC5C6" w14:textId="77777777" w:rsidR="009C3A0E" w:rsidRDefault="007641C5">
      <w:pPr>
        <w:spacing w:before="280" w:after="280"/>
      </w:pPr>
      <w:r>
        <w:t>The five-year R&amp;D program</w:t>
      </w:r>
      <w:r w:rsidR="001D7D83">
        <w:t xml:space="preserve"> is</w:t>
      </w:r>
      <w:r>
        <w:t xml:space="preserve"> centered on a simple idea: manufacture large industrial-processing equipment in factories or shipyards, move it to a prepared nuclear industrial site as standardized modules, connect it through open mechanical, thermal, electrical, material-handling, safety, and data interfaces, and prove the system with progressively larger prototypes before committing to commercial deployment.</w:t>
      </w:r>
    </w:p>
    <w:p w14:paraId="13CF44A1" w14:textId="77777777" w:rsidR="009C3A0E" w:rsidRDefault="00994197">
      <w:pPr>
        <w:spacing w:before="280" w:after="280"/>
      </w:pPr>
      <w:r>
        <w:t xml:space="preserve">The program uses two Chinese nuclear reference technologies. Automated China </w:t>
      </w:r>
      <w:hyperlink r:id="rId28" w:history="1">
        <w:r w:rsidR="009C3A0E" w:rsidRPr="009E2D81">
          <w:rPr>
            <w:rStyle w:val="bhyperlinkChar"/>
          </w:rPr>
          <w:t>PWR</w:t>
        </w:r>
      </w:hyperlink>
      <w:r>
        <w:t xml:space="preserve"> is the preferred source for very-low-cost electricity and low/medium-temperature heat below roughly 300°C; </w:t>
      </w:r>
      <w:r w:rsidR="001D7D83">
        <w:t xml:space="preserve">while </w:t>
      </w:r>
      <w:r>
        <w:t xml:space="preserve">Automated China </w:t>
      </w:r>
      <w:hyperlink r:id="rId29" w:history="1">
        <w:r w:rsidR="009C3A0E" w:rsidRPr="009E2D81">
          <w:rPr>
            <w:rStyle w:val="bhyperlinkChar"/>
          </w:rPr>
          <w:t>HTR-PM</w:t>
        </w:r>
      </w:hyperlink>
      <w:r>
        <w:t xml:space="preserve"> is the preferred source when 300–500°C-class direct process heat materially improves the process. The plant architecture should cascade heat from higher-temperature platforms into lower-temperature platforms, with industrial heat pumps and mechanical-vapor recompression recovering waste heat whenever practical.</w:t>
      </w:r>
    </w:p>
    <w:p w14:paraId="1188862B" w14:textId="77777777" w:rsidR="009C3A0E" w:rsidRDefault="00994197">
      <w:pPr>
        <w:spacing w:before="280" w:after="280"/>
      </w:pPr>
      <w:r>
        <w:t>A portfolio of 31 standardized industrial-processing platform families is developed using the 12 m-wide, 24 m-increment module standard. The first five generic thermal platforms receive disproportionate attention: industrial heat-pump steam generation, mechanical-vapor-recompression evaporation, direct PWR process steam, distillation/reboiler service, and HTR-PM 300–500°C process heat. Sector-specific platforms then adapt those building blocks to pulp and paper, food, textiles, alumina, chemicals, refining,</w:t>
      </w:r>
      <w:r>
        <w:t xml:space="preserve"> metals, glass, ceramics, minerals, and other large fossil-fired heat loads.</w:t>
      </w:r>
    </w:p>
    <w:p w14:paraId="3D8FE382" w14:textId="77777777" w:rsidR="009C3A0E" w:rsidRDefault="00994197">
      <w:pPr>
        <w:spacing w:before="280" w:after="280"/>
      </w:pPr>
      <w:r>
        <w:t xml:space="preserve">The fund also retains dedicated hydrogen and ammonia development because ammonia can serve fertilizer markets and, potentially, marine propulsion. It develops factory-buildable </w:t>
      </w:r>
      <w:hyperlink r:id="rId30" w:history="1">
        <w:r w:rsidR="009C3A0E" w:rsidRPr="004D1C45">
          <w:rPr>
            <w:rStyle w:val="bhyperlinkChar"/>
          </w:rPr>
          <w:t>HTSE</w:t>
        </w:r>
      </w:hyperlink>
      <w:r w:rsidR="004D1C45">
        <w:t xml:space="preserve"> </w:t>
      </w:r>
      <w:r>
        <w:t>/</w:t>
      </w:r>
      <w:r w:rsidR="004D1C45">
        <w:t xml:space="preserve"> </w:t>
      </w:r>
      <w:hyperlink r:id="rId31" w:history="1">
        <w:r w:rsidR="009C3A0E" w:rsidRPr="004D1C45">
          <w:rPr>
            <w:rStyle w:val="bhyperlinkChar"/>
          </w:rPr>
          <w:t>SOEC</w:t>
        </w:r>
      </w:hyperlink>
      <w:r>
        <w:t xml:space="preserve"> hydrogen and Haber-Bosch ammonia platforms, then carries three shipboard high-temperature fuel-cell architectures through R&amp;D: direct/internal-cracking </w:t>
      </w:r>
      <w:hyperlink r:id="rId32" w:history="1">
        <w:r w:rsidR="009C3A0E" w:rsidRPr="004D1C45">
          <w:rPr>
            <w:rStyle w:val="bhyperlinkChar"/>
          </w:rPr>
          <w:t>SOFC</w:t>
        </w:r>
      </w:hyperlink>
      <w:r>
        <w:t xml:space="preserve">, partial-external-cracking SOFC, and externally cracked </w:t>
      </w:r>
      <w:hyperlink r:id="rId33" w:history="1">
        <w:r w:rsidR="009C3A0E" w:rsidRPr="004D1C45">
          <w:rPr>
            <w:rStyle w:val="bhyperlinkChar"/>
          </w:rPr>
          <w:t>PCFC</w:t>
        </w:r>
      </w:hyperlink>
      <w:r>
        <w:t xml:space="preserve">. Small systems are run for thousands of hours with teardown inspections so </w:t>
      </w:r>
      <w:r>
        <w:lastRenderedPageBreak/>
        <w:t>stack degradation, catalyst changes, ammonia slip, seals, piping corrosion, thermal cycling, and balance-of-plant aging are measured rather than assumed.</w:t>
      </w:r>
    </w:p>
    <w:p w14:paraId="5417BB6E" w14:textId="77777777" w:rsidR="009C3A0E" w:rsidRDefault="00994197">
      <w:pPr>
        <w:spacing w:before="280" w:after="280"/>
      </w:pPr>
      <w:r>
        <w:t>The supporting construction system is treated as part of the product. The program develops giant module transport, modular waterfront equipment, tunnels, manifolds, conveyors, storage, a common material-distribution spine, segmented electrified rail for construction machinery, and specialized machines that automate the construction of very large thermal-storage tanks. Standards are developed early so equipment from different suppliers fits together physically and communicates reliably.</w:t>
      </w:r>
    </w:p>
    <w:p w14:paraId="2D7E568F" w14:textId="77777777" w:rsidR="009C3A0E" w:rsidRDefault="00994197">
      <w:pPr>
        <w:spacing w:before="280" w:after="280"/>
      </w:pPr>
      <w:r>
        <w:t>Most R&amp;D testing is non-nuclear. Fossil-fired heaters provide PWR-like and HTR-PM-like heat to qualified intermediate loops. Site choreography may be tested at 1:100 scale, transport systems around 1:10, process platforms at pilot throughput rather than simple geometric scale, and pipes/valves/corrosion loops at representative diameter, chemistry, pressure, and temperature. This preserves the real degradation mechanisms that a tiny geometric model would miss.</w:t>
      </w:r>
    </w:p>
    <w:p w14:paraId="62CB7F7E" w14:textId="77777777" w:rsidR="009C3A0E" w:rsidRDefault="00994197" w:rsidP="00E37EB3">
      <w:pPr>
        <w:pStyle w:val="Heading2"/>
      </w:pPr>
      <w:r>
        <w:t>Key boundar</w:t>
      </w:r>
      <w:r w:rsidR="00E37EB3">
        <w:t>ies</w:t>
      </w:r>
      <w:r>
        <w:t xml:space="preserve"> of the fund</w:t>
      </w:r>
    </w:p>
    <w:p w14:paraId="33E6F2EB" w14:textId="77777777" w:rsidR="009C3A0E" w:rsidRPr="004D3942" w:rsidRDefault="00994197" w:rsidP="004D3942">
      <w:pPr>
        <w:pStyle w:val="blist-bullets"/>
      </w:pPr>
      <w:r w:rsidRPr="004D3942">
        <w:rPr>
          <w:b/>
          <w:bCs/>
        </w:rPr>
        <w:t>Included:</w:t>
      </w:r>
      <w:r w:rsidRPr="004D3942">
        <w:t xml:space="preserve"> FEED/reference designs for all 31 platform families; substantial integrated pilots for roughly the highest-priority 8–12 families; subsystem rigs or representative test articles for the remainder; ammonia platforms; shipboard ammonia fuel-cell prototypes; giant-module logistics; material handling; thermal storage; electrified construction rail; open standards; interoperability testing; full-temperature flow/corrosion loops; digital engineering; cost models; safety analysis; and long-duration non-nuclear op</w:t>
      </w:r>
      <w:r w:rsidRPr="004D3942">
        <w:t>eration.</w:t>
      </w:r>
    </w:p>
    <w:p w14:paraId="3E01FBA9" w14:textId="77777777" w:rsidR="009C3A0E" w:rsidRPr="004D3942" w:rsidRDefault="00994197" w:rsidP="004D3942">
      <w:pPr>
        <w:pStyle w:val="blist-bullets"/>
      </w:pPr>
      <w:r w:rsidRPr="004D3942">
        <w:rPr>
          <w:b/>
          <w:bCs/>
        </w:rPr>
        <w:t xml:space="preserve">Excluded: </w:t>
      </w:r>
      <w:r w:rsidRPr="004D3942">
        <w:t>construction or operation of a licensed commercial nuclear plant, nuclear fuel work, commercial-scale fertilizer production, construction of a commercial ship fleet, or a guarantee of any specific electricity, heat, ammonia, or shipping cost.</w:t>
      </w:r>
    </w:p>
    <w:p w14:paraId="6D205783" w14:textId="77777777" w:rsidR="009C3A0E" w:rsidRPr="004D3942" w:rsidRDefault="00994197" w:rsidP="004D3942">
      <w:pPr>
        <w:pStyle w:val="blist-bullets"/>
      </w:pPr>
      <w:r w:rsidRPr="004D3942">
        <w:rPr>
          <w:b/>
          <w:bCs/>
        </w:rPr>
        <w:t>Reference energy economics:</w:t>
      </w:r>
      <w:r w:rsidRPr="004D3942">
        <w:t xml:space="preserve"> use the Automated China PWR and HTR-PM planning ranges in the enclosed nuclear site-construction initiative, and clearly label them as scenario/R&amp;D target estimates rather than demonstrated commercial costs.</w:t>
      </w:r>
    </w:p>
    <w:p w14:paraId="0CCA239F" w14:textId="06396154" w:rsidR="009C3A0E" w:rsidRDefault="00994197" w:rsidP="004D3942">
      <w:pPr>
        <w:pStyle w:val="blist-bullets"/>
      </w:pPr>
      <w:r w:rsidRPr="004D3942">
        <w:rPr>
          <w:b/>
          <w:bCs/>
        </w:rPr>
        <w:t>Safety principle:</w:t>
      </w:r>
      <w:r w:rsidRPr="004D3942">
        <w:t xml:space="preserve"> preserve a qualified isolation boundary between nuclear systems and ordinary equipment; design industrial yard and marine systems </w:t>
      </w:r>
      <w:r w:rsidR="00751F09">
        <w:t>so they do not</w:t>
      </w:r>
      <w:r w:rsidR="00751F09" w:rsidRPr="00751F09">
        <w:t xml:space="preserve"> </w:t>
      </w:r>
      <w:r w:rsidR="00751F09">
        <w:t xml:space="preserve">compromise safety. </w:t>
      </w:r>
    </w:p>
    <w:p w14:paraId="7B560F31" w14:textId="77777777" w:rsidR="00751F09" w:rsidRPr="004D3942" w:rsidRDefault="00751F09" w:rsidP="00751F09">
      <w:pPr>
        <w:pStyle w:val="blist-bullets"/>
        <w:numPr>
          <w:ilvl w:val="0"/>
          <w:numId w:val="0"/>
        </w:numPr>
        <w:ind w:left="360"/>
      </w:pPr>
    </w:p>
    <w:tbl>
      <w:tblPr>
        <w:tblStyle w:val="gswTableStyle"/>
        <w:tblpPr w:leftFromText="180" w:rightFromText="180" w:vertAnchor="text" w:horzAnchor="margin" w:tblpX="-432" w:tblpY="-413"/>
        <w:tblW w:w="11037" w:type="dxa"/>
        <w:tblInd w:w="0" w:type="dxa"/>
        <w:tblLayout w:type="fixed"/>
        <w:tblLook w:val="04A0" w:firstRow="1" w:lastRow="0" w:firstColumn="1" w:lastColumn="0" w:noHBand="0" w:noVBand="1"/>
      </w:tblPr>
      <w:tblGrid>
        <w:gridCol w:w="2898"/>
        <w:gridCol w:w="854"/>
        <w:gridCol w:w="862"/>
        <w:gridCol w:w="6423"/>
      </w:tblGrid>
      <w:tr w:rsidR="00935EAA" w14:paraId="169E57BF" w14:textId="77777777" w:rsidTr="00751F09">
        <w:trPr>
          <w:cnfStyle w:val="100000000000" w:firstRow="1" w:lastRow="0" w:firstColumn="0" w:lastColumn="0" w:oddVBand="0" w:evenVBand="0" w:oddHBand="0" w:evenHBand="0" w:firstRowFirstColumn="0" w:firstRowLastColumn="0" w:lastRowFirstColumn="0" w:lastRowLastColumn="0"/>
        </w:trPr>
        <w:tc>
          <w:tcPr>
            <w:tcW w:w="2898" w:type="dxa"/>
          </w:tcPr>
          <w:p w14:paraId="41C534F2" w14:textId="77777777" w:rsidR="00935EAA" w:rsidRDefault="00935EAA" w:rsidP="00751F09">
            <w:pPr>
              <w:pStyle w:val="cTableHeader"/>
              <w:spacing w:before="0" w:after="0"/>
            </w:pPr>
            <w:r>
              <w:lastRenderedPageBreak/>
              <w:t>Work package</w:t>
            </w:r>
          </w:p>
        </w:tc>
        <w:tc>
          <w:tcPr>
            <w:tcW w:w="854" w:type="dxa"/>
          </w:tcPr>
          <w:p w14:paraId="458D0BDE" w14:textId="77777777" w:rsidR="00935EAA" w:rsidRDefault="00935EAA" w:rsidP="00751F09">
            <w:pPr>
              <w:pStyle w:val="cTableHeader"/>
              <w:spacing w:before="0" w:after="0"/>
            </w:pPr>
            <w:r>
              <w:t>Budget</w:t>
            </w:r>
          </w:p>
        </w:tc>
        <w:tc>
          <w:tcPr>
            <w:tcW w:w="862" w:type="dxa"/>
          </w:tcPr>
          <w:p w14:paraId="4F0D2953" w14:textId="77777777" w:rsidR="00935EAA" w:rsidRDefault="00935EAA" w:rsidP="00751F09">
            <w:pPr>
              <w:pStyle w:val="cTableHeader"/>
              <w:spacing w:before="0" w:after="0"/>
            </w:pPr>
            <w:r>
              <w:t>Share</w:t>
            </w:r>
          </w:p>
        </w:tc>
        <w:tc>
          <w:tcPr>
            <w:tcW w:w="6423" w:type="dxa"/>
          </w:tcPr>
          <w:p w14:paraId="46F741A6" w14:textId="77777777" w:rsidR="00935EAA" w:rsidRDefault="00935EAA" w:rsidP="00751F09">
            <w:pPr>
              <w:pStyle w:val="cTableHeader"/>
              <w:spacing w:before="0" w:after="0"/>
            </w:pPr>
            <w:r>
              <w:t>Principal five-year deliverable</w:t>
            </w:r>
          </w:p>
        </w:tc>
      </w:tr>
      <w:tr w:rsidR="00935EAA" w14:paraId="7949E582" w14:textId="77777777" w:rsidTr="00751F09">
        <w:tc>
          <w:tcPr>
            <w:tcW w:w="2898" w:type="dxa"/>
          </w:tcPr>
          <w:p w14:paraId="5398F714" w14:textId="30593D98" w:rsidR="00935EAA" w:rsidRDefault="00751F09" w:rsidP="00751F09">
            <w:pPr>
              <w:pStyle w:val="cTableBody"/>
              <w:spacing w:before="0"/>
            </w:pPr>
            <w:r w:rsidRPr="00751F09">
              <w:rPr>
                <w:b/>
                <w:bCs/>
              </w:rPr>
              <w:t xml:space="preserve">Area </w:t>
            </w:r>
            <w:r w:rsidR="00935EAA" w:rsidRPr="00751F09">
              <w:rPr>
                <w:b/>
                <w:bCs/>
              </w:rPr>
              <w:t xml:space="preserve">1. </w:t>
            </w:r>
            <w:r w:rsidR="00935EAA">
              <w:t>Reference architecture, 31-platform portfolio</w:t>
            </w:r>
          </w:p>
        </w:tc>
        <w:tc>
          <w:tcPr>
            <w:tcW w:w="854" w:type="dxa"/>
          </w:tcPr>
          <w:p w14:paraId="2E4B990D" w14:textId="77777777" w:rsidR="00935EAA" w:rsidRDefault="00935EAA" w:rsidP="00751F09">
            <w:pPr>
              <w:pStyle w:val="cTableBody"/>
              <w:spacing w:before="0"/>
            </w:pPr>
            <w:r>
              <w:t>$70M</w:t>
            </w:r>
          </w:p>
        </w:tc>
        <w:tc>
          <w:tcPr>
            <w:tcW w:w="862" w:type="dxa"/>
          </w:tcPr>
          <w:p w14:paraId="253B58F2" w14:textId="77777777" w:rsidR="00935EAA" w:rsidRDefault="00935EAA" w:rsidP="00751F09">
            <w:pPr>
              <w:pStyle w:val="cTableBody"/>
              <w:spacing w:before="0"/>
            </w:pPr>
            <w:r>
              <w:t>7.0%</w:t>
            </w:r>
          </w:p>
        </w:tc>
        <w:tc>
          <w:tcPr>
            <w:tcW w:w="6423" w:type="dxa"/>
          </w:tcPr>
          <w:p w14:paraId="70D011DB" w14:textId="77777777" w:rsidR="00935EAA" w:rsidRDefault="00935EAA" w:rsidP="00751F09">
            <w:pPr>
              <w:pStyle w:val="cTableBody"/>
              <w:spacing w:before="0"/>
            </w:pPr>
            <w:r>
              <w:t>Freeze the dual-reactor industrial-site architecture, 31 platform reference designs, heat-cascade logic, interfaces, hazard boundaries, digital model, and commercial screening methods.</w:t>
            </w:r>
          </w:p>
        </w:tc>
      </w:tr>
      <w:tr w:rsidR="00935EAA" w14:paraId="6B6DEF00" w14:textId="77777777" w:rsidTr="00751F09">
        <w:tc>
          <w:tcPr>
            <w:tcW w:w="2898" w:type="dxa"/>
          </w:tcPr>
          <w:p w14:paraId="22F69C3F" w14:textId="3F681224" w:rsidR="00935EAA" w:rsidRDefault="00751F09" w:rsidP="00751F09">
            <w:pPr>
              <w:pStyle w:val="cTableBody"/>
              <w:spacing w:before="0"/>
            </w:pPr>
            <w:r w:rsidRPr="00751F09">
              <w:rPr>
                <w:b/>
                <w:bCs/>
              </w:rPr>
              <w:t xml:space="preserve">Area </w:t>
            </w:r>
            <w:r w:rsidR="00935EAA" w:rsidRPr="00751F09">
              <w:rPr>
                <w:b/>
                <w:bCs/>
              </w:rPr>
              <w:t xml:space="preserve">2. </w:t>
            </w:r>
            <w:r w:rsidR="00935EAA">
              <w:t>31 industrial-processing platform designs and pilot prototypes</w:t>
            </w:r>
          </w:p>
        </w:tc>
        <w:tc>
          <w:tcPr>
            <w:tcW w:w="854" w:type="dxa"/>
          </w:tcPr>
          <w:p w14:paraId="69D4E5A4" w14:textId="77777777" w:rsidR="00935EAA" w:rsidRDefault="00935EAA" w:rsidP="00751F09">
            <w:pPr>
              <w:pStyle w:val="cTableBody"/>
              <w:spacing w:before="0"/>
            </w:pPr>
            <w:r>
              <w:t>$180M</w:t>
            </w:r>
          </w:p>
        </w:tc>
        <w:tc>
          <w:tcPr>
            <w:tcW w:w="862" w:type="dxa"/>
          </w:tcPr>
          <w:p w14:paraId="277AACBB" w14:textId="77777777" w:rsidR="00935EAA" w:rsidRDefault="00935EAA" w:rsidP="00751F09">
            <w:pPr>
              <w:pStyle w:val="cTableBody"/>
              <w:spacing w:before="0"/>
            </w:pPr>
            <w:r>
              <w:t>18.0%</w:t>
            </w:r>
          </w:p>
        </w:tc>
        <w:tc>
          <w:tcPr>
            <w:tcW w:w="6423" w:type="dxa"/>
          </w:tcPr>
          <w:p w14:paraId="284147D8" w14:textId="1B70B997" w:rsidR="00935EAA" w:rsidRDefault="00935EAA" w:rsidP="00751F09">
            <w:pPr>
              <w:pStyle w:val="cTableBody"/>
              <w:spacing w:before="0"/>
            </w:pPr>
            <w:r>
              <w:t>Design all 31 platform families; build substantial integrated pilots for roughly 8–12 highest-priority families; concentrate endurance testing on the first five generic thermal platforms, the DAC train, and other high-risk systems. Ammonia prototype is primarily funded under Work Package 3.</w:t>
            </w:r>
          </w:p>
        </w:tc>
      </w:tr>
      <w:tr w:rsidR="00935EAA" w14:paraId="38A6EF97" w14:textId="77777777" w:rsidTr="00751F09">
        <w:tc>
          <w:tcPr>
            <w:tcW w:w="2898" w:type="dxa"/>
          </w:tcPr>
          <w:p w14:paraId="7376C26A" w14:textId="168CBF2E" w:rsidR="00935EAA" w:rsidRDefault="00751F09" w:rsidP="00751F09">
            <w:pPr>
              <w:pStyle w:val="cTableBody"/>
              <w:spacing w:before="0"/>
            </w:pPr>
            <w:r w:rsidRPr="00751F09">
              <w:rPr>
                <w:b/>
                <w:bCs/>
              </w:rPr>
              <w:t xml:space="preserve">Area </w:t>
            </w:r>
            <w:r w:rsidR="00935EAA" w:rsidRPr="00751F09">
              <w:rPr>
                <w:b/>
                <w:bCs/>
              </w:rPr>
              <w:t xml:space="preserve">3. </w:t>
            </w:r>
            <w:r w:rsidR="00935EAA">
              <w:t>Hydrogen and ammonia production platforms</w:t>
            </w:r>
          </w:p>
        </w:tc>
        <w:tc>
          <w:tcPr>
            <w:tcW w:w="854" w:type="dxa"/>
          </w:tcPr>
          <w:p w14:paraId="2E0D609C" w14:textId="77777777" w:rsidR="00935EAA" w:rsidRDefault="00935EAA" w:rsidP="00751F09">
            <w:pPr>
              <w:pStyle w:val="cTableBody"/>
              <w:spacing w:before="0"/>
            </w:pPr>
            <w:r>
              <w:t>$95M</w:t>
            </w:r>
          </w:p>
        </w:tc>
        <w:tc>
          <w:tcPr>
            <w:tcW w:w="862" w:type="dxa"/>
          </w:tcPr>
          <w:p w14:paraId="523FFD23" w14:textId="77777777" w:rsidR="00935EAA" w:rsidRDefault="00935EAA" w:rsidP="00751F09">
            <w:pPr>
              <w:pStyle w:val="cTableBody"/>
              <w:spacing w:before="0"/>
            </w:pPr>
            <w:r>
              <w:t>9.5%</w:t>
            </w:r>
          </w:p>
        </w:tc>
        <w:tc>
          <w:tcPr>
            <w:tcW w:w="6423" w:type="dxa"/>
          </w:tcPr>
          <w:p w14:paraId="7BDF17F4" w14:textId="77777777" w:rsidR="00935EAA" w:rsidRDefault="00935EAA" w:rsidP="00751F09">
            <w:pPr>
              <w:pStyle w:val="cTableBody"/>
              <w:spacing w:before="0"/>
            </w:pPr>
            <w:r>
              <w:t>HTSE/SOEC hydrogen, air separation/nitrogen, Haber-Bosch ammonia, refrigeration/storage/loading, heat recovery, and a repeatable factory-buildable ammonia platform package.</w:t>
            </w:r>
          </w:p>
        </w:tc>
      </w:tr>
      <w:tr w:rsidR="00935EAA" w14:paraId="3480D4D1" w14:textId="77777777" w:rsidTr="00751F09">
        <w:tc>
          <w:tcPr>
            <w:tcW w:w="2898" w:type="dxa"/>
          </w:tcPr>
          <w:p w14:paraId="774248BF" w14:textId="308F01DB" w:rsidR="00935EAA" w:rsidRDefault="00751F09" w:rsidP="00751F09">
            <w:pPr>
              <w:pStyle w:val="cTableBody"/>
              <w:spacing w:before="0"/>
            </w:pPr>
            <w:r w:rsidRPr="00751F09">
              <w:rPr>
                <w:b/>
                <w:bCs/>
              </w:rPr>
              <w:t xml:space="preserve">Area </w:t>
            </w:r>
            <w:r w:rsidR="00935EAA" w:rsidRPr="00751F09">
              <w:rPr>
                <w:b/>
                <w:bCs/>
              </w:rPr>
              <w:t xml:space="preserve">4. </w:t>
            </w:r>
            <w:r w:rsidR="00935EAA">
              <w:t>Marine ammonia fuel-cell propulsion prototypes and endurance testing</w:t>
            </w:r>
          </w:p>
        </w:tc>
        <w:tc>
          <w:tcPr>
            <w:tcW w:w="854" w:type="dxa"/>
          </w:tcPr>
          <w:p w14:paraId="44EDBFDF" w14:textId="77777777" w:rsidR="00935EAA" w:rsidRDefault="00935EAA" w:rsidP="00751F09">
            <w:pPr>
              <w:pStyle w:val="cTableBody"/>
              <w:spacing w:before="0"/>
            </w:pPr>
            <w:r>
              <w:t>$70M</w:t>
            </w:r>
          </w:p>
        </w:tc>
        <w:tc>
          <w:tcPr>
            <w:tcW w:w="862" w:type="dxa"/>
          </w:tcPr>
          <w:p w14:paraId="6FE6AAD8" w14:textId="77777777" w:rsidR="00935EAA" w:rsidRDefault="00935EAA" w:rsidP="00751F09">
            <w:pPr>
              <w:pStyle w:val="cTableBody"/>
              <w:spacing w:before="0"/>
            </w:pPr>
            <w:r>
              <w:t>7.0%</w:t>
            </w:r>
          </w:p>
        </w:tc>
        <w:tc>
          <w:tcPr>
            <w:tcW w:w="6423" w:type="dxa"/>
          </w:tcPr>
          <w:p w14:paraId="7F3522B1" w14:textId="77777777" w:rsidR="00935EAA" w:rsidRDefault="00935EAA" w:rsidP="00751F09">
            <w:pPr>
              <w:pStyle w:val="cTableBody"/>
              <w:spacing w:before="0"/>
            </w:pPr>
            <w:r>
              <w:t>Competing direct-SOFC, partial-cracking SOFC, and cracked-ammonia PCFC systems; small integrated propulsion prototypes; thousands-of-hours durability testing and teardown inspection.</w:t>
            </w:r>
          </w:p>
        </w:tc>
      </w:tr>
      <w:tr w:rsidR="00935EAA" w14:paraId="5E889A65" w14:textId="77777777" w:rsidTr="00751F09">
        <w:tc>
          <w:tcPr>
            <w:tcW w:w="2898" w:type="dxa"/>
          </w:tcPr>
          <w:p w14:paraId="4D711AC9" w14:textId="79470699" w:rsidR="00935EAA" w:rsidRDefault="00751F09" w:rsidP="00751F09">
            <w:pPr>
              <w:pStyle w:val="cTableBody"/>
              <w:spacing w:before="0"/>
            </w:pPr>
            <w:r w:rsidRPr="00751F09">
              <w:rPr>
                <w:b/>
                <w:bCs/>
              </w:rPr>
              <w:t xml:space="preserve">Area </w:t>
            </w:r>
            <w:r w:rsidR="00935EAA" w:rsidRPr="00751F09">
              <w:rPr>
                <w:b/>
                <w:bCs/>
              </w:rPr>
              <w:t>5.</w:t>
            </w:r>
            <w:r w:rsidR="00935EAA">
              <w:t xml:space="preserve"> Material handling, tunnels, storage, waterfront, and modular logistics equipment</w:t>
            </w:r>
          </w:p>
        </w:tc>
        <w:tc>
          <w:tcPr>
            <w:tcW w:w="854" w:type="dxa"/>
          </w:tcPr>
          <w:p w14:paraId="071D6817" w14:textId="77777777" w:rsidR="00935EAA" w:rsidRDefault="00935EAA" w:rsidP="00751F09">
            <w:pPr>
              <w:pStyle w:val="cTableBody"/>
              <w:spacing w:before="0"/>
            </w:pPr>
            <w:r>
              <w:t>$85M</w:t>
            </w:r>
          </w:p>
        </w:tc>
        <w:tc>
          <w:tcPr>
            <w:tcW w:w="862" w:type="dxa"/>
          </w:tcPr>
          <w:p w14:paraId="0E2EF062" w14:textId="77777777" w:rsidR="00935EAA" w:rsidRDefault="00935EAA" w:rsidP="00751F09">
            <w:pPr>
              <w:pStyle w:val="cTableBody"/>
              <w:spacing w:before="0"/>
            </w:pPr>
            <w:r>
              <w:t>8.5%</w:t>
            </w:r>
          </w:p>
        </w:tc>
        <w:tc>
          <w:tcPr>
            <w:tcW w:w="6423" w:type="dxa"/>
          </w:tcPr>
          <w:p w14:paraId="39C891A8" w14:textId="77777777" w:rsidR="00935EAA" w:rsidRDefault="00935EAA" w:rsidP="00751F09">
            <w:pPr>
              <w:pStyle w:val="cTableBody"/>
              <w:spacing w:before="0"/>
            </w:pPr>
            <w:r>
              <w:t>Pre-equipped tunnels, pipe/manifold modules, pumps/compressors, conveyors, transfer towers, storage modules, waterfront loading/unloading, and the common distribution spine.</w:t>
            </w:r>
          </w:p>
        </w:tc>
      </w:tr>
      <w:tr w:rsidR="00935EAA" w14:paraId="7EC36243" w14:textId="77777777" w:rsidTr="00751F09">
        <w:tc>
          <w:tcPr>
            <w:tcW w:w="2898" w:type="dxa"/>
          </w:tcPr>
          <w:p w14:paraId="3997EFA8" w14:textId="34D505D5" w:rsidR="00935EAA" w:rsidRDefault="00751F09" w:rsidP="00751F09">
            <w:pPr>
              <w:pStyle w:val="cTableBody"/>
              <w:spacing w:before="0"/>
            </w:pPr>
            <w:r w:rsidRPr="00751F09">
              <w:rPr>
                <w:b/>
                <w:bCs/>
              </w:rPr>
              <w:t xml:space="preserve">Area </w:t>
            </w:r>
            <w:r w:rsidR="00935EAA" w:rsidRPr="00751F09">
              <w:rPr>
                <w:b/>
                <w:bCs/>
              </w:rPr>
              <w:t xml:space="preserve">6. </w:t>
            </w:r>
            <w:r w:rsidR="00935EAA">
              <w:t>Heavy module transport, double rail, ship/shore transfer, and gantry systems</w:t>
            </w:r>
          </w:p>
        </w:tc>
        <w:tc>
          <w:tcPr>
            <w:tcW w:w="854" w:type="dxa"/>
          </w:tcPr>
          <w:p w14:paraId="14D1C724" w14:textId="77777777" w:rsidR="00935EAA" w:rsidRDefault="00935EAA" w:rsidP="00751F09">
            <w:pPr>
              <w:pStyle w:val="cTableBody"/>
              <w:spacing w:before="0"/>
            </w:pPr>
            <w:r>
              <w:t>$65M</w:t>
            </w:r>
          </w:p>
        </w:tc>
        <w:tc>
          <w:tcPr>
            <w:tcW w:w="862" w:type="dxa"/>
          </w:tcPr>
          <w:p w14:paraId="4ED17204" w14:textId="77777777" w:rsidR="00935EAA" w:rsidRDefault="00935EAA" w:rsidP="00751F09">
            <w:pPr>
              <w:pStyle w:val="cTableBody"/>
              <w:spacing w:before="0"/>
            </w:pPr>
            <w:r>
              <w:t>6.5%</w:t>
            </w:r>
          </w:p>
        </w:tc>
        <w:tc>
          <w:tcPr>
            <w:tcW w:w="6423" w:type="dxa"/>
          </w:tcPr>
          <w:p w14:paraId="540FD74C" w14:textId="77777777" w:rsidR="00935EAA" w:rsidRDefault="00935EAA" w:rsidP="00751F09">
            <w:pPr>
              <w:pStyle w:val="cTableBody"/>
              <w:spacing w:before="0"/>
            </w:pPr>
            <w:r>
              <w:t>Rigid truss, synchronized carriers, 12×24 through 12×96 m module transport, temporary track, loading, ship transfer, alignment, recovery, and repeated handling demonstrations.</w:t>
            </w:r>
          </w:p>
        </w:tc>
      </w:tr>
      <w:tr w:rsidR="00935EAA" w14:paraId="0DF3D86B" w14:textId="77777777" w:rsidTr="00751F09">
        <w:tc>
          <w:tcPr>
            <w:tcW w:w="2898" w:type="dxa"/>
          </w:tcPr>
          <w:p w14:paraId="289D9482" w14:textId="6B4D85BB" w:rsidR="00935EAA" w:rsidRDefault="00751F09" w:rsidP="00751F09">
            <w:pPr>
              <w:pStyle w:val="cTableBody"/>
              <w:spacing w:before="0"/>
            </w:pPr>
            <w:r w:rsidRPr="00751F09">
              <w:rPr>
                <w:b/>
                <w:bCs/>
              </w:rPr>
              <w:t xml:space="preserve">Area </w:t>
            </w:r>
            <w:r w:rsidR="00935EAA" w:rsidRPr="00751F09">
              <w:rPr>
                <w:b/>
                <w:bCs/>
              </w:rPr>
              <w:t xml:space="preserve">7. </w:t>
            </w:r>
            <w:r w:rsidR="00935EAA">
              <w:t>Electrified rail and high-power construction-machine interface</w:t>
            </w:r>
          </w:p>
        </w:tc>
        <w:tc>
          <w:tcPr>
            <w:tcW w:w="854" w:type="dxa"/>
          </w:tcPr>
          <w:p w14:paraId="405715EB" w14:textId="77777777" w:rsidR="00935EAA" w:rsidRDefault="00935EAA" w:rsidP="00751F09">
            <w:pPr>
              <w:pStyle w:val="cTableBody"/>
              <w:spacing w:before="0"/>
            </w:pPr>
            <w:r>
              <w:t>$40M</w:t>
            </w:r>
          </w:p>
        </w:tc>
        <w:tc>
          <w:tcPr>
            <w:tcW w:w="862" w:type="dxa"/>
          </w:tcPr>
          <w:p w14:paraId="67F0B847" w14:textId="77777777" w:rsidR="00935EAA" w:rsidRDefault="00935EAA" w:rsidP="00751F09">
            <w:pPr>
              <w:pStyle w:val="cTableBody"/>
              <w:spacing w:before="0"/>
            </w:pPr>
            <w:r>
              <w:t>4.0%</w:t>
            </w:r>
          </w:p>
        </w:tc>
        <w:tc>
          <w:tcPr>
            <w:tcW w:w="6423" w:type="dxa"/>
          </w:tcPr>
          <w:p w14:paraId="18DA68D1" w14:textId="77777777" w:rsidR="00935EAA" w:rsidRDefault="00935EAA" w:rsidP="00751F09">
            <w:pPr>
              <w:pStyle w:val="cTableBody"/>
              <w:spacing w:before="0"/>
            </w:pPr>
            <w:r>
              <w:t>Segmented LV/MV enclosed conductor rail, collectors, switchgear, grounding, interlocks, regenerative operation, warning/lockout systems, and a full-voltage reduced-length test loop.</w:t>
            </w:r>
          </w:p>
        </w:tc>
      </w:tr>
      <w:tr w:rsidR="00935EAA" w14:paraId="28A32C9C" w14:textId="77777777" w:rsidTr="00751F09">
        <w:tc>
          <w:tcPr>
            <w:tcW w:w="2898" w:type="dxa"/>
          </w:tcPr>
          <w:p w14:paraId="5EC24714" w14:textId="18105078" w:rsidR="00935EAA" w:rsidRDefault="00751F09" w:rsidP="00751F09">
            <w:pPr>
              <w:pStyle w:val="cTableBody"/>
              <w:spacing w:before="0"/>
            </w:pPr>
            <w:r w:rsidRPr="00751F09">
              <w:rPr>
                <w:b/>
                <w:bCs/>
              </w:rPr>
              <w:t xml:space="preserve">Area </w:t>
            </w:r>
            <w:r w:rsidR="00935EAA" w:rsidRPr="00751F09">
              <w:rPr>
                <w:b/>
                <w:bCs/>
              </w:rPr>
              <w:t>8.</w:t>
            </w:r>
            <w:r w:rsidR="00935EAA">
              <w:t xml:space="preserve"> Automated construction of thermal-storage tanks</w:t>
            </w:r>
          </w:p>
        </w:tc>
        <w:tc>
          <w:tcPr>
            <w:tcW w:w="854" w:type="dxa"/>
          </w:tcPr>
          <w:p w14:paraId="5E2DABAC" w14:textId="77777777" w:rsidR="00935EAA" w:rsidRDefault="00935EAA" w:rsidP="00751F09">
            <w:pPr>
              <w:pStyle w:val="cTableBody"/>
              <w:spacing w:before="0"/>
            </w:pPr>
            <w:r>
              <w:t>$50M</w:t>
            </w:r>
          </w:p>
        </w:tc>
        <w:tc>
          <w:tcPr>
            <w:tcW w:w="862" w:type="dxa"/>
          </w:tcPr>
          <w:p w14:paraId="191FC46C" w14:textId="77777777" w:rsidR="00935EAA" w:rsidRDefault="00935EAA" w:rsidP="00751F09">
            <w:pPr>
              <w:pStyle w:val="cTableBody"/>
              <w:spacing w:before="0"/>
            </w:pPr>
            <w:r>
              <w:t>5.0%</w:t>
            </w:r>
          </w:p>
        </w:tc>
        <w:tc>
          <w:tcPr>
            <w:tcW w:w="6423" w:type="dxa"/>
          </w:tcPr>
          <w:p w14:paraId="72BF1C07" w14:textId="77777777" w:rsidR="00935EAA" w:rsidRDefault="00935EAA" w:rsidP="00751F09">
            <w:pPr>
              <w:pStyle w:val="cTableBody"/>
              <w:spacing w:before="0"/>
            </w:pPr>
            <w:r>
              <w:t>Tank-jacking, shell-panel placement, automated welding/NDE, floor/roof/insulation handling, modular pump/manifold equipment, and representative tank construction demonstrations.</w:t>
            </w:r>
          </w:p>
        </w:tc>
      </w:tr>
      <w:tr w:rsidR="00935EAA" w14:paraId="20E0425B" w14:textId="77777777" w:rsidTr="00751F09">
        <w:tc>
          <w:tcPr>
            <w:tcW w:w="2898" w:type="dxa"/>
          </w:tcPr>
          <w:p w14:paraId="16F31E16" w14:textId="3A099C49" w:rsidR="00935EAA" w:rsidRDefault="00751F09" w:rsidP="00751F09">
            <w:pPr>
              <w:pStyle w:val="cTableBody"/>
              <w:spacing w:before="0"/>
            </w:pPr>
            <w:r w:rsidRPr="00751F09">
              <w:rPr>
                <w:b/>
                <w:bCs/>
              </w:rPr>
              <w:t xml:space="preserve">Area </w:t>
            </w:r>
            <w:r w:rsidR="00935EAA" w:rsidRPr="00751F09">
              <w:rPr>
                <w:b/>
                <w:bCs/>
              </w:rPr>
              <w:t xml:space="preserve">9. </w:t>
            </w:r>
            <w:r w:rsidR="00935EAA">
              <w:t xml:space="preserve">Standards, interoperability </w:t>
            </w:r>
            <w:r>
              <w:t>lab</w:t>
            </w:r>
            <w:r w:rsidR="00935EAA">
              <w:t>, digital thread, and conformance testing</w:t>
            </w:r>
          </w:p>
        </w:tc>
        <w:tc>
          <w:tcPr>
            <w:tcW w:w="854" w:type="dxa"/>
          </w:tcPr>
          <w:p w14:paraId="07D5FB6D" w14:textId="77777777" w:rsidR="00935EAA" w:rsidRDefault="00935EAA" w:rsidP="00751F09">
            <w:pPr>
              <w:pStyle w:val="cTableBody"/>
              <w:spacing w:before="0"/>
            </w:pPr>
            <w:r>
              <w:t>$55M</w:t>
            </w:r>
          </w:p>
        </w:tc>
        <w:tc>
          <w:tcPr>
            <w:tcW w:w="862" w:type="dxa"/>
          </w:tcPr>
          <w:p w14:paraId="371B3860" w14:textId="77777777" w:rsidR="00935EAA" w:rsidRDefault="00935EAA" w:rsidP="00751F09">
            <w:pPr>
              <w:pStyle w:val="cTableBody"/>
              <w:spacing w:before="0"/>
            </w:pPr>
            <w:r>
              <w:t>5.5%</w:t>
            </w:r>
          </w:p>
        </w:tc>
        <w:tc>
          <w:tcPr>
            <w:tcW w:w="6423" w:type="dxa"/>
          </w:tcPr>
          <w:p w14:paraId="2A4E820F" w14:textId="77777777" w:rsidR="00935EAA" w:rsidRDefault="00935EAA" w:rsidP="00751F09">
            <w:pPr>
              <w:pStyle w:val="cTableBody"/>
              <w:spacing w:before="0"/>
            </w:pPr>
            <w:r>
              <w:t>Open mechanical, dimensional, heat, piping, electrical, rail, controls/data, cybersecurity, waterfront, storage, and digital-thread standards plus multi-vendor interoperability tests.</w:t>
            </w:r>
          </w:p>
        </w:tc>
      </w:tr>
      <w:tr w:rsidR="00935EAA" w14:paraId="063E177A" w14:textId="77777777" w:rsidTr="00751F09">
        <w:tc>
          <w:tcPr>
            <w:tcW w:w="2898" w:type="dxa"/>
          </w:tcPr>
          <w:p w14:paraId="565E6CC8" w14:textId="26A5BDD4" w:rsidR="00935EAA" w:rsidRDefault="00751F09" w:rsidP="00751F09">
            <w:pPr>
              <w:pStyle w:val="cTableBody"/>
              <w:spacing w:before="0"/>
            </w:pPr>
            <w:r w:rsidRPr="00751F09">
              <w:rPr>
                <w:b/>
                <w:bCs/>
              </w:rPr>
              <w:t xml:space="preserve">Area </w:t>
            </w:r>
            <w:r w:rsidR="00935EAA" w:rsidRPr="00751F09">
              <w:rPr>
                <w:b/>
                <w:bCs/>
              </w:rPr>
              <w:t>10.</w:t>
            </w:r>
            <w:r w:rsidR="00935EAA">
              <w:t xml:space="preserve"> Integrated prototype campus, flow/corrosion loops, and long-duration campaigns</w:t>
            </w:r>
          </w:p>
        </w:tc>
        <w:tc>
          <w:tcPr>
            <w:tcW w:w="854" w:type="dxa"/>
          </w:tcPr>
          <w:p w14:paraId="7F8018AF" w14:textId="77777777" w:rsidR="00935EAA" w:rsidRDefault="00935EAA" w:rsidP="00751F09">
            <w:pPr>
              <w:pStyle w:val="cTableBody"/>
              <w:spacing w:before="0"/>
            </w:pPr>
            <w:r>
              <w:t>$65M</w:t>
            </w:r>
          </w:p>
        </w:tc>
        <w:tc>
          <w:tcPr>
            <w:tcW w:w="862" w:type="dxa"/>
          </w:tcPr>
          <w:p w14:paraId="703FDE38" w14:textId="77777777" w:rsidR="00935EAA" w:rsidRDefault="00935EAA" w:rsidP="00751F09">
            <w:pPr>
              <w:pStyle w:val="cTableBody"/>
              <w:spacing w:before="0"/>
            </w:pPr>
            <w:r>
              <w:t>6.5%</w:t>
            </w:r>
          </w:p>
        </w:tc>
        <w:tc>
          <w:tcPr>
            <w:tcW w:w="6423" w:type="dxa"/>
          </w:tcPr>
          <w:p w14:paraId="5D3CF2DE" w14:textId="77777777" w:rsidR="00935EAA" w:rsidRDefault="00935EAA" w:rsidP="00751F09">
            <w:pPr>
              <w:pStyle w:val="cTableBody"/>
              <w:spacing w:before="0"/>
            </w:pPr>
            <w:r>
              <w:t>Non-nuclear test campus with PWR-like and HTR-PM-like heat loops, full-temperature materials/corrosion systems, site choreography, integrated platform campaigns, maintenance, and reliability growth.</w:t>
            </w:r>
          </w:p>
        </w:tc>
      </w:tr>
      <w:tr w:rsidR="00935EAA" w14:paraId="44DFE204" w14:textId="77777777" w:rsidTr="00751F09">
        <w:tc>
          <w:tcPr>
            <w:tcW w:w="2898" w:type="dxa"/>
          </w:tcPr>
          <w:p w14:paraId="17175B38" w14:textId="3F703905" w:rsidR="00935EAA" w:rsidRDefault="00751F09" w:rsidP="00751F09">
            <w:pPr>
              <w:pStyle w:val="cTableBody"/>
              <w:spacing w:before="0"/>
            </w:pPr>
            <w:r w:rsidRPr="00751F09">
              <w:rPr>
                <w:b/>
                <w:bCs/>
              </w:rPr>
              <w:t xml:space="preserve">Area </w:t>
            </w:r>
            <w:r w:rsidR="00935EAA" w:rsidRPr="00751F09">
              <w:rPr>
                <w:b/>
                <w:bCs/>
              </w:rPr>
              <w:t>11.</w:t>
            </w:r>
            <w:r w:rsidR="00935EAA">
              <w:t xml:space="preserve"> Program management, safety, techno-economics, and independent review</w:t>
            </w:r>
          </w:p>
        </w:tc>
        <w:tc>
          <w:tcPr>
            <w:tcW w:w="854" w:type="dxa"/>
          </w:tcPr>
          <w:p w14:paraId="76133A26" w14:textId="77777777" w:rsidR="00935EAA" w:rsidRDefault="00935EAA" w:rsidP="00751F09">
            <w:pPr>
              <w:pStyle w:val="cTableBody"/>
              <w:spacing w:before="0"/>
            </w:pPr>
            <w:r>
              <w:t>$25M</w:t>
            </w:r>
          </w:p>
        </w:tc>
        <w:tc>
          <w:tcPr>
            <w:tcW w:w="862" w:type="dxa"/>
          </w:tcPr>
          <w:p w14:paraId="5AAAB698" w14:textId="77777777" w:rsidR="00935EAA" w:rsidRDefault="00935EAA" w:rsidP="00751F09">
            <w:pPr>
              <w:pStyle w:val="cTableBody"/>
              <w:spacing w:before="0"/>
            </w:pPr>
            <w:r>
              <w:t>2.5%</w:t>
            </w:r>
          </w:p>
        </w:tc>
        <w:tc>
          <w:tcPr>
            <w:tcW w:w="6423" w:type="dxa"/>
          </w:tcPr>
          <w:p w14:paraId="622BC98C" w14:textId="77777777" w:rsidR="00935EAA" w:rsidRDefault="00935EAA" w:rsidP="00751F09">
            <w:pPr>
              <w:pStyle w:val="cTableBody"/>
              <w:spacing w:before="0"/>
            </w:pPr>
            <w:r>
              <w:t>Owner-side systems engineering, financial control, HAZOP/functional safety, cost and emissions models, independent verification, public data release, and Phase-II decisions.</w:t>
            </w:r>
          </w:p>
        </w:tc>
      </w:tr>
      <w:tr w:rsidR="00935EAA" w14:paraId="5378F655" w14:textId="77777777" w:rsidTr="00751F09">
        <w:tc>
          <w:tcPr>
            <w:tcW w:w="2898" w:type="dxa"/>
          </w:tcPr>
          <w:p w14:paraId="5BEE8B58" w14:textId="4F4847D6" w:rsidR="00935EAA" w:rsidRDefault="00751F09" w:rsidP="00751F09">
            <w:pPr>
              <w:pStyle w:val="cTableBody"/>
              <w:spacing w:before="0"/>
            </w:pPr>
            <w:r w:rsidRPr="00751F09">
              <w:rPr>
                <w:b/>
                <w:bCs/>
              </w:rPr>
              <w:t xml:space="preserve">Area </w:t>
            </w:r>
            <w:r w:rsidR="00935EAA" w:rsidRPr="00751F09">
              <w:rPr>
                <w:b/>
                <w:bCs/>
              </w:rPr>
              <w:t xml:space="preserve">12. </w:t>
            </w:r>
            <w:r w:rsidR="00935EAA">
              <w:t>Central contingency and risk reserve</w:t>
            </w:r>
          </w:p>
        </w:tc>
        <w:tc>
          <w:tcPr>
            <w:tcW w:w="854" w:type="dxa"/>
          </w:tcPr>
          <w:p w14:paraId="69648B47" w14:textId="77777777" w:rsidR="00935EAA" w:rsidRDefault="00935EAA" w:rsidP="00751F09">
            <w:pPr>
              <w:pStyle w:val="cTableBody"/>
              <w:spacing w:before="0"/>
            </w:pPr>
            <w:r>
              <w:t>$200M</w:t>
            </w:r>
          </w:p>
        </w:tc>
        <w:tc>
          <w:tcPr>
            <w:tcW w:w="862" w:type="dxa"/>
          </w:tcPr>
          <w:p w14:paraId="51401A9A" w14:textId="77777777" w:rsidR="00935EAA" w:rsidRDefault="00935EAA" w:rsidP="00751F09">
            <w:pPr>
              <w:pStyle w:val="cTableBody"/>
              <w:spacing w:before="0"/>
            </w:pPr>
            <w:r>
              <w:t>20.0%</w:t>
            </w:r>
          </w:p>
        </w:tc>
        <w:tc>
          <w:tcPr>
            <w:tcW w:w="6423" w:type="dxa"/>
          </w:tcPr>
          <w:p w14:paraId="234970CC" w14:textId="77777777" w:rsidR="00935EAA" w:rsidRDefault="00935EAA" w:rsidP="00751F09">
            <w:pPr>
              <w:pStyle w:val="cTableBody"/>
              <w:spacing w:before="0"/>
            </w:pPr>
            <w:r>
              <w:t>Released only for documented technical, supplier, standards, safety, test, regulatory, or integration risks after independent review.</w:t>
            </w:r>
          </w:p>
        </w:tc>
      </w:tr>
    </w:tbl>
    <w:p w14:paraId="628F0BDE" w14:textId="77777777" w:rsidR="009C3A0E" w:rsidRDefault="00994197">
      <w:pPr>
        <w:pStyle w:val="Heading1"/>
        <w:spacing w:before="280" w:after="280"/>
      </w:pPr>
      <w:bookmarkStart w:id="16" w:name="_Toc238205541"/>
      <w:r>
        <w:lastRenderedPageBreak/>
        <w:t>Program Architecture and $1 Billion Budget</w:t>
      </w:r>
      <w:bookmarkEnd w:id="16"/>
    </w:p>
    <w:p w14:paraId="24C7408E" w14:textId="77777777" w:rsidR="009C3A0E" w:rsidRDefault="00994197">
      <w:pPr>
        <w:pStyle w:val="cUserPromptText"/>
        <w:spacing w:before="280" w:after="280"/>
      </w:pPr>
      <w:r>
        <w:rPr>
          <w:b/>
        </w:rPr>
        <w:t xml:space="preserve">Prompt to AI: </w:t>
      </w:r>
      <w:r>
        <w:t>Allocate a fixed $1 billion over five years to implement the accepted discussion-2b recommendations. The fund must cove</w:t>
      </w:r>
      <w:r w:rsidR="00DC502B">
        <w:t xml:space="preserve">r </w:t>
      </w:r>
      <w:r w:rsidR="00DC502B">
        <w:rPr>
          <w:rFonts w:cs="Calibri"/>
        </w:rPr>
        <w:t>≥</w:t>
      </w:r>
      <w:r w:rsidR="00DC502B" w:rsidRPr="00A352AA">
        <w:t xml:space="preserve"> 3</w:t>
      </w:r>
      <w:r w:rsidR="00DC502B">
        <w:t xml:space="preserve">0 </w:t>
      </w:r>
      <w:r>
        <w:t>platform designs, prototypes, standards, ammonia production, ammonia-to-electricity ship systems, long-duration testing, material handling, electrified rail, automated thermal-storage-tank construction, and integrated demonstrations while retaining a centrally controlled risk reserve.</w:t>
      </w:r>
    </w:p>
    <w:p w14:paraId="0B045990" w14:textId="77777777" w:rsidR="009C3A0E" w:rsidRDefault="00994197">
      <w:pPr>
        <w:spacing w:before="280" w:after="280"/>
      </w:pPr>
      <w:r>
        <w:rPr>
          <w:b/>
          <w:color w:val="4F81BD"/>
          <w:u w:val="single"/>
        </w:rPr>
        <w:t>Response From AI:</w:t>
      </w:r>
    </w:p>
    <w:p w14:paraId="40EC91D9" w14:textId="77777777" w:rsidR="009C3A0E" w:rsidRDefault="00994197">
      <w:r>
        <w:t>The recommended program is $800 million of planned technical work plus a $200 million centrally controlled reserve. The reserve is deliberately large because pressure systems, high-temperature electrochemistry, large moving structures, marine operations, tank welding, electrified rail, and long-duration durability testing can expose expensive integration failures. The technical program is not divided equally among 31 platforms; generic thermal platforms and shared infrastructure receive more money because t</w:t>
      </w:r>
      <w:r>
        <w:t>hey can serve many industries.</w:t>
      </w:r>
    </w:p>
    <w:p w14:paraId="4EA415F0" w14:textId="77777777" w:rsidR="009C3A0E" w:rsidRDefault="00994197" w:rsidP="001C0A71">
      <w:pPr>
        <w:pStyle w:val="Heading2"/>
      </w:pPr>
      <w:r>
        <w:t>Suggested five-year funding profile</w:t>
      </w:r>
    </w:p>
    <w:tbl>
      <w:tblPr>
        <w:tblStyle w:val="gswTableStyle"/>
        <w:tblW w:w="10375" w:type="dxa"/>
        <w:tblLayout w:type="fixed"/>
        <w:tblLook w:val="04A0" w:firstRow="1" w:lastRow="0" w:firstColumn="1" w:lastColumn="0" w:noHBand="0" w:noVBand="1"/>
      </w:tblPr>
      <w:tblGrid>
        <w:gridCol w:w="871"/>
        <w:gridCol w:w="1239"/>
        <w:gridCol w:w="1083"/>
        <w:gridCol w:w="923"/>
        <w:gridCol w:w="6259"/>
      </w:tblGrid>
      <w:tr w:rsidR="009C3A0E" w14:paraId="21CAC135" w14:textId="77777777" w:rsidTr="00751F09">
        <w:trPr>
          <w:cnfStyle w:val="100000000000" w:firstRow="1" w:lastRow="0" w:firstColumn="0" w:lastColumn="0" w:oddVBand="0" w:evenVBand="0" w:oddHBand="0" w:evenHBand="0" w:firstRowFirstColumn="0" w:firstRowLastColumn="0" w:lastRowFirstColumn="0" w:lastRowLastColumn="0"/>
        </w:trPr>
        <w:tc>
          <w:tcPr>
            <w:tcW w:w="871" w:type="dxa"/>
          </w:tcPr>
          <w:p w14:paraId="07EA6571" w14:textId="77777777" w:rsidR="009C3A0E" w:rsidRDefault="00994197">
            <w:pPr>
              <w:pStyle w:val="cTableHeader"/>
              <w:spacing w:before="0" w:after="0"/>
            </w:pPr>
            <w:r>
              <w:t>Year</w:t>
            </w:r>
          </w:p>
        </w:tc>
        <w:tc>
          <w:tcPr>
            <w:tcW w:w="1239" w:type="dxa"/>
          </w:tcPr>
          <w:p w14:paraId="46425DF1" w14:textId="77777777" w:rsidR="009C3A0E" w:rsidRDefault="00994197">
            <w:pPr>
              <w:pStyle w:val="cTableHeader"/>
              <w:spacing w:before="0" w:after="0"/>
            </w:pPr>
            <w:r>
              <w:t>Technical work</w:t>
            </w:r>
          </w:p>
        </w:tc>
        <w:tc>
          <w:tcPr>
            <w:tcW w:w="1083" w:type="dxa"/>
          </w:tcPr>
          <w:p w14:paraId="7B1AC1BC" w14:textId="77777777" w:rsidR="009C3A0E" w:rsidRDefault="00994197">
            <w:pPr>
              <w:pStyle w:val="cTableHeader"/>
              <w:spacing w:before="0" w:after="0"/>
            </w:pPr>
            <w:r>
              <w:t>Reserve</w:t>
            </w:r>
          </w:p>
        </w:tc>
        <w:tc>
          <w:tcPr>
            <w:tcW w:w="923" w:type="dxa"/>
          </w:tcPr>
          <w:p w14:paraId="4C874BAC" w14:textId="77777777" w:rsidR="009C3A0E" w:rsidRDefault="00994197">
            <w:pPr>
              <w:pStyle w:val="cTableHeader"/>
              <w:spacing w:before="0" w:after="0"/>
            </w:pPr>
            <w:r>
              <w:t>Total</w:t>
            </w:r>
          </w:p>
        </w:tc>
        <w:tc>
          <w:tcPr>
            <w:tcW w:w="6259" w:type="dxa"/>
          </w:tcPr>
          <w:p w14:paraId="7D6EE16B" w14:textId="77777777" w:rsidR="009C3A0E" w:rsidRDefault="00994197">
            <w:pPr>
              <w:pStyle w:val="cTableHeader"/>
              <w:spacing w:before="0" w:after="0"/>
            </w:pPr>
            <w:r>
              <w:t>Primary emphasis</w:t>
            </w:r>
          </w:p>
        </w:tc>
      </w:tr>
      <w:tr w:rsidR="009C3A0E" w14:paraId="1C8F2C48" w14:textId="77777777" w:rsidTr="00751F09">
        <w:tc>
          <w:tcPr>
            <w:tcW w:w="871" w:type="dxa"/>
          </w:tcPr>
          <w:p w14:paraId="7A62C121" w14:textId="77777777" w:rsidR="009C3A0E" w:rsidRDefault="00994197">
            <w:pPr>
              <w:pStyle w:val="cTableBody"/>
              <w:spacing w:before="0"/>
            </w:pPr>
            <w:r>
              <w:t>Year 1</w:t>
            </w:r>
          </w:p>
        </w:tc>
        <w:tc>
          <w:tcPr>
            <w:tcW w:w="1239" w:type="dxa"/>
          </w:tcPr>
          <w:p w14:paraId="3997F5A4" w14:textId="77777777" w:rsidR="009C3A0E" w:rsidRDefault="00994197">
            <w:pPr>
              <w:pStyle w:val="cTableBody"/>
              <w:spacing w:before="0"/>
            </w:pPr>
            <w:r>
              <w:t>$120M</w:t>
            </w:r>
          </w:p>
        </w:tc>
        <w:tc>
          <w:tcPr>
            <w:tcW w:w="1083" w:type="dxa"/>
          </w:tcPr>
          <w:p w14:paraId="15B768BA" w14:textId="77777777" w:rsidR="009C3A0E" w:rsidRDefault="00994197">
            <w:pPr>
              <w:pStyle w:val="cTableBody"/>
              <w:spacing w:before="0"/>
            </w:pPr>
            <w:r>
              <w:t>$20M</w:t>
            </w:r>
          </w:p>
        </w:tc>
        <w:tc>
          <w:tcPr>
            <w:tcW w:w="923" w:type="dxa"/>
          </w:tcPr>
          <w:p w14:paraId="38395A5F" w14:textId="77777777" w:rsidR="009C3A0E" w:rsidRDefault="00994197">
            <w:pPr>
              <w:pStyle w:val="cTableBody"/>
              <w:spacing w:before="0"/>
            </w:pPr>
            <w:r>
              <w:t>$140M</w:t>
            </w:r>
          </w:p>
        </w:tc>
        <w:tc>
          <w:tcPr>
            <w:tcW w:w="6259" w:type="dxa"/>
          </w:tcPr>
          <w:p w14:paraId="0B4CCE33" w14:textId="77777777" w:rsidR="009C3A0E" w:rsidRDefault="00994197">
            <w:pPr>
              <w:pStyle w:val="cTableBody"/>
              <w:spacing w:before="0"/>
            </w:pPr>
            <w:r>
              <w:t>Architecture; 31-platform FEED; standards v0.9; fuel-cell and ammonia concept competitions; test-campus and rail/tank requirements.</w:t>
            </w:r>
          </w:p>
        </w:tc>
      </w:tr>
      <w:tr w:rsidR="009C3A0E" w14:paraId="6ED712CA" w14:textId="77777777" w:rsidTr="00751F09">
        <w:tc>
          <w:tcPr>
            <w:tcW w:w="871" w:type="dxa"/>
          </w:tcPr>
          <w:p w14:paraId="3BA29103" w14:textId="77777777" w:rsidR="009C3A0E" w:rsidRDefault="00994197">
            <w:pPr>
              <w:pStyle w:val="cTableBody"/>
              <w:spacing w:before="0"/>
            </w:pPr>
            <w:r>
              <w:t>Year 2</w:t>
            </w:r>
          </w:p>
        </w:tc>
        <w:tc>
          <w:tcPr>
            <w:tcW w:w="1239" w:type="dxa"/>
          </w:tcPr>
          <w:p w14:paraId="66A1E52C" w14:textId="77777777" w:rsidR="009C3A0E" w:rsidRDefault="00994197">
            <w:pPr>
              <w:pStyle w:val="cTableBody"/>
              <w:spacing w:before="0"/>
            </w:pPr>
            <w:r>
              <w:t>$175M</w:t>
            </w:r>
          </w:p>
        </w:tc>
        <w:tc>
          <w:tcPr>
            <w:tcW w:w="1083" w:type="dxa"/>
          </w:tcPr>
          <w:p w14:paraId="6BE1B4F4" w14:textId="77777777" w:rsidR="009C3A0E" w:rsidRDefault="00994197">
            <w:pPr>
              <w:pStyle w:val="cTableBody"/>
              <w:spacing w:before="0"/>
            </w:pPr>
            <w:r>
              <w:t>$30M</w:t>
            </w:r>
          </w:p>
        </w:tc>
        <w:tc>
          <w:tcPr>
            <w:tcW w:w="923" w:type="dxa"/>
          </w:tcPr>
          <w:p w14:paraId="4CE7EB07" w14:textId="77777777" w:rsidR="009C3A0E" w:rsidRDefault="00994197">
            <w:pPr>
              <w:pStyle w:val="cTableBody"/>
              <w:spacing w:before="0"/>
            </w:pPr>
            <w:r>
              <w:t>$205M</w:t>
            </w:r>
          </w:p>
        </w:tc>
        <w:tc>
          <w:tcPr>
            <w:tcW w:w="6259" w:type="dxa"/>
          </w:tcPr>
          <w:p w14:paraId="78304514" w14:textId="77777777" w:rsidR="009C3A0E" w:rsidRDefault="00994197">
            <w:pPr>
              <w:pStyle w:val="cTableBody"/>
              <w:spacing w:before="0"/>
            </w:pPr>
            <w:r>
              <w:t>Preliminary design; first platform pilots; standards v1.0; corrosion loops; fuel-cell stacks; logistics and electrified-rail component tests.</w:t>
            </w:r>
          </w:p>
        </w:tc>
      </w:tr>
      <w:tr w:rsidR="009C3A0E" w14:paraId="6980A5E1" w14:textId="77777777" w:rsidTr="00751F09">
        <w:tc>
          <w:tcPr>
            <w:tcW w:w="871" w:type="dxa"/>
          </w:tcPr>
          <w:p w14:paraId="4BF8B968" w14:textId="77777777" w:rsidR="009C3A0E" w:rsidRDefault="00994197">
            <w:pPr>
              <w:pStyle w:val="cTableBody"/>
              <w:spacing w:before="0"/>
            </w:pPr>
            <w:r>
              <w:t>Year 3</w:t>
            </w:r>
          </w:p>
        </w:tc>
        <w:tc>
          <w:tcPr>
            <w:tcW w:w="1239" w:type="dxa"/>
          </w:tcPr>
          <w:p w14:paraId="1FEDA586" w14:textId="77777777" w:rsidR="009C3A0E" w:rsidRDefault="00994197">
            <w:pPr>
              <w:pStyle w:val="cTableBody"/>
              <w:spacing w:before="0"/>
            </w:pPr>
            <w:r>
              <w:t>$220M</w:t>
            </w:r>
          </w:p>
        </w:tc>
        <w:tc>
          <w:tcPr>
            <w:tcW w:w="1083" w:type="dxa"/>
          </w:tcPr>
          <w:p w14:paraId="7AF3B7E1" w14:textId="77777777" w:rsidR="009C3A0E" w:rsidRDefault="00994197">
            <w:pPr>
              <w:pStyle w:val="cTableBody"/>
              <w:spacing w:before="0"/>
            </w:pPr>
            <w:r>
              <w:t>$40M</w:t>
            </w:r>
          </w:p>
        </w:tc>
        <w:tc>
          <w:tcPr>
            <w:tcW w:w="923" w:type="dxa"/>
          </w:tcPr>
          <w:p w14:paraId="72E22766" w14:textId="77777777" w:rsidR="009C3A0E" w:rsidRDefault="00994197">
            <w:pPr>
              <w:pStyle w:val="cTableBody"/>
              <w:spacing w:before="0"/>
            </w:pPr>
            <w:r>
              <w:t>$260M</w:t>
            </w:r>
          </w:p>
        </w:tc>
        <w:tc>
          <w:tcPr>
            <w:tcW w:w="6259" w:type="dxa"/>
          </w:tcPr>
          <w:p w14:paraId="690E6D36" w14:textId="77777777" w:rsidR="009C3A0E" w:rsidRDefault="00994197">
            <w:pPr>
              <w:pStyle w:val="cTableBody"/>
              <w:spacing w:before="0"/>
            </w:pPr>
            <w:r>
              <w:t>Peak detailed design/fabrication; ammonia pilot; transport/logistics prototypes; rail loop; tank-building machines; integrated test-site commissioning.</w:t>
            </w:r>
          </w:p>
        </w:tc>
      </w:tr>
      <w:tr w:rsidR="009C3A0E" w14:paraId="0C535635" w14:textId="77777777" w:rsidTr="00751F09">
        <w:tc>
          <w:tcPr>
            <w:tcW w:w="871" w:type="dxa"/>
          </w:tcPr>
          <w:p w14:paraId="07688CD9" w14:textId="77777777" w:rsidR="009C3A0E" w:rsidRDefault="00994197">
            <w:pPr>
              <w:pStyle w:val="cTableBody"/>
              <w:spacing w:before="0"/>
            </w:pPr>
            <w:r>
              <w:t>Year 4</w:t>
            </w:r>
          </w:p>
        </w:tc>
        <w:tc>
          <w:tcPr>
            <w:tcW w:w="1239" w:type="dxa"/>
          </w:tcPr>
          <w:p w14:paraId="50F007B8" w14:textId="77777777" w:rsidR="009C3A0E" w:rsidRDefault="00994197">
            <w:pPr>
              <w:pStyle w:val="cTableBody"/>
              <w:spacing w:before="0"/>
            </w:pPr>
            <w:r>
              <w:t>$190M</w:t>
            </w:r>
          </w:p>
        </w:tc>
        <w:tc>
          <w:tcPr>
            <w:tcW w:w="1083" w:type="dxa"/>
          </w:tcPr>
          <w:p w14:paraId="2365021A" w14:textId="77777777" w:rsidR="009C3A0E" w:rsidRDefault="00994197">
            <w:pPr>
              <w:pStyle w:val="cTableBody"/>
              <w:spacing w:before="0"/>
            </w:pPr>
            <w:r>
              <w:t>$60M</w:t>
            </w:r>
          </w:p>
        </w:tc>
        <w:tc>
          <w:tcPr>
            <w:tcW w:w="923" w:type="dxa"/>
          </w:tcPr>
          <w:p w14:paraId="750E5444" w14:textId="77777777" w:rsidR="009C3A0E" w:rsidRDefault="00994197">
            <w:pPr>
              <w:pStyle w:val="cTableBody"/>
              <w:spacing w:before="0"/>
            </w:pPr>
            <w:r>
              <w:t>$250M</w:t>
            </w:r>
          </w:p>
        </w:tc>
        <w:tc>
          <w:tcPr>
            <w:tcW w:w="6259" w:type="dxa"/>
          </w:tcPr>
          <w:p w14:paraId="41C3B714" w14:textId="77777777" w:rsidR="009C3A0E" w:rsidRDefault="00994197">
            <w:pPr>
              <w:pStyle w:val="cTableBody"/>
              <w:spacing w:before="0"/>
            </w:pPr>
            <w:r>
              <w:t>Long-duration campaigns; repeated platform and logistics operation; thermal-storage tank build; multi-vendor interoperability; ship propulsion endurance runs.</w:t>
            </w:r>
          </w:p>
        </w:tc>
      </w:tr>
      <w:tr w:rsidR="009C3A0E" w14:paraId="43E48369" w14:textId="77777777" w:rsidTr="00751F09">
        <w:tc>
          <w:tcPr>
            <w:tcW w:w="871" w:type="dxa"/>
          </w:tcPr>
          <w:p w14:paraId="741EDDDB" w14:textId="77777777" w:rsidR="009C3A0E" w:rsidRDefault="00994197">
            <w:pPr>
              <w:pStyle w:val="cTableBody"/>
              <w:spacing w:before="0"/>
            </w:pPr>
            <w:r>
              <w:t>Year 5</w:t>
            </w:r>
          </w:p>
        </w:tc>
        <w:tc>
          <w:tcPr>
            <w:tcW w:w="1239" w:type="dxa"/>
          </w:tcPr>
          <w:p w14:paraId="5F321A03" w14:textId="77777777" w:rsidR="009C3A0E" w:rsidRDefault="00994197">
            <w:pPr>
              <w:pStyle w:val="cTableBody"/>
              <w:spacing w:before="0"/>
            </w:pPr>
            <w:r>
              <w:t>$95M</w:t>
            </w:r>
          </w:p>
        </w:tc>
        <w:tc>
          <w:tcPr>
            <w:tcW w:w="1083" w:type="dxa"/>
          </w:tcPr>
          <w:p w14:paraId="201CBDE2" w14:textId="77777777" w:rsidR="009C3A0E" w:rsidRDefault="00994197">
            <w:pPr>
              <w:pStyle w:val="cTableBody"/>
              <w:spacing w:before="0"/>
            </w:pPr>
            <w:r>
              <w:t>$50M</w:t>
            </w:r>
          </w:p>
        </w:tc>
        <w:tc>
          <w:tcPr>
            <w:tcW w:w="923" w:type="dxa"/>
          </w:tcPr>
          <w:p w14:paraId="09AD43F2" w14:textId="77777777" w:rsidR="009C3A0E" w:rsidRDefault="00994197">
            <w:pPr>
              <w:pStyle w:val="cTableBody"/>
              <w:spacing w:before="0"/>
            </w:pPr>
            <w:r>
              <w:t>$145M</w:t>
            </w:r>
          </w:p>
        </w:tc>
        <w:tc>
          <w:tcPr>
            <w:tcW w:w="6259" w:type="dxa"/>
          </w:tcPr>
          <w:p w14:paraId="57146145" w14:textId="77777777" w:rsidR="009C3A0E" w:rsidRDefault="00994197">
            <w:pPr>
              <w:pStyle w:val="cTableBody"/>
              <w:spacing w:before="0"/>
            </w:pPr>
            <w:r>
              <w:t>Reliability growth, teardowns, replicated cost models, standards v2.0/international packages, deployment designs, and Phase-II readiness.</w:t>
            </w:r>
          </w:p>
        </w:tc>
      </w:tr>
      <w:tr w:rsidR="009C3A0E" w14:paraId="4A801A1F" w14:textId="77777777" w:rsidTr="00751F09">
        <w:tc>
          <w:tcPr>
            <w:tcW w:w="871" w:type="dxa"/>
          </w:tcPr>
          <w:p w14:paraId="309229D6" w14:textId="77777777" w:rsidR="009C3A0E" w:rsidRDefault="00994197">
            <w:pPr>
              <w:pStyle w:val="cTableBody"/>
              <w:spacing w:before="0"/>
            </w:pPr>
            <w:r>
              <w:t>Total</w:t>
            </w:r>
          </w:p>
        </w:tc>
        <w:tc>
          <w:tcPr>
            <w:tcW w:w="1239" w:type="dxa"/>
          </w:tcPr>
          <w:p w14:paraId="725BD6A6" w14:textId="77777777" w:rsidR="009C3A0E" w:rsidRDefault="00994197">
            <w:pPr>
              <w:pStyle w:val="cTableBody"/>
              <w:spacing w:before="0"/>
            </w:pPr>
            <w:r>
              <w:t>$800M</w:t>
            </w:r>
          </w:p>
        </w:tc>
        <w:tc>
          <w:tcPr>
            <w:tcW w:w="1083" w:type="dxa"/>
          </w:tcPr>
          <w:p w14:paraId="48468B53" w14:textId="77777777" w:rsidR="009C3A0E" w:rsidRDefault="00994197">
            <w:pPr>
              <w:pStyle w:val="cTableBody"/>
              <w:spacing w:before="0"/>
            </w:pPr>
            <w:r>
              <w:t>$200M</w:t>
            </w:r>
          </w:p>
        </w:tc>
        <w:tc>
          <w:tcPr>
            <w:tcW w:w="923" w:type="dxa"/>
          </w:tcPr>
          <w:p w14:paraId="555BD414" w14:textId="77777777" w:rsidR="009C3A0E" w:rsidRDefault="00994197">
            <w:pPr>
              <w:pStyle w:val="cTableBody"/>
              <w:spacing w:before="0"/>
            </w:pPr>
            <w:r>
              <w:t>$1.000B</w:t>
            </w:r>
          </w:p>
        </w:tc>
        <w:tc>
          <w:tcPr>
            <w:tcW w:w="6259" w:type="dxa"/>
          </w:tcPr>
          <w:p w14:paraId="3EE3F6CE" w14:textId="77777777" w:rsidR="009C3A0E" w:rsidRDefault="00994197">
            <w:pPr>
              <w:pStyle w:val="cTableBody"/>
              <w:spacing w:before="0"/>
            </w:pPr>
            <w:r>
              <w:t>Reserve remains sponsor-controlled and may remain unspent.</w:t>
            </w:r>
          </w:p>
        </w:tc>
      </w:tr>
    </w:tbl>
    <w:p w14:paraId="2F76F692" w14:textId="77777777" w:rsidR="009C3A0E" w:rsidRDefault="00994197" w:rsidP="001C0A71">
      <w:pPr>
        <w:pStyle w:val="Heading2"/>
      </w:pPr>
      <w:r>
        <w:t>Program-level success criteria</w:t>
      </w:r>
    </w:p>
    <w:p w14:paraId="01DE1AAE" w14:textId="77777777" w:rsidR="009C3A0E" w:rsidRPr="004D3942" w:rsidRDefault="00994197" w:rsidP="004D3942">
      <w:pPr>
        <w:pStyle w:val="blist-bullets"/>
      </w:pPr>
      <w:r>
        <w:t>Thirty-one controlled industrial-processing platform-family reference designs using the 12 m-wide modular envelope, including a clear priority order and common utility/heat interfaces.</w:t>
      </w:r>
    </w:p>
    <w:p w14:paraId="40B23E4E" w14:textId="77777777" w:rsidR="009C3A0E" w:rsidRPr="004D3942" w:rsidRDefault="00994197" w:rsidP="004D3942">
      <w:pPr>
        <w:pStyle w:val="blist-bullets"/>
      </w:pPr>
      <w:r>
        <w:lastRenderedPageBreak/>
        <w:t>FEED/reference designs for all 31 platform families; substantial integrated pilots for roughly the highest-priority 8–12; subsystem rigs or representative test articles for additional viable families where needed; and no requirement to prototype weak cases that fail the economic, climate, or technical screen.</w:t>
      </w:r>
    </w:p>
    <w:p w14:paraId="110D1FEA" w14:textId="77777777" w:rsidR="009C3A0E" w:rsidRPr="004D3942" w:rsidRDefault="00994197" w:rsidP="004D3942">
      <w:pPr>
        <w:pStyle w:val="blist-bullets"/>
      </w:pPr>
      <w:r w:rsidRPr="004D3942">
        <w:t>An integrated hydrogen-to-ammonia pilot and manufacturing package using both PWR- and HTR-PM-derived heat/electricity assumptions where appropriate.</w:t>
      </w:r>
    </w:p>
    <w:p w14:paraId="3F8E1BDD" w14:textId="77777777" w:rsidR="009C3A0E" w:rsidRPr="004D3942" w:rsidRDefault="00994197" w:rsidP="004D3942">
      <w:pPr>
        <w:pStyle w:val="blist-bullets"/>
      </w:pPr>
      <w:r w:rsidRPr="004D3942">
        <w:t>Three competing marine ammonia fuel-cell propulsion architectures tested with real ammonia, electric loads/motors, heat recovery, emissions control, and teardown-based degradation measurement.</w:t>
      </w:r>
    </w:p>
    <w:p w14:paraId="49CFCE8B" w14:textId="77777777" w:rsidR="009C3A0E" w:rsidRPr="004D3942" w:rsidRDefault="00994197" w:rsidP="004D3942">
      <w:pPr>
        <w:pStyle w:val="blist-bullets"/>
      </w:pPr>
      <w:r w:rsidRPr="004D3942">
        <w:t>Demonstrated 12×24 through 12×96 m module handling, ship/shore transfer, modular tunnels/material systems, electrified-rail machine power, and automated thermal-storage-tank construction.</w:t>
      </w:r>
    </w:p>
    <w:p w14:paraId="44337B7E" w14:textId="77777777" w:rsidR="009C3A0E" w:rsidRPr="004D3942" w:rsidRDefault="00994197" w:rsidP="004D3942">
      <w:pPr>
        <w:pStyle w:val="blist-bullets"/>
      </w:pPr>
      <w:r w:rsidRPr="004D3942">
        <w:t>Open interface standards stable enough that at least three independent supplier teams can connect modules at the interoperability laboratory without bespoke redesign.</w:t>
      </w:r>
    </w:p>
    <w:p w14:paraId="0615782E" w14:textId="77777777" w:rsidR="009C3A0E" w:rsidRDefault="00994197" w:rsidP="004D3942">
      <w:pPr>
        <w:pStyle w:val="blist-bullets"/>
      </w:pPr>
      <w:r w:rsidRPr="004D3942">
        <w:t>Independent, reproducible cost models that use the enclosed Automated China PWR/HTR-PM LCOE assumptions as explicit scenarios and compare both new-build and existing-fossil marginal-cost cases.</w:t>
      </w:r>
    </w:p>
    <w:p w14:paraId="00B0234E" w14:textId="77777777" w:rsidR="009C3A0E" w:rsidRDefault="00994197" w:rsidP="001C0A71">
      <w:pPr>
        <w:pStyle w:val="Heading2"/>
      </w:pPr>
      <w:r>
        <w:t>What the fund would not promise</w:t>
      </w:r>
    </w:p>
    <w:p w14:paraId="0047095C" w14:textId="77777777" w:rsidR="009C3A0E" w:rsidRPr="004D3942" w:rsidRDefault="00994197" w:rsidP="004D3942">
      <w:pPr>
        <w:pStyle w:val="blist-bullets"/>
      </w:pPr>
      <w:r w:rsidRPr="004D3942">
        <w:t>It would not promise that all 31 platform designs become commercial products; the program is designed to down-select and concentrate later spending on systems that prove useful and economical.</w:t>
      </w:r>
    </w:p>
    <w:p w14:paraId="403EAD5E" w14:textId="77777777" w:rsidR="00B41F9C" w:rsidRPr="004D3942" w:rsidRDefault="00994197" w:rsidP="004D3942">
      <w:pPr>
        <w:pStyle w:val="blist-bullets"/>
      </w:pPr>
      <w:r w:rsidRPr="004D3942">
        <w:t>It would not build 31 near-commercial-scale demonstration plants. The program differentiates FEED/reference designs, integrated pilots, subsystem rigs, and long-duration materials/component tests according to the physics and risk of each platform family.</w:t>
      </w:r>
    </w:p>
    <w:p w14:paraId="3F8DD529" w14:textId="77777777" w:rsidR="009C3A0E" w:rsidRPr="004D3942" w:rsidRDefault="00994197" w:rsidP="004D3942">
      <w:pPr>
        <w:pStyle w:val="blist-bullets"/>
      </w:pPr>
      <w:r w:rsidRPr="004D3942">
        <w:t>It would not guarantee $365–375/t ammonia, $31/MWh PWR electricity, $37/MWh HTR-PM electricity, or any other scenario estimate. Those values are inputs to be tested, not program outcomes.</w:t>
      </w:r>
    </w:p>
    <w:p w14:paraId="3F376A73" w14:textId="77777777" w:rsidR="009C3A0E" w:rsidRPr="004D3942" w:rsidRDefault="00994197" w:rsidP="004D3942">
      <w:pPr>
        <w:pStyle w:val="blist-bullets"/>
      </w:pPr>
      <w:r w:rsidRPr="004D3942">
        <w:t>It would not claim a 1:100 model can establish corrosion, heat transfer, pressure-drop, fuel-cell life, catalyst life, or industrial reliability. Those require representative physical conditions and endurance testing.</w:t>
      </w:r>
    </w:p>
    <w:p w14:paraId="4BFB8E7A" w14:textId="77777777" w:rsidR="009C3A0E" w:rsidRDefault="00994197" w:rsidP="004D3942">
      <w:pPr>
        <w:pStyle w:val="blist-bullets"/>
      </w:pPr>
      <w:r w:rsidRPr="004D3942">
        <w:t>It would not connect prototypes to nuclear fuel during this five-year R&amp;D program unless a separately licensed host-site project later chooses to do so.</w:t>
      </w:r>
    </w:p>
    <w:p w14:paraId="0C95A9DA" w14:textId="77777777" w:rsidR="00123818" w:rsidRDefault="00994197">
      <w:pPr>
        <w:pStyle w:val="Heading1"/>
      </w:pPr>
      <w:bookmarkStart w:id="17" w:name="_Toc238205542"/>
      <w:r>
        <w:lastRenderedPageBreak/>
        <w:t>Program Crosswalk</w:t>
      </w:r>
      <w:bookmarkEnd w:id="17"/>
    </w:p>
    <w:p w14:paraId="2D6668F3" w14:textId="73379CB9" w:rsidR="00123818" w:rsidRPr="00C94488" w:rsidRDefault="00994197" w:rsidP="00C94488">
      <w:pPr>
        <w:pStyle w:val="cUserPromptHeading"/>
        <w:rPr>
          <w:b w:val="0"/>
          <w:bCs w:val="0"/>
        </w:rPr>
      </w:pPr>
      <w:r>
        <w:t>Prompt to AI:</w:t>
      </w:r>
      <w:r w:rsidR="00C94488" w:rsidRPr="00C94488">
        <w:t xml:space="preserve"> </w:t>
      </w:r>
      <w:r w:rsidR="00C94488" w:rsidRPr="00C94488">
        <w:rPr>
          <w:rStyle w:val="UserPromptTextChar"/>
          <w:b w:val="0"/>
          <w:bCs w:val="0"/>
        </w:rPr>
        <w:t>Show how the work packages map to platform families, enabling systems, principal deliverables, five-year budgets, and the stage-gate architecture.</w:t>
      </w:r>
    </w:p>
    <w:p w14:paraId="4CD505AC" w14:textId="77777777" w:rsidR="00123818" w:rsidRDefault="00994197">
      <w:pPr>
        <w:pStyle w:val="cSubject"/>
      </w:pPr>
      <w:r>
        <w:t>Response From AI:</w:t>
      </w:r>
    </w:p>
    <w:p w14:paraId="234777B2" w14:textId="77777777" w:rsidR="00123818" w:rsidRDefault="00994197" w:rsidP="00797AAF">
      <w:r>
        <w:t>This crosswalk connects the controlled $1 billion budget to the technical portfolio and decision process. Platform, prototype, standards, logistics, ammonia, and marine analyses later in the proposal are explanations of these work packages rather than additional budget lines. The same scope must not be counted twice.</w:t>
      </w:r>
    </w:p>
    <w:tbl>
      <w:tblPr>
        <w:tblStyle w:val="gswTableStyle"/>
        <w:tblW w:w="10585" w:type="dxa"/>
        <w:tblLayout w:type="fixed"/>
        <w:tblLook w:val="04A0" w:firstRow="1" w:lastRow="0" w:firstColumn="1" w:lastColumn="0" w:noHBand="0" w:noVBand="1"/>
      </w:tblPr>
      <w:tblGrid>
        <w:gridCol w:w="2200"/>
        <w:gridCol w:w="1100"/>
        <w:gridCol w:w="3925"/>
        <w:gridCol w:w="2250"/>
        <w:gridCol w:w="1110"/>
      </w:tblGrid>
      <w:tr w:rsidR="00D16ADB" w14:paraId="0BE3568F" w14:textId="77777777" w:rsidTr="00751F09">
        <w:trPr>
          <w:cnfStyle w:val="100000000000" w:firstRow="1" w:lastRow="0" w:firstColumn="0" w:lastColumn="0" w:oddVBand="0" w:evenVBand="0" w:oddHBand="0" w:evenHBand="0" w:firstRowFirstColumn="0" w:firstRowLastColumn="0" w:lastRowFirstColumn="0" w:lastRowLastColumn="0"/>
        </w:trPr>
        <w:tc>
          <w:tcPr>
            <w:tcW w:w="2200" w:type="dxa"/>
          </w:tcPr>
          <w:p w14:paraId="07C7A3D6" w14:textId="77777777" w:rsidR="00D16ADB" w:rsidRDefault="00D16ADB" w:rsidP="00D90CED">
            <w:pPr>
              <w:pStyle w:val="cTableHeader"/>
              <w:spacing w:before="0" w:after="0"/>
            </w:pPr>
            <w:r>
              <w:t>Work package</w:t>
            </w:r>
          </w:p>
        </w:tc>
        <w:tc>
          <w:tcPr>
            <w:tcW w:w="1100" w:type="dxa"/>
          </w:tcPr>
          <w:p w14:paraId="10E4F6C0" w14:textId="77777777" w:rsidR="00D16ADB" w:rsidRDefault="00D16ADB" w:rsidP="00D90CED">
            <w:pPr>
              <w:pStyle w:val="cTableHeader"/>
              <w:spacing w:before="0" w:after="0"/>
            </w:pPr>
            <w:r>
              <w:t>Budget</w:t>
            </w:r>
          </w:p>
        </w:tc>
        <w:tc>
          <w:tcPr>
            <w:tcW w:w="3925" w:type="dxa"/>
          </w:tcPr>
          <w:p w14:paraId="3ADAEB75" w14:textId="77777777" w:rsidR="00D16ADB" w:rsidRDefault="00D16ADB" w:rsidP="00D90CED">
            <w:pPr>
              <w:pStyle w:val="cTableHeader"/>
              <w:spacing w:before="0" w:after="0"/>
            </w:pPr>
            <w:r>
              <w:t>Principal five-year deliverable</w:t>
            </w:r>
          </w:p>
        </w:tc>
        <w:tc>
          <w:tcPr>
            <w:tcW w:w="2250" w:type="dxa"/>
          </w:tcPr>
          <w:p w14:paraId="7B87BAD2" w14:textId="77777777" w:rsidR="00D16ADB" w:rsidRDefault="00D16ADB" w:rsidP="00D90CED">
            <w:pPr>
              <w:pStyle w:val="cTableHeader"/>
              <w:spacing w:before="0" w:after="0"/>
            </w:pPr>
            <w:r>
              <w:t>Platform / system connection</w:t>
            </w:r>
          </w:p>
        </w:tc>
        <w:tc>
          <w:tcPr>
            <w:tcW w:w="1110" w:type="dxa"/>
          </w:tcPr>
          <w:p w14:paraId="211709E5" w14:textId="77777777" w:rsidR="00D16ADB" w:rsidRDefault="00D16ADB" w:rsidP="00D90CED">
            <w:pPr>
              <w:pStyle w:val="cTableHeader"/>
              <w:spacing w:before="0" w:after="0"/>
            </w:pPr>
            <w:r>
              <w:t>Gate focus</w:t>
            </w:r>
          </w:p>
        </w:tc>
      </w:tr>
      <w:tr w:rsidR="00D16ADB" w14:paraId="3CA84483" w14:textId="77777777" w:rsidTr="00751F09">
        <w:tc>
          <w:tcPr>
            <w:tcW w:w="2200" w:type="dxa"/>
          </w:tcPr>
          <w:p w14:paraId="2B7C608D" w14:textId="3D792943" w:rsidR="00D16ADB" w:rsidRDefault="00C94488" w:rsidP="00D90CED">
            <w:pPr>
              <w:pStyle w:val="cTableBody"/>
              <w:spacing w:before="0"/>
            </w:pPr>
            <w:r>
              <w:t xml:space="preserve">Area </w:t>
            </w:r>
            <w:r w:rsidR="00D16ADB">
              <w:t>1. Reference architecture / digital twin</w:t>
            </w:r>
          </w:p>
        </w:tc>
        <w:tc>
          <w:tcPr>
            <w:tcW w:w="1100" w:type="dxa"/>
          </w:tcPr>
          <w:p w14:paraId="5D90C854" w14:textId="77777777" w:rsidR="00D16ADB" w:rsidRDefault="00D16ADB" w:rsidP="00D90CED">
            <w:pPr>
              <w:pStyle w:val="cTableBody"/>
              <w:spacing w:before="0"/>
            </w:pPr>
            <w:r>
              <w:t>$70M</w:t>
            </w:r>
          </w:p>
        </w:tc>
        <w:tc>
          <w:tcPr>
            <w:tcW w:w="3925" w:type="dxa"/>
          </w:tcPr>
          <w:p w14:paraId="166226D2" w14:textId="77777777" w:rsidR="00D16ADB" w:rsidRDefault="00D16ADB" w:rsidP="00D90CED">
            <w:pPr>
              <w:pStyle w:val="cTableBody"/>
              <w:spacing w:before="0"/>
            </w:pPr>
            <w:r>
              <w:t>Dual-reactor site architecture, 31 reference designs, heat cascade, interfaces, hazards, digital model, and economic screening.</w:t>
            </w:r>
          </w:p>
        </w:tc>
        <w:tc>
          <w:tcPr>
            <w:tcW w:w="2250" w:type="dxa"/>
          </w:tcPr>
          <w:p w14:paraId="4E77F3C5" w14:textId="77777777" w:rsidR="00D16ADB" w:rsidRDefault="00D16ADB" w:rsidP="00D90CED">
            <w:pPr>
              <w:pStyle w:val="cTableBody"/>
              <w:spacing w:before="0"/>
            </w:pPr>
            <w:r>
              <w:t>All 31 + sitewide utility hub</w:t>
            </w:r>
          </w:p>
        </w:tc>
        <w:tc>
          <w:tcPr>
            <w:tcW w:w="1110" w:type="dxa"/>
          </w:tcPr>
          <w:p w14:paraId="6ACFB038" w14:textId="77777777" w:rsidR="00D16ADB" w:rsidRDefault="00D16ADB" w:rsidP="00D90CED">
            <w:pPr>
              <w:pStyle w:val="cTableBody"/>
              <w:spacing w:before="0"/>
            </w:pPr>
            <w:r>
              <w:t>G0–G2</w:t>
            </w:r>
          </w:p>
        </w:tc>
      </w:tr>
      <w:tr w:rsidR="00D16ADB" w14:paraId="3EC46B83" w14:textId="77777777" w:rsidTr="00751F09">
        <w:tc>
          <w:tcPr>
            <w:tcW w:w="2200" w:type="dxa"/>
          </w:tcPr>
          <w:p w14:paraId="1E592C49" w14:textId="61E02DB2" w:rsidR="00D16ADB" w:rsidRDefault="00C94488" w:rsidP="00D90CED">
            <w:pPr>
              <w:pStyle w:val="cTableBody"/>
              <w:spacing w:before="0"/>
            </w:pPr>
            <w:r>
              <w:t xml:space="preserve">Area </w:t>
            </w:r>
            <w:r w:rsidR="00D16ADB">
              <w:t>2. Industrial platform designs / pilots</w:t>
            </w:r>
          </w:p>
        </w:tc>
        <w:tc>
          <w:tcPr>
            <w:tcW w:w="1100" w:type="dxa"/>
          </w:tcPr>
          <w:p w14:paraId="5E04A610" w14:textId="77777777" w:rsidR="00D16ADB" w:rsidRDefault="00D16ADB" w:rsidP="00D90CED">
            <w:pPr>
              <w:pStyle w:val="cTableBody"/>
              <w:spacing w:before="0"/>
            </w:pPr>
            <w:r>
              <w:t>$180M</w:t>
            </w:r>
          </w:p>
        </w:tc>
        <w:tc>
          <w:tcPr>
            <w:tcW w:w="3925" w:type="dxa"/>
          </w:tcPr>
          <w:p w14:paraId="7363A0D5" w14:textId="77777777" w:rsidR="00D16ADB" w:rsidRDefault="00D16ADB" w:rsidP="00D90CED">
            <w:pPr>
              <w:pStyle w:val="cTableBody"/>
              <w:spacing w:before="0"/>
            </w:pPr>
            <w:r>
              <w:t>FEED for all 31; substantial pilots for roughly 8–12 priority families; targeted rigs/test articles for additional viable cases.</w:t>
            </w:r>
          </w:p>
        </w:tc>
        <w:tc>
          <w:tcPr>
            <w:tcW w:w="2250" w:type="dxa"/>
          </w:tcPr>
          <w:p w14:paraId="501DF03B" w14:textId="77777777" w:rsidR="00D16ADB" w:rsidRDefault="00D16ADB" w:rsidP="00D90CED">
            <w:pPr>
              <w:pStyle w:val="cTableBody"/>
              <w:spacing w:before="0"/>
            </w:pPr>
            <w:r>
              <w:t>Platforms 1–31</w:t>
            </w:r>
          </w:p>
        </w:tc>
        <w:tc>
          <w:tcPr>
            <w:tcW w:w="1110" w:type="dxa"/>
          </w:tcPr>
          <w:p w14:paraId="2795F428" w14:textId="77777777" w:rsidR="00D16ADB" w:rsidRDefault="00D16ADB" w:rsidP="00D90CED">
            <w:pPr>
              <w:pStyle w:val="cTableBody"/>
              <w:spacing w:before="0"/>
            </w:pPr>
            <w:r>
              <w:t>G1–G5</w:t>
            </w:r>
          </w:p>
        </w:tc>
      </w:tr>
      <w:tr w:rsidR="00D16ADB" w14:paraId="162E7AC6" w14:textId="77777777" w:rsidTr="00751F09">
        <w:tc>
          <w:tcPr>
            <w:tcW w:w="2200" w:type="dxa"/>
          </w:tcPr>
          <w:p w14:paraId="105D5749" w14:textId="70460018" w:rsidR="00D16ADB" w:rsidRDefault="00C94488" w:rsidP="00D90CED">
            <w:pPr>
              <w:pStyle w:val="cTableBody"/>
              <w:spacing w:before="0"/>
            </w:pPr>
            <w:r>
              <w:t xml:space="preserve">Area </w:t>
            </w:r>
            <w:r w:rsidR="00D16ADB">
              <w:t>3. Hydrogen and ammonia production</w:t>
            </w:r>
          </w:p>
        </w:tc>
        <w:tc>
          <w:tcPr>
            <w:tcW w:w="1100" w:type="dxa"/>
          </w:tcPr>
          <w:p w14:paraId="67EA4510" w14:textId="77777777" w:rsidR="00D16ADB" w:rsidRDefault="00D16ADB" w:rsidP="00D90CED">
            <w:pPr>
              <w:pStyle w:val="cTableBody"/>
              <w:spacing w:before="0"/>
            </w:pPr>
            <w:r>
              <w:t>$95M</w:t>
            </w:r>
          </w:p>
        </w:tc>
        <w:tc>
          <w:tcPr>
            <w:tcW w:w="3925" w:type="dxa"/>
          </w:tcPr>
          <w:p w14:paraId="216863D6" w14:textId="77777777" w:rsidR="00D16ADB" w:rsidRDefault="00D16ADB" w:rsidP="00D90CED">
            <w:pPr>
              <w:pStyle w:val="cTableBody"/>
              <w:spacing w:before="0"/>
            </w:pPr>
            <w:r>
              <w:t>HTSE/SOEC, nitrogen, Haber-Bosch, storage/loading, heat recovery, and factory-buildable ammonia package.</w:t>
            </w:r>
          </w:p>
        </w:tc>
        <w:tc>
          <w:tcPr>
            <w:tcW w:w="2250" w:type="dxa"/>
          </w:tcPr>
          <w:p w14:paraId="3CCAC73C" w14:textId="77777777" w:rsidR="00D16ADB" w:rsidRDefault="00D16ADB" w:rsidP="00D90CED">
            <w:pPr>
              <w:pStyle w:val="cTableBody"/>
              <w:spacing w:before="0"/>
            </w:pPr>
            <w:r>
              <w:t>Platforms 28–31</w:t>
            </w:r>
          </w:p>
        </w:tc>
        <w:tc>
          <w:tcPr>
            <w:tcW w:w="1110" w:type="dxa"/>
          </w:tcPr>
          <w:p w14:paraId="4A4A0F01" w14:textId="77777777" w:rsidR="00D16ADB" w:rsidRDefault="00D16ADB" w:rsidP="00D90CED">
            <w:pPr>
              <w:pStyle w:val="cTableBody"/>
              <w:spacing w:before="0"/>
            </w:pPr>
            <w:r>
              <w:t>G1–G5</w:t>
            </w:r>
          </w:p>
        </w:tc>
      </w:tr>
      <w:tr w:rsidR="00D16ADB" w14:paraId="6D2A57EC" w14:textId="77777777" w:rsidTr="00751F09">
        <w:tc>
          <w:tcPr>
            <w:tcW w:w="2200" w:type="dxa"/>
          </w:tcPr>
          <w:p w14:paraId="1028B681" w14:textId="487E9147" w:rsidR="00D16ADB" w:rsidRDefault="00C94488" w:rsidP="00D90CED">
            <w:pPr>
              <w:pStyle w:val="cTableBody"/>
              <w:spacing w:before="0"/>
            </w:pPr>
            <w:r>
              <w:t xml:space="preserve">Area </w:t>
            </w:r>
            <w:r w:rsidR="00D16ADB">
              <w:t>4. Marine ammonia fuel cells</w:t>
            </w:r>
          </w:p>
        </w:tc>
        <w:tc>
          <w:tcPr>
            <w:tcW w:w="1100" w:type="dxa"/>
          </w:tcPr>
          <w:p w14:paraId="04EE2BAA" w14:textId="77777777" w:rsidR="00D16ADB" w:rsidRDefault="00D16ADB" w:rsidP="00D90CED">
            <w:pPr>
              <w:pStyle w:val="cTableBody"/>
              <w:spacing w:before="0"/>
            </w:pPr>
            <w:r>
              <w:t>$70M</w:t>
            </w:r>
          </w:p>
        </w:tc>
        <w:tc>
          <w:tcPr>
            <w:tcW w:w="3925" w:type="dxa"/>
          </w:tcPr>
          <w:p w14:paraId="400DC018" w14:textId="77777777" w:rsidR="00D16ADB" w:rsidRDefault="00D16ADB" w:rsidP="00D90CED">
            <w:pPr>
              <w:pStyle w:val="cTableBody"/>
              <w:spacing w:before="0"/>
            </w:pPr>
            <w:r>
              <w:t>Competing SOFC/PCFC architectures, integrated propulsion prototypes, long-duration runs, emissions control, and teardown evidence.</w:t>
            </w:r>
          </w:p>
        </w:tc>
        <w:tc>
          <w:tcPr>
            <w:tcW w:w="2250" w:type="dxa"/>
          </w:tcPr>
          <w:p w14:paraId="6A8F406B" w14:textId="77777777" w:rsidR="00D16ADB" w:rsidRDefault="00D16ADB" w:rsidP="00D90CED">
            <w:pPr>
              <w:pStyle w:val="cTableBody"/>
              <w:spacing w:before="0"/>
            </w:pPr>
            <w:r>
              <w:t>Downstream ammonia use</w:t>
            </w:r>
          </w:p>
        </w:tc>
        <w:tc>
          <w:tcPr>
            <w:tcW w:w="1110" w:type="dxa"/>
          </w:tcPr>
          <w:p w14:paraId="14A731B3" w14:textId="77777777" w:rsidR="00D16ADB" w:rsidRDefault="00D16ADB" w:rsidP="00D90CED">
            <w:pPr>
              <w:pStyle w:val="cTableBody"/>
              <w:spacing w:before="0"/>
            </w:pPr>
            <w:r>
              <w:t>G1–G5</w:t>
            </w:r>
          </w:p>
        </w:tc>
      </w:tr>
      <w:tr w:rsidR="00D16ADB" w14:paraId="4B3C2053" w14:textId="77777777" w:rsidTr="00751F09">
        <w:tc>
          <w:tcPr>
            <w:tcW w:w="2200" w:type="dxa"/>
          </w:tcPr>
          <w:p w14:paraId="0C7BE5E9" w14:textId="3A9834AC" w:rsidR="00D16ADB" w:rsidRDefault="00C94488" w:rsidP="00D90CED">
            <w:pPr>
              <w:pStyle w:val="cTableBody"/>
              <w:spacing w:before="0"/>
            </w:pPr>
            <w:r>
              <w:t xml:space="preserve">Area </w:t>
            </w:r>
            <w:r w:rsidR="00D16ADB">
              <w:t>5. Material handling / waterfront</w:t>
            </w:r>
          </w:p>
        </w:tc>
        <w:tc>
          <w:tcPr>
            <w:tcW w:w="1100" w:type="dxa"/>
          </w:tcPr>
          <w:p w14:paraId="082FC1C9" w14:textId="77777777" w:rsidR="00D16ADB" w:rsidRDefault="00D16ADB" w:rsidP="00D90CED">
            <w:pPr>
              <w:pStyle w:val="cTableBody"/>
              <w:spacing w:before="0"/>
            </w:pPr>
            <w:r>
              <w:t>$85M</w:t>
            </w:r>
          </w:p>
        </w:tc>
        <w:tc>
          <w:tcPr>
            <w:tcW w:w="3925" w:type="dxa"/>
          </w:tcPr>
          <w:p w14:paraId="2B2A00F5" w14:textId="77777777" w:rsidR="00D16ADB" w:rsidRDefault="00D16ADB" w:rsidP="00D90CED">
            <w:pPr>
              <w:pStyle w:val="cTableBody"/>
              <w:spacing w:before="0"/>
            </w:pPr>
            <w:r>
              <w:t>Tunnels, manifolds, pumps/compressors, conveyors, storage modules, waterfront equipment, and distribution spine.</w:t>
            </w:r>
          </w:p>
        </w:tc>
        <w:tc>
          <w:tcPr>
            <w:tcW w:w="2250" w:type="dxa"/>
          </w:tcPr>
          <w:p w14:paraId="05736EAE" w14:textId="77777777" w:rsidR="00D16ADB" w:rsidRDefault="00D16ADB" w:rsidP="00D90CED">
            <w:pPr>
              <w:pStyle w:val="cTableBody"/>
              <w:spacing w:before="0"/>
            </w:pPr>
            <w:r>
              <w:t>All site process families</w:t>
            </w:r>
          </w:p>
        </w:tc>
        <w:tc>
          <w:tcPr>
            <w:tcW w:w="1110" w:type="dxa"/>
          </w:tcPr>
          <w:p w14:paraId="3869BB1D" w14:textId="77777777" w:rsidR="00D16ADB" w:rsidRDefault="00D16ADB" w:rsidP="00D90CED">
            <w:pPr>
              <w:pStyle w:val="cTableBody"/>
              <w:spacing w:before="0"/>
            </w:pPr>
            <w:r>
              <w:t>G1–G5</w:t>
            </w:r>
          </w:p>
        </w:tc>
      </w:tr>
      <w:tr w:rsidR="00D16ADB" w14:paraId="7B8DC874" w14:textId="77777777" w:rsidTr="00751F09">
        <w:tc>
          <w:tcPr>
            <w:tcW w:w="2200" w:type="dxa"/>
          </w:tcPr>
          <w:p w14:paraId="5CB0F35B" w14:textId="7C298931" w:rsidR="00D16ADB" w:rsidRDefault="00C94488" w:rsidP="00D90CED">
            <w:pPr>
              <w:pStyle w:val="cTableBody"/>
              <w:spacing w:before="0"/>
            </w:pPr>
            <w:r>
              <w:t xml:space="preserve">Area </w:t>
            </w:r>
            <w:r w:rsidR="00D16ADB">
              <w:t>6. Heavy module transport</w:t>
            </w:r>
          </w:p>
        </w:tc>
        <w:tc>
          <w:tcPr>
            <w:tcW w:w="1100" w:type="dxa"/>
          </w:tcPr>
          <w:p w14:paraId="0B74D6C8" w14:textId="77777777" w:rsidR="00D16ADB" w:rsidRDefault="00D16ADB" w:rsidP="00D90CED">
            <w:pPr>
              <w:pStyle w:val="cTableBody"/>
              <w:spacing w:before="0"/>
            </w:pPr>
            <w:r>
              <w:t>$65M</w:t>
            </w:r>
          </w:p>
        </w:tc>
        <w:tc>
          <w:tcPr>
            <w:tcW w:w="3925" w:type="dxa"/>
          </w:tcPr>
          <w:p w14:paraId="1C607FA4" w14:textId="77777777" w:rsidR="00D16ADB" w:rsidRDefault="00D16ADB" w:rsidP="00D90CED">
            <w:pPr>
              <w:pStyle w:val="cTableBody"/>
              <w:spacing w:before="0"/>
            </w:pPr>
            <w:r>
              <w:t>Rigid truss, synchronized carriers, 12 × 24 through 12 × 96 m movement, ship/shore transfer, alignment, and recovery.</w:t>
            </w:r>
          </w:p>
        </w:tc>
        <w:tc>
          <w:tcPr>
            <w:tcW w:w="2250" w:type="dxa"/>
          </w:tcPr>
          <w:p w14:paraId="3D0D66E8" w14:textId="77777777" w:rsidR="00D16ADB" w:rsidRDefault="00D16ADB" w:rsidP="00D90CED">
            <w:pPr>
              <w:pStyle w:val="cTableBody"/>
              <w:spacing w:before="0"/>
            </w:pPr>
            <w:r>
              <w:t>All modular platforms</w:t>
            </w:r>
          </w:p>
        </w:tc>
        <w:tc>
          <w:tcPr>
            <w:tcW w:w="1110" w:type="dxa"/>
          </w:tcPr>
          <w:p w14:paraId="4631B230" w14:textId="77777777" w:rsidR="00D16ADB" w:rsidRDefault="00D16ADB" w:rsidP="00D90CED">
            <w:pPr>
              <w:pStyle w:val="cTableBody"/>
              <w:spacing w:before="0"/>
            </w:pPr>
            <w:r>
              <w:t>G1–G5</w:t>
            </w:r>
          </w:p>
        </w:tc>
      </w:tr>
      <w:tr w:rsidR="00D16ADB" w14:paraId="43DB2267" w14:textId="77777777" w:rsidTr="00751F09">
        <w:tc>
          <w:tcPr>
            <w:tcW w:w="2200" w:type="dxa"/>
          </w:tcPr>
          <w:p w14:paraId="0950155C" w14:textId="60810D6B" w:rsidR="00D16ADB" w:rsidRDefault="00C94488" w:rsidP="00D90CED">
            <w:pPr>
              <w:pStyle w:val="cTableBody"/>
              <w:spacing w:before="0"/>
            </w:pPr>
            <w:r>
              <w:t xml:space="preserve">Area </w:t>
            </w:r>
            <w:r w:rsidR="00D16ADB">
              <w:t>7. Electrified rail</w:t>
            </w:r>
          </w:p>
        </w:tc>
        <w:tc>
          <w:tcPr>
            <w:tcW w:w="1100" w:type="dxa"/>
          </w:tcPr>
          <w:p w14:paraId="605030C7" w14:textId="77777777" w:rsidR="00D16ADB" w:rsidRDefault="00D16ADB" w:rsidP="00D90CED">
            <w:pPr>
              <w:pStyle w:val="cTableBody"/>
              <w:spacing w:before="0"/>
            </w:pPr>
            <w:r>
              <w:t>$40M</w:t>
            </w:r>
          </w:p>
        </w:tc>
        <w:tc>
          <w:tcPr>
            <w:tcW w:w="3925" w:type="dxa"/>
          </w:tcPr>
          <w:p w14:paraId="7F6C31A2" w14:textId="77777777" w:rsidR="00D16ADB" w:rsidRDefault="00D16ADB" w:rsidP="00D90CED">
            <w:pPr>
              <w:pStyle w:val="cTableBody"/>
              <w:spacing w:before="0"/>
            </w:pPr>
            <w:r>
              <w:t>Segmented LV/MV conductor rail, collectors, switchgear, grounding, interlocks, warning/lockout, and high-power tests.</w:t>
            </w:r>
          </w:p>
        </w:tc>
        <w:tc>
          <w:tcPr>
            <w:tcW w:w="2250" w:type="dxa"/>
          </w:tcPr>
          <w:p w14:paraId="74B910E7" w14:textId="77777777" w:rsidR="00D16ADB" w:rsidRDefault="00D16ADB" w:rsidP="00D90CED">
            <w:pPr>
              <w:pStyle w:val="cTableBody"/>
              <w:spacing w:before="0"/>
            </w:pPr>
            <w:r>
              <w:t>Construction / handling machines</w:t>
            </w:r>
          </w:p>
        </w:tc>
        <w:tc>
          <w:tcPr>
            <w:tcW w:w="1110" w:type="dxa"/>
          </w:tcPr>
          <w:p w14:paraId="7ACA7443" w14:textId="77777777" w:rsidR="00D16ADB" w:rsidRDefault="00D16ADB" w:rsidP="00D90CED">
            <w:pPr>
              <w:pStyle w:val="cTableBody"/>
              <w:spacing w:before="0"/>
            </w:pPr>
            <w:r>
              <w:t>G1–G5</w:t>
            </w:r>
          </w:p>
        </w:tc>
      </w:tr>
      <w:tr w:rsidR="00D16ADB" w14:paraId="39872DB4" w14:textId="77777777" w:rsidTr="00751F09">
        <w:tc>
          <w:tcPr>
            <w:tcW w:w="2200" w:type="dxa"/>
          </w:tcPr>
          <w:p w14:paraId="48C3B132" w14:textId="51EC9C02" w:rsidR="00D16ADB" w:rsidRDefault="00C94488" w:rsidP="00D90CED">
            <w:pPr>
              <w:pStyle w:val="cTableBody"/>
              <w:spacing w:before="0"/>
            </w:pPr>
            <w:r>
              <w:t xml:space="preserve">Area </w:t>
            </w:r>
            <w:r w:rsidR="00D16ADB">
              <w:t>8. Thermal-storage construction</w:t>
            </w:r>
          </w:p>
        </w:tc>
        <w:tc>
          <w:tcPr>
            <w:tcW w:w="1100" w:type="dxa"/>
          </w:tcPr>
          <w:p w14:paraId="16719499" w14:textId="77777777" w:rsidR="00D16ADB" w:rsidRDefault="00D16ADB" w:rsidP="00D90CED">
            <w:pPr>
              <w:pStyle w:val="cTableBody"/>
              <w:spacing w:before="0"/>
            </w:pPr>
            <w:r>
              <w:t>$50M</w:t>
            </w:r>
          </w:p>
        </w:tc>
        <w:tc>
          <w:tcPr>
            <w:tcW w:w="3925" w:type="dxa"/>
          </w:tcPr>
          <w:p w14:paraId="1E5E655C" w14:textId="77777777" w:rsidR="00D16ADB" w:rsidRDefault="00D16ADB" w:rsidP="00D90CED">
            <w:pPr>
              <w:pStyle w:val="cTableBody"/>
              <w:spacing w:before="0"/>
            </w:pPr>
            <w:r>
              <w:t>Tank jacking, automated panel handling/welding/NDE, insulation, pumps/manifolds, and representative tank build.</w:t>
            </w:r>
          </w:p>
        </w:tc>
        <w:tc>
          <w:tcPr>
            <w:tcW w:w="2250" w:type="dxa"/>
          </w:tcPr>
          <w:p w14:paraId="2663419B" w14:textId="77777777" w:rsidR="00D16ADB" w:rsidRDefault="00D16ADB" w:rsidP="00D90CED">
            <w:pPr>
              <w:pStyle w:val="cTableBody"/>
              <w:spacing w:before="0"/>
            </w:pPr>
            <w:r>
              <w:t>Sitewide thermal storage</w:t>
            </w:r>
          </w:p>
        </w:tc>
        <w:tc>
          <w:tcPr>
            <w:tcW w:w="1110" w:type="dxa"/>
          </w:tcPr>
          <w:p w14:paraId="48D8A037" w14:textId="77777777" w:rsidR="00D16ADB" w:rsidRDefault="00D16ADB" w:rsidP="00D90CED">
            <w:pPr>
              <w:pStyle w:val="cTableBody"/>
              <w:spacing w:before="0"/>
            </w:pPr>
            <w:r>
              <w:t>G1–G5</w:t>
            </w:r>
          </w:p>
        </w:tc>
      </w:tr>
      <w:tr w:rsidR="00D16ADB" w14:paraId="05D130CC" w14:textId="77777777" w:rsidTr="00751F09">
        <w:tc>
          <w:tcPr>
            <w:tcW w:w="2200" w:type="dxa"/>
          </w:tcPr>
          <w:p w14:paraId="11F1366C" w14:textId="7D29E645" w:rsidR="00D16ADB" w:rsidRDefault="00C94488" w:rsidP="00D90CED">
            <w:pPr>
              <w:pStyle w:val="cTableBody"/>
              <w:spacing w:before="0"/>
            </w:pPr>
            <w:r>
              <w:t xml:space="preserve">Area </w:t>
            </w:r>
            <w:r w:rsidR="00D16ADB">
              <w:t xml:space="preserve">9. Standards / </w:t>
            </w:r>
            <w:r w:rsidR="00D16ADB">
              <w:lastRenderedPageBreak/>
              <w:t>interoperability</w:t>
            </w:r>
          </w:p>
        </w:tc>
        <w:tc>
          <w:tcPr>
            <w:tcW w:w="1100" w:type="dxa"/>
          </w:tcPr>
          <w:p w14:paraId="6DC19384" w14:textId="77777777" w:rsidR="00D16ADB" w:rsidRDefault="00D16ADB" w:rsidP="00D90CED">
            <w:pPr>
              <w:pStyle w:val="cTableBody"/>
              <w:spacing w:before="0"/>
            </w:pPr>
            <w:r>
              <w:lastRenderedPageBreak/>
              <w:t>$55M</w:t>
            </w:r>
          </w:p>
        </w:tc>
        <w:tc>
          <w:tcPr>
            <w:tcW w:w="3925" w:type="dxa"/>
          </w:tcPr>
          <w:p w14:paraId="36451754" w14:textId="77777777" w:rsidR="00D16ADB" w:rsidRDefault="00D16ADB" w:rsidP="00D90CED">
            <w:pPr>
              <w:pStyle w:val="cTableBody"/>
              <w:spacing w:before="0"/>
            </w:pPr>
            <w:r>
              <w:t xml:space="preserve">Open interfaces, data/cyber schemas, </w:t>
            </w:r>
            <w:r>
              <w:lastRenderedPageBreak/>
              <w:t>conformance tools, and multi-vendor plug tests.</w:t>
            </w:r>
          </w:p>
        </w:tc>
        <w:tc>
          <w:tcPr>
            <w:tcW w:w="2250" w:type="dxa"/>
          </w:tcPr>
          <w:p w14:paraId="139CCC68" w14:textId="77777777" w:rsidR="00D16ADB" w:rsidRDefault="00D16ADB" w:rsidP="00D90CED">
            <w:pPr>
              <w:pStyle w:val="cTableBody"/>
              <w:spacing w:before="0"/>
            </w:pPr>
            <w:r>
              <w:lastRenderedPageBreak/>
              <w:t xml:space="preserve">All modules and shared </w:t>
            </w:r>
            <w:r>
              <w:lastRenderedPageBreak/>
              <w:t>systems</w:t>
            </w:r>
          </w:p>
        </w:tc>
        <w:tc>
          <w:tcPr>
            <w:tcW w:w="1110" w:type="dxa"/>
          </w:tcPr>
          <w:p w14:paraId="015A71ED" w14:textId="77777777" w:rsidR="00D16ADB" w:rsidRDefault="00D16ADB" w:rsidP="00D90CED">
            <w:pPr>
              <w:pStyle w:val="cTableBody"/>
              <w:spacing w:before="0"/>
            </w:pPr>
            <w:r>
              <w:lastRenderedPageBreak/>
              <w:t>G0–G5</w:t>
            </w:r>
          </w:p>
        </w:tc>
      </w:tr>
      <w:tr w:rsidR="00D16ADB" w14:paraId="6E04D083" w14:textId="77777777" w:rsidTr="00751F09">
        <w:tc>
          <w:tcPr>
            <w:tcW w:w="2200" w:type="dxa"/>
          </w:tcPr>
          <w:p w14:paraId="4549AF38" w14:textId="4B73D456" w:rsidR="00D16ADB" w:rsidRDefault="00C94488" w:rsidP="00D90CED">
            <w:pPr>
              <w:pStyle w:val="cTableBody"/>
              <w:spacing w:before="0"/>
            </w:pPr>
            <w:r>
              <w:t xml:space="preserve">Area </w:t>
            </w:r>
            <w:r w:rsidR="00D16ADB">
              <w:t>10. Integrated prototype campus</w:t>
            </w:r>
          </w:p>
        </w:tc>
        <w:tc>
          <w:tcPr>
            <w:tcW w:w="1100" w:type="dxa"/>
          </w:tcPr>
          <w:p w14:paraId="36D3C3A8" w14:textId="77777777" w:rsidR="00D16ADB" w:rsidRDefault="00D16ADB" w:rsidP="00D90CED">
            <w:pPr>
              <w:pStyle w:val="cTableBody"/>
              <w:spacing w:before="0"/>
            </w:pPr>
            <w:r>
              <w:t>$65M</w:t>
            </w:r>
          </w:p>
        </w:tc>
        <w:tc>
          <w:tcPr>
            <w:tcW w:w="3925" w:type="dxa"/>
          </w:tcPr>
          <w:p w14:paraId="7505C31E" w14:textId="77777777" w:rsidR="00D16ADB" w:rsidRDefault="00D16ADB" w:rsidP="00D90CED">
            <w:pPr>
              <w:pStyle w:val="cTableBody"/>
              <w:spacing w:before="0"/>
            </w:pPr>
            <w:r>
              <w:t>PWR-like/HTR-like heat loops, corrosion rigs, integrated logistics/platform campaigns, maintenance, and reliability growth.</w:t>
            </w:r>
          </w:p>
        </w:tc>
        <w:tc>
          <w:tcPr>
            <w:tcW w:w="2250" w:type="dxa"/>
          </w:tcPr>
          <w:p w14:paraId="791B53DA" w14:textId="77777777" w:rsidR="00D16ADB" w:rsidRDefault="00D16ADB" w:rsidP="00D90CED">
            <w:pPr>
              <w:pStyle w:val="cTableBody"/>
              <w:spacing w:before="0"/>
            </w:pPr>
            <w:r>
              <w:t>Selected priority platforms</w:t>
            </w:r>
          </w:p>
        </w:tc>
        <w:tc>
          <w:tcPr>
            <w:tcW w:w="1110" w:type="dxa"/>
          </w:tcPr>
          <w:p w14:paraId="286CB913" w14:textId="77777777" w:rsidR="00D16ADB" w:rsidRDefault="00D16ADB" w:rsidP="00D90CED">
            <w:pPr>
              <w:pStyle w:val="cTableBody"/>
              <w:spacing w:before="0"/>
            </w:pPr>
            <w:r>
              <w:t>G3–G5</w:t>
            </w:r>
          </w:p>
        </w:tc>
      </w:tr>
      <w:tr w:rsidR="00D16ADB" w14:paraId="292D59EC" w14:textId="77777777" w:rsidTr="00751F09">
        <w:tc>
          <w:tcPr>
            <w:tcW w:w="2200" w:type="dxa"/>
          </w:tcPr>
          <w:p w14:paraId="49C01DC9" w14:textId="35A5B70B" w:rsidR="00D16ADB" w:rsidRDefault="00C94488" w:rsidP="00D90CED">
            <w:pPr>
              <w:pStyle w:val="cTableBody"/>
              <w:spacing w:before="0"/>
            </w:pPr>
            <w:r>
              <w:t xml:space="preserve">Area </w:t>
            </w:r>
            <w:r w:rsidR="00D16ADB">
              <w:t>11. Program management / independent review</w:t>
            </w:r>
          </w:p>
        </w:tc>
        <w:tc>
          <w:tcPr>
            <w:tcW w:w="1100" w:type="dxa"/>
          </w:tcPr>
          <w:p w14:paraId="6A438CF2" w14:textId="77777777" w:rsidR="00D16ADB" w:rsidRDefault="00D16ADB" w:rsidP="00D90CED">
            <w:pPr>
              <w:pStyle w:val="cTableBody"/>
              <w:spacing w:before="0"/>
            </w:pPr>
            <w:r>
              <w:t>$25M</w:t>
            </w:r>
          </w:p>
        </w:tc>
        <w:tc>
          <w:tcPr>
            <w:tcW w:w="3925" w:type="dxa"/>
          </w:tcPr>
          <w:p w14:paraId="3C831374" w14:textId="77777777" w:rsidR="00D16ADB" w:rsidRDefault="00D16ADB" w:rsidP="00D90CED">
            <w:pPr>
              <w:pStyle w:val="cTableBody"/>
              <w:spacing w:before="0"/>
            </w:pPr>
            <w:r>
              <w:t>Systems engineering, HAZOP, techno-economics, lifecycle emissions, audit, replication, and final Phase II decisions.</w:t>
            </w:r>
          </w:p>
        </w:tc>
        <w:tc>
          <w:tcPr>
            <w:tcW w:w="2250" w:type="dxa"/>
          </w:tcPr>
          <w:p w14:paraId="0B8E266E" w14:textId="77777777" w:rsidR="00D16ADB" w:rsidRDefault="00D16ADB" w:rsidP="00D90CED">
            <w:pPr>
              <w:pStyle w:val="cTableBody"/>
              <w:spacing w:before="0"/>
            </w:pPr>
            <w:r>
              <w:t>Program-wide</w:t>
            </w:r>
          </w:p>
        </w:tc>
        <w:tc>
          <w:tcPr>
            <w:tcW w:w="1110" w:type="dxa"/>
          </w:tcPr>
          <w:p w14:paraId="676502E8" w14:textId="77777777" w:rsidR="00D16ADB" w:rsidRDefault="00D16ADB" w:rsidP="00D90CED">
            <w:pPr>
              <w:pStyle w:val="cTableBody"/>
              <w:spacing w:before="0"/>
            </w:pPr>
            <w:r>
              <w:t>All gates</w:t>
            </w:r>
          </w:p>
        </w:tc>
      </w:tr>
      <w:tr w:rsidR="00D16ADB" w14:paraId="0EE9B6DB" w14:textId="77777777" w:rsidTr="00751F09">
        <w:tc>
          <w:tcPr>
            <w:tcW w:w="2200" w:type="dxa"/>
          </w:tcPr>
          <w:p w14:paraId="4BDF6BD4" w14:textId="77777777" w:rsidR="00D16ADB" w:rsidRDefault="00D16ADB" w:rsidP="00D90CED">
            <w:pPr>
              <w:pStyle w:val="cTableBody"/>
              <w:spacing w:before="0"/>
            </w:pPr>
            <w:r>
              <w:t>Central risk reserve</w:t>
            </w:r>
          </w:p>
        </w:tc>
        <w:tc>
          <w:tcPr>
            <w:tcW w:w="1100" w:type="dxa"/>
          </w:tcPr>
          <w:p w14:paraId="55388D97" w14:textId="77777777" w:rsidR="00D16ADB" w:rsidRDefault="00D16ADB" w:rsidP="00D90CED">
            <w:pPr>
              <w:pStyle w:val="cTableBody"/>
              <w:spacing w:before="0"/>
            </w:pPr>
            <w:r>
              <w:t>$200M</w:t>
            </w:r>
          </w:p>
        </w:tc>
        <w:tc>
          <w:tcPr>
            <w:tcW w:w="3925" w:type="dxa"/>
          </w:tcPr>
          <w:p w14:paraId="759CB112" w14:textId="77777777" w:rsidR="00D16ADB" w:rsidRDefault="00D16ADB" w:rsidP="00D90CED">
            <w:pPr>
              <w:pStyle w:val="cTableBody"/>
              <w:spacing w:before="0"/>
            </w:pPr>
            <w:r>
              <w:t>Sponsor-controlled response to documented technical, supplier, standards, safety, test, regulatory, or integration risk.</w:t>
            </w:r>
          </w:p>
        </w:tc>
        <w:tc>
          <w:tcPr>
            <w:tcW w:w="2250" w:type="dxa"/>
          </w:tcPr>
          <w:p w14:paraId="1741E9DD" w14:textId="77777777" w:rsidR="00D16ADB" w:rsidRDefault="00D16ADB" w:rsidP="00D90CED">
            <w:pPr>
              <w:pStyle w:val="cTableBody"/>
              <w:spacing w:before="0"/>
            </w:pPr>
            <w:r>
              <w:t>Not pre-awarded</w:t>
            </w:r>
          </w:p>
        </w:tc>
        <w:tc>
          <w:tcPr>
            <w:tcW w:w="1110" w:type="dxa"/>
          </w:tcPr>
          <w:p w14:paraId="56B59388" w14:textId="77777777" w:rsidR="00D16ADB" w:rsidRDefault="00D16ADB" w:rsidP="00D90CED">
            <w:pPr>
              <w:pStyle w:val="cTableBody"/>
              <w:spacing w:before="0"/>
            </w:pPr>
            <w:r>
              <w:t>Written gate/change approval</w:t>
            </w:r>
          </w:p>
        </w:tc>
      </w:tr>
    </w:tbl>
    <w:p w14:paraId="371898FF" w14:textId="77777777" w:rsidR="00123818" w:rsidRDefault="00994197">
      <w:pPr>
        <w:pStyle w:val="Heading1"/>
      </w:pPr>
      <w:bookmarkStart w:id="18" w:name="_Toc238205543"/>
      <w:r>
        <w:lastRenderedPageBreak/>
        <w:t>Stage Gates and Go/No-Go Criteria</w:t>
      </w:r>
      <w:bookmarkEnd w:id="18"/>
    </w:p>
    <w:p w14:paraId="45B23345" w14:textId="110FA74E" w:rsidR="00123818" w:rsidRPr="003C3ED9" w:rsidRDefault="00994197">
      <w:pPr>
        <w:pStyle w:val="cUserPromptHeading"/>
        <w:rPr>
          <w:rStyle w:val="UserPromptTextChar"/>
          <w:b w:val="0"/>
          <w:bCs w:val="0"/>
        </w:rPr>
      </w:pPr>
      <w:r>
        <w:t>Prompt to AI:</w:t>
      </w:r>
      <w:r w:rsidR="003C3ED9" w:rsidRPr="003C3ED9">
        <w:t xml:space="preserve"> </w:t>
      </w:r>
      <w:r w:rsidR="003C3ED9" w:rsidRPr="003C3ED9">
        <w:rPr>
          <w:rStyle w:val="UserPromptTextChar"/>
          <w:b w:val="0"/>
          <w:bCs w:val="0"/>
        </w:rPr>
        <w:t>What explicit stage gates should control progression from the industrial-platform architecture through down-selection, prototype fabrication, integrated endurance testing, interoperability, and any later Phase II scale-up?</w:t>
      </w:r>
    </w:p>
    <w:p w14:paraId="3B80779B" w14:textId="77777777" w:rsidR="00123818" w:rsidRDefault="00994197">
      <w:pPr>
        <w:pStyle w:val="cSubject"/>
      </w:pPr>
      <w:r>
        <w:t>Response From AI:</w:t>
      </w:r>
    </w:p>
    <w:p w14:paraId="4A794C9A" w14:textId="77777777" w:rsidR="00123818" w:rsidRDefault="00994197" w:rsidP="003C3ED9">
      <w:r>
        <w:t>Passing a gate authorizes only the next R&amp;D increment. It does not require that a platform survive the portfolio, and it does not authorize a licensed nuclear-industrial complex or commercial ship fleet. Gate evidence should be fixed before major commitments and reviewed independently.</w:t>
      </w:r>
    </w:p>
    <w:tbl>
      <w:tblPr>
        <w:tblStyle w:val="gswTableStyle"/>
        <w:tblW w:w="10465" w:type="dxa"/>
        <w:tblLook w:val="04A0" w:firstRow="1" w:lastRow="0" w:firstColumn="1" w:lastColumn="0" w:noHBand="0" w:noVBand="1"/>
      </w:tblPr>
      <w:tblGrid>
        <w:gridCol w:w="1779"/>
        <w:gridCol w:w="4186"/>
        <w:gridCol w:w="2302"/>
        <w:gridCol w:w="2198"/>
      </w:tblGrid>
      <w:tr w:rsidR="00B41F9C" w:rsidRPr="009561AD" w14:paraId="3A09405E" w14:textId="77777777" w:rsidTr="00322275">
        <w:trPr>
          <w:cnfStyle w:val="100000000000" w:firstRow="1" w:lastRow="0" w:firstColumn="0" w:lastColumn="0" w:oddVBand="0" w:evenVBand="0" w:oddHBand="0" w:evenHBand="0" w:firstRowFirstColumn="0" w:firstRowLastColumn="0" w:lastRowFirstColumn="0" w:lastRowLastColumn="0"/>
        </w:trPr>
        <w:tc>
          <w:tcPr>
            <w:tcW w:w="1700" w:type="dxa"/>
          </w:tcPr>
          <w:p w14:paraId="2A7C7AE0" w14:textId="77777777" w:rsidR="00B41F9C" w:rsidRPr="009561AD" w:rsidRDefault="00994197" w:rsidP="009561AD">
            <w:pPr>
              <w:pStyle w:val="cTableHeader"/>
            </w:pPr>
            <w:r>
              <w:t>Gate</w:t>
            </w:r>
          </w:p>
        </w:tc>
        <w:tc>
          <w:tcPr>
            <w:tcW w:w="4000" w:type="dxa"/>
          </w:tcPr>
          <w:p w14:paraId="0482AF6E" w14:textId="77777777" w:rsidR="00B41F9C" w:rsidRPr="009561AD" w:rsidRDefault="00994197" w:rsidP="009561AD">
            <w:pPr>
              <w:pStyle w:val="cTableHeader"/>
            </w:pPr>
            <w:r>
              <w:t>Required evidence</w:t>
            </w:r>
          </w:p>
        </w:tc>
        <w:tc>
          <w:tcPr>
            <w:tcW w:w="2200" w:type="dxa"/>
          </w:tcPr>
          <w:p w14:paraId="2490D073" w14:textId="77777777" w:rsidR="00B41F9C" w:rsidRPr="009561AD" w:rsidRDefault="00994197" w:rsidP="009561AD">
            <w:pPr>
              <w:pStyle w:val="cTableHeader"/>
            </w:pPr>
            <w:r>
              <w:t>Decision enabled</w:t>
            </w:r>
          </w:p>
        </w:tc>
        <w:tc>
          <w:tcPr>
            <w:tcW w:w="2100" w:type="dxa"/>
          </w:tcPr>
          <w:p w14:paraId="62999C2C" w14:textId="77777777" w:rsidR="00B41F9C" w:rsidRPr="009561AD" w:rsidRDefault="00994197" w:rsidP="009561AD">
            <w:pPr>
              <w:pStyle w:val="cTableHeader"/>
            </w:pPr>
            <w:r>
              <w:t>If not met</w:t>
            </w:r>
          </w:p>
        </w:tc>
      </w:tr>
      <w:tr w:rsidR="00B41F9C" w14:paraId="02440138" w14:textId="77777777" w:rsidTr="00322275">
        <w:tc>
          <w:tcPr>
            <w:tcW w:w="1700" w:type="dxa"/>
          </w:tcPr>
          <w:p w14:paraId="0FF71DB5" w14:textId="77777777" w:rsidR="00B41F9C" w:rsidRDefault="00994197">
            <w:pPr>
              <w:pStyle w:val="cTableBody"/>
              <w:spacing w:before="0"/>
            </w:pPr>
            <w:r>
              <w:t>G0. Mission / economic baseline (M6–9)</w:t>
            </w:r>
          </w:p>
        </w:tc>
        <w:tc>
          <w:tcPr>
            <w:tcW w:w="4000" w:type="dxa"/>
          </w:tcPr>
          <w:p w14:paraId="163B6E24" w14:textId="77777777" w:rsidR="00B41F9C" w:rsidRDefault="00994197">
            <w:pPr>
              <w:pStyle w:val="cTableBody"/>
              <w:spacing w:before="0"/>
            </w:pPr>
            <w:r>
              <w:t>Controlled PWR/HTR energy scenarios; fossil new-build and existing-asset comparators; product boundaries; CO₂ metric; module standard; initial hazard and market screen.</w:t>
            </w:r>
          </w:p>
        </w:tc>
        <w:tc>
          <w:tcPr>
            <w:tcW w:w="2200" w:type="dxa"/>
          </w:tcPr>
          <w:p w14:paraId="00FD1633" w14:textId="77777777" w:rsidR="00B41F9C" w:rsidRDefault="00994197">
            <w:pPr>
              <w:pStyle w:val="cTableBody"/>
              <w:spacing w:before="0"/>
            </w:pPr>
            <w:r>
              <w:t>Authorize detailed architecture and competing concepts.</w:t>
            </w:r>
          </w:p>
        </w:tc>
        <w:tc>
          <w:tcPr>
            <w:tcW w:w="2100" w:type="dxa"/>
          </w:tcPr>
          <w:p w14:paraId="08496212" w14:textId="77777777" w:rsidR="00B41F9C" w:rsidRDefault="00994197">
            <w:pPr>
              <w:pStyle w:val="cTableBody"/>
              <w:spacing w:before="0"/>
            </w:pPr>
            <w:r>
              <w:t>Revise assumptions or remove applications that lack a credible climate/economic case.</w:t>
            </w:r>
          </w:p>
        </w:tc>
      </w:tr>
      <w:tr w:rsidR="00B41F9C" w14:paraId="1D88C589" w14:textId="77777777" w:rsidTr="00322275">
        <w:tc>
          <w:tcPr>
            <w:tcW w:w="1700" w:type="dxa"/>
          </w:tcPr>
          <w:p w14:paraId="05EF7490" w14:textId="77777777" w:rsidR="00B41F9C" w:rsidRDefault="00994197">
            <w:pPr>
              <w:pStyle w:val="cTableBody"/>
              <w:spacing w:before="0"/>
            </w:pPr>
            <w:r>
              <w:t>G1. Architecture / interfaces ready (M12)</w:t>
            </w:r>
          </w:p>
        </w:tc>
        <w:tc>
          <w:tcPr>
            <w:tcW w:w="4000" w:type="dxa"/>
          </w:tcPr>
          <w:p w14:paraId="4E575E6A" w14:textId="77777777" w:rsidR="00B41F9C" w:rsidRDefault="00994197">
            <w:pPr>
              <w:pStyle w:val="cTableBody"/>
              <w:spacing w:before="0"/>
            </w:pPr>
            <w:r>
              <w:t>31 FEED concepts; utility/heat classes; 12 m × 24 m-increment geometry; isolation boundaries; standards v0.9; test methods; design ownership.</w:t>
            </w:r>
          </w:p>
        </w:tc>
        <w:tc>
          <w:tcPr>
            <w:tcW w:w="2200" w:type="dxa"/>
          </w:tcPr>
          <w:p w14:paraId="08CDF423" w14:textId="77777777" w:rsidR="00B41F9C" w:rsidRDefault="00994197">
            <w:pPr>
              <w:pStyle w:val="cTableBody"/>
              <w:spacing w:before="0"/>
            </w:pPr>
            <w:r>
              <w:t>Authorize bench/subscale risk reduction and supplier competitions.</w:t>
            </w:r>
          </w:p>
        </w:tc>
        <w:tc>
          <w:tcPr>
            <w:tcW w:w="2100" w:type="dxa"/>
          </w:tcPr>
          <w:p w14:paraId="601B9750" w14:textId="77777777" w:rsidR="00B41F9C" w:rsidRDefault="00994197">
            <w:pPr>
              <w:pStyle w:val="cTableBody"/>
              <w:spacing w:before="0"/>
            </w:pPr>
            <w:r>
              <w:t>Close interface/data gaps; do not fabricate against unstable requirements.</w:t>
            </w:r>
          </w:p>
        </w:tc>
      </w:tr>
      <w:tr w:rsidR="00B41F9C" w14:paraId="4238C559" w14:textId="77777777" w:rsidTr="00322275">
        <w:tc>
          <w:tcPr>
            <w:tcW w:w="1700" w:type="dxa"/>
          </w:tcPr>
          <w:p w14:paraId="230EDAB5" w14:textId="77777777" w:rsidR="00B41F9C" w:rsidRDefault="00994197">
            <w:pPr>
              <w:pStyle w:val="cTableBody"/>
              <w:spacing w:before="0"/>
            </w:pPr>
            <w:r>
              <w:t>G2. Platform down-selection (M18–24)</w:t>
            </w:r>
          </w:p>
        </w:tc>
        <w:tc>
          <w:tcPr>
            <w:tcW w:w="4000" w:type="dxa"/>
          </w:tcPr>
          <w:p w14:paraId="0BE9259A" w14:textId="77777777" w:rsidR="00B41F9C" w:rsidRDefault="00994197">
            <w:pPr>
              <w:pStyle w:val="cTableBody"/>
              <w:spacing w:before="0"/>
            </w:pPr>
            <w:r>
              <w:t>Comparable economics, tCO₂ avoided, market scale, technical risk, modularity, maintainability, and early test evidence for all platform families.</w:t>
            </w:r>
          </w:p>
        </w:tc>
        <w:tc>
          <w:tcPr>
            <w:tcW w:w="2200" w:type="dxa"/>
          </w:tcPr>
          <w:p w14:paraId="0A54423E" w14:textId="77777777" w:rsidR="00B41F9C" w:rsidRDefault="00994197">
            <w:pPr>
              <w:pStyle w:val="cTableBody"/>
              <w:spacing w:before="0"/>
            </w:pPr>
            <w:r>
              <w:t>Select roughly 8–12 major integrated pilots; retain targeted rigs for other viable cases.</w:t>
            </w:r>
          </w:p>
        </w:tc>
        <w:tc>
          <w:tcPr>
            <w:tcW w:w="2100" w:type="dxa"/>
          </w:tcPr>
          <w:p w14:paraId="5D7DE7F7" w14:textId="77777777" w:rsidR="00B41F9C" w:rsidRDefault="00994197">
            <w:pPr>
              <w:pStyle w:val="cTableBody"/>
              <w:spacing w:before="0"/>
            </w:pPr>
            <w:r>
              <w:t>Stop at FEED, redesign, or defer weak cases rather than spreading hardware money evenly.</w:t>
            </w:r>
          </w:p>
        </w:tc>
      </w:tr>
      <w:tr w:rsidR="00B41F9C" w14:paraId="1B479F32" w14:textId="77777777" w:rsidTr="00322275">
        <w:tc>
          <w:tcPr>
            <w:tcW w:w="1700" w:type="dxa"/>
          </w:tcPr>
          <w:p w14:paraId="16F7C046" w14:textId="77777777" w:rsidR="00B41F9C" w:rsidRDefault="00994197">
            <w:pPr>
              <w:pStyle w:val="cTableBody"/>
              <w:spacing w:before="0"/>
            </w:pPr>
            <w:r>
              <w:t>G3. Major prototype authorization (M30–36)</w:t>
            </w:r>
          </w:p>
        </w:tc>
        <w:tc>
          <w:tcPr>
            <w:tcW w:w="4000" w:type="dxa"/>
          </w:tcPr>
          <w:p w14:paraId="39980835" w14:textId="77777777" w:rsidR="00B41F9C" w:rsidRDefault="00994197">
            <w:pPr>
              <w:pStyle w:val="cTableBody"/>
              <w:spacing w:before="0"/>
            </w:pPr>
            <w:r>
              <w:t>Controlled design; HAZOP/functional safety; suppliers; test-site interfaces; instrumentation; acceptance criteria; cost/schedule update; independent review.</w:t>
            </w:r>
          </w:p>
        </w:tc>
        <w:tc>
          <w:tcPr>
            <w:tcW w:w="2200" w:type="dxa"/>
          </w:tcPr>
          <w:p w14:paraId="187FBDBC" w14:textId="77777777" w:rsidR="00B41F9C" w:rsidRDefault="00994197">
            <w:pPr>
              <w:pStyle w:val="cTableBody"/>
              <w:spacing w:before="0"/>
            </w:pPr>
            <w:r>
              <w:t>Commit major prototype and campus fabrication.</w:t>
            </w:r>
          </w:p>
        </w:tc>
        <w:tc>
          <w:tcPr>
            <w:tcW w:w="2100" w:type="dxa"/>
          </w:tcPr>
          <w:p w14:paraId="779E9F06" w14:textId="77777777" w:rsidR="00B41F9C" w:rsidRDefault="00994197">
            <w:pPr>
              <w:pStyle w:val="cTableBody"/>
              <w:spacing w:before="0"/>
            </w:pPr>
            <w:r>
              <w:t>Delay or narrow fabrication; correct safety, interface, or evidence deficiencies first.</w:t>
            </w:r>
          </w:p>
        </w:tc>
      </w:tr>
      <w:tr w:rsidR="00B41F9C" w14:paraId="520108D3" w14:textId="77777777" w:rsidTr="00322275">
        <w:tc>
          <w:tcPr>
            <w:tcW w:w="1700" w:type="dxa"/>
          </w:tcPr>
          <w:p w14:paraId="25B2F7F0" w14:textId="77777777" w:rsidR="00B41F9C" w:rsidRDefault="00994197">
            <w:pPr>
              <w:pStyle w:val="cTableBody"/>
              <w:spacing w:before="0"/>
            </w:pPr>
            <w:r>
              <w:t>G4. Integrated / endurance readiness (M40–46)</w:t>
            </w:r>
          </w:p>
        </w:tc>
        <w:tc>
          <w:tcPr>
            <w:tcW w:w="4000" w:type="dxa"/>
          </w:tcPr>
          <w:p w14:paraId="5DDE838F" w14:textId="77777777" w:rsidR="00B41F9C" w:rsidRDefault="00994197">
            <w:pPr>
              <w:pStyle w:val="cTableBody"/>
              <w:spacing w:before="0"/>
            </w:pPr>
            <w:r>
              <w:t>Qualified hardware; calibrated measurements; operating envelope; maintenance/recovery plan; materials/corrosion baseline; open deficiencies reviewed.</w:t>
            </w:r>
          </w:p>
        </w:tc>
        <w:tc>
          <w:tcPr>
            <w:tcW w:w="2200" w:type="dxa"/>
          </w:tcPr>
          <w:p w14:paraId="3C69E8D4" w14:textId="77777777" w:rsidR="00B41F9C" w:rsidRDefault="00994197">
            <w:pPr>
              <w:pStyle w:val="cTableBody"/>
              <w:spacing w:before="0"/>
            </w:pPr>
            <w:r>
              <w:t>Begin long-duration integrated operation and repeated module/logistics campaigns.</w:t>
            </w:r>
          </w:p>
        </w:tc>
        <w:tc>
          <w:tcPr>
            <w:tcW w:w="2100" w:type="dxa"/>
          </w:tcPr>
          <w:p w14:paraId="4615EBBA" w14:textId="77777777" w:rsidR="00B41F9C" w:rsidRDefault="00994197">
            <w:pPr>
              <w:pStyle w:val="cTableBody"/>
              <w:spacing w:before="0"/>
            </w:pPr>
            <w:r>
              <w:t>Correct deficiencies; do not waive material safety or measurement requirements to preserve schedule.</w:t>
            </w:r>
          </w:p>
        </w:tc>
      </w:tr>
      <w:tr w:rsidR="00B41F9C" w14:paraId="03944DAD" w14:textId="77777777" w:rsidTr="00322275">
        <w:tc>
          <w:tcPr>
            <w:tcW w:w="1700" w:type="dxa"/>
          </w:tcPr>
          <w:p w14:paraId="0CBC60B8" w14:textId="77777777" w:rsidR="00B41F9C" w:rsidRDefault="00994197">
            <w:pPr>
              <w:pStyle w:val="cTableBody"/>
              <w:spacing w:before="0"/>
            </w:pPr>
            <w:r>
              <w:t>G5. Replication / interoperability (M50–57)</w:t>
            </w:r>
          </w:p>
        </w:tc>
        <w:tc>
          <w:tcPr>
            <w:tcW w:w="4000" w:type="dxa"/>
          </w:tcPr>
          <w:p w14:paraId="31D7330F" w14:textId="77777777" w:rsidR="00B41F9C" w:rsidRDefault="00994197">
            <w:pPr>
              <w:pStyle w:val="cTableBody"/>
              <w:spacing w:before="0"/>
            </w:pPr>
            <w:r>
              <w:t>Repeated performance, degradation/teardown evidence, multi-vendor conformance, independent cost reconstruction, and reproducible data package.</w:t>
            </w:r>
          </w:p>
        </w:tc>
        <w:tc>
          <w:tcPr>
            <w:tcW w:w="2200" w:type="dxa"/>
          </w:tcPr>
          <w:p w14:paraId="27CE937A" w14:textId="77777777" w:rsidR="00B41F9C" w:rsidRDefault="00994197">
            <w:pPr>
              <w:pStyle w:val="cTableBody"/>
              <w:spacing w:before="0"/>
            </w:pPr>
            <w:r>
              <w:t>Freeze mature designs/standards and prepare deployment-grade engineering packages.</w:t>
            </w:r>
          </w:p>
        </w:tc>
        <w:tc>
          <w:tcPr>
            <w:tcW w:w="2100" w:type="dxa"/>
          </w:tcPr>
          <w:p w14:paraId="3AFC7EAC" w14:textId="77777777" w:rsidR="00B41F9C" w:rsidRDefault="00994197">
            <w:pPr>
              <w:pStyle w:val="cTableBody"/>
              <w:spacing w:before="0"/>
            </w:pPr>
            <w:r>
              <w:t>Treat results as unconfirmed; redesign, repeat, or stop the workstream.</w:t>
            </w:r>
          </w:p>
        </w:tc>
      </w:tr>
      <w:tr w:rsidR="00B41F9C" w14:paraId="3CE4877F" w14:textId="77777777" w:rsidTr="00322275">
        <w:tc>
          <w:tcPr>
            <w:tcW w:w="1700" w:type="dxa"/>
          </w:tcPr>
          <w:p w14:paraId="6B749A5F" w14:textId="77777777" w:rsidR="00B41F9C" w:rsidRDefault="00994197">
            <w:pPr>
              <w:pStyle w:val="cTableBody"/>
              <w:spacing w:before="0"/>
            </w:pPr>
            <w:r>
              <w:lastRenderedPageBreak/>
              <w:t>G6. Phase II decision (M60)</w:t>
            </w:r>
          </w:p>
        </w:tc>
        <w:tc>
          <w:tcPr>
            <w:tcW w:w="4000" w:type="dxa"/>
          </w:tcPr>
          <w:p w14:paraId="73531503" w14:textId="77777777" w:rsidR="00B41F9C" w:rsidRDefault="00994197">
            <w:pPr>
              <w:pStyle w:val="cTableBody"/>
              <w:spacing w:before="0"/>
            </w:pPr>
            <w:r>
              <w:t>Platform-by-platform technical, economic, climate, reliability, safety, and market evidence with unresolved risks explicitly stated.</w:t>
            </w:r>
          </w:p>
        </w:tc>
        <w:tc>
          <w:tcPr>
            <w:tcW w:w="2200" w:type="dxa"/>
          </w:tcPr>
          <w:p w14:paraId="555A0083" w14:textId="77777777" w:rsidR="00B41F9C" w:rsidRDefault="00994197">
            <w:pPr>
              <w:pStyle w:val="cTableBody"/>
              <w:spacing w:before="0"/>
            </w:pPr>
            <w:r>
              <w:t>Recommend proceed / redesign / stop for each platform family and enabling system.</w:t>
            </w:r>
          </w:p>
        </w:tc>
        <w:tc>
          <w:tcPr>
            <w:tcW w:w="2100" w:type="dxa"/>
          </w:tcPr>
          <w:p w14:paraId="78D27522" w14:textId="77777777" w:rsidR="00B41F9C" w:rsidRDefault="00994197">
            <w:pPr>
              <w:pStyle w:val="cTableBody"/>
              <w:spacing w:before="0"/>
            </w:pPr>
            <w:r>
              <w:t>No Phase II entitlement; redirect remaining work to higher-value evidence or close out.</w:t>
            </w:r>
          </w:p>
        </w:tc>
      </w:tr>
    </w:tbl>
    <w:p w14:paraId="262EED94" w14:textId="77777777" w:rsidR="00123818" w:rsidRDefault="00994197">
      <w:pPr>
        <w:pStyle w:val="cSubject"/>
      </w:pPr>
      <w:r>
        <w:t>Program-level stop rule</w:t>
      </w:r>
    </w:p>
    <w:p w14:paraId="715D0374" w14:textId="77777777" w:rsidR="00123818" w:rsidRDefault="00994197" w:rsidP="003C3ED9">
      <w:r>
        <w:t>Stop or redirect a workstream when repeated tests cannot establish a credible delivered-cost or CO₂ advantage, when safety or environmental requirements cannot be met, when durability or maintainability is inadequate, when an interface cannot be standardized economically, or when the expected value of additional information is lower than competing uses of the remaining funds.</w:t>
      </w:r>
    </w:p>
    <w:p w14:paraId="185A7E4A" w14:textId="77777777" w:rsidR="00123818" w:rsidRDefault="00994197">
      <w:pPr>
        <w:pStyle w:val="Heading1"/>
      </w:pPr>
      <w:bookmarkStart w:id="19" w:name="_Toc238205544"/>
      <w:r>
        <w:lastRenderedPageBreak/>
        <w:t>Program-Wide Measurement and Acceptance Criteria</w:t>
      </w:r>
      <w:bookmarkEnd w:id="19"/>
    </w:p>
    <w:p w14:paraId="62ABAE2E" w14:textId="53B8DAA7" w:rsidR="00123818" w:rsidRDefault="00994197">
      <w:pPr>
        <w:pStyle w:val="cUserPromptHeading"/>
      </w:pPr>
      <w:r>
        <w:t>Prompt to AI:</w:t>
      </w:r>
      <w:r w:rsidR="003C3ED9" w:rsidRPr="003C3ED9">
        <w:t xml:space="preserve"> </w:t>
      </w:r>
      <w:r w:rsidR="003C3ED9" w:rsidRPr="003C3ED9">
        <w:rPr>
          <w:rStyle w:val="UserPromptTextChar"/>
          <w:b w:val="0"/>
          <w:bCs w:val="0"/>
        </w:rPr>
        <w:t>What common measurements and acceptance evidence should every major platform or enabling-system workstream provide so the program can compare technical performance, economics, climate benefit, reliability, safety, and modularity on the same basis?</w:t>
      </w:r>
    </w:p>
    <w:p w14:paraId="6A397197" w14:textId="77777777" w:rsidR="00123818" w:rsidRDefault="00994197">
      <w:pPr>
        <w:pStyle w:val="cSubject"/>
      </w:pPr>
      <w:r>
        <w:t>Response From AI:</w:t>
      </w:r>
    </w:p>
    <w:p w14:paraId="38C79E2C" w14:textId="77777777" w:rsidR="00123818" w:rsidRDefault="00994197" w:rsidP="003C3ED9">
      <w:r>
        <w:t>Every major prototype should be judged by a common evidence spine. A system that works technically but cannot beat the relevant fossil counterfactual, cannot survive long-duration operation, or cannot be reproduced independently should not advance merely because fabrication is complete.</w:t>
      </w:r>
    </w:p>
    <w:tbl>
      <w:tblPr>
        <w:tblStyle w:val="gswTableStyle"/>
        <w:tblW w:w="10465" w:type="dxa"/>
        <w:tblLook w:val="04A0" w:firstRow="1" w:lastRow="0" w:firstColumn="1" w:lastColumn="0" w:noHBand="0" w:noVBand="1"/>
      </w:tblPr>
      <w:tblGrid>
        <w:gridCol w:w="1988"/>
        <w:gridCol w:w="3558"/>
        <w:gridCol w:w="3349"/>
        <w:gridCol w:w="1570"/>
      </w:tblGrid>
      <w:tr w:rsidR="00B41F9C" w:rsidRPr="009561AD" w14:paraId="3A8DB4BA" w14:textId="77777777" w:rsidTr="00322275">
        <w:trPr>
          <w:cnfStyle w:val="100000000000" w:firstRow="1" w:lastRow="0" w:firstColumn="0" w:lastColumn="0" w:oddVBand="0" w:evenVBand="0" w:oddHBand="0" w:evenHBand="0" w:firstRowFirstColumn="0" w:firstRowLastColumn="0" w:lastRowFirstColumn="0" w:lastRowLastColumn="0"/>
        </w:trPr>
        <w:tc>
          <w:tcPr>
            <w:tcW w:w="1900" w:type="dxa"/>
          </w:tcPr>
          <w:p w14:paraId="5D0BE289" w14:textId="77777777" w:rsidR="00B41F9C" w:rsidRPr="009561AD" w:rsidRDefault="00994197" w:rsidP="009561AD">
            <w:pPr>
              <w:pStyle w:val="cTableHeader"/>
            </w:pPr>
            <w:r>
              <w:t>Metric</w:t>
            </w:r>
          </w:p>
        </w:tc>
        <w:tc>
          <w:tcPr>
            <w:tcW w:w="3400" w:type="dxa"/>
          </w:tcPr>
          <w:p w14:paraId="2BFE98D5" w14:textId="77777777" w:rsidR="00B41F9C" w:rsidRPr="009561AD" w:rsidRDefault="00994197" w:rsidP="009561AD">
            <w:pPr>
              <w:pStyle w:val="cTableHeader"/>
            </w:pPr>
            <w:r>
              <w:t>Required measurement</w:t>
            </w:r>
          </w:p>
        </w:tc>
        <w:tc>
          <w:tcPr>
            <w:tcW w:w="3200" w:type="dxa"/>
          </w:tcPr>
          <w:p w14:paraId="6139EEE8" w14:textId="77777777" w:rsidR="00B41F9C" w:rsidRPr="009561AD" w:rsidRDefault="00994197" w:rsidP="009561AD">
            <w:pPr>
              <w:pStyle w:val="cTableHeader"/>
            </w:pPr>
            <w:r>
              <w:t>Acceptance evidence</w:t>
            </w:r>
          </w:p>
        </w:tc>
        <w:tc>
          <w:tcPr>
            <w:tcW w:w="1500" w:type="dxa"/>
          </w:tcPr>
          <w:p w14:paraId="068F17B8" w14:textId="77777777" w:rsidR="00B41F9C" w:rsidRPr="009561AD" w:rsidRDefault="00994197" w:rsidP="009561AD">
            <w:pPr>
              <w:pStyle w:val="cTableHeader"/>
            </w:pPr>
            <w:r>
              <w:t>Used for</w:t>
            </w:r>
          </w:p>
        </w:tc>
      </w:tr>
      <w:tr w:rsidR="00B41F9C" w14:paraId="4C2436B0" w14:textId="77777777" w:rsidTr="00322275">
        <w:tc>
          <w:tcPr>
            <w:tcW w:w="1900" w:type="dxa"/>
          </w:tcPr>
          <w:p w14:paraId="695B16F7" w14:textId="77777777" w:rsidR="00B41F9C" w:rsidRDefault="00994197">
            <w:pPr>
              <w:pStyle w:val="cTableBody"/>
              <w:spacing w:before="0"/>
            </w:pPr>
            <w:r>
              <w:t>Energy / process performance</w:t>
            </w:r>
          </w:p>
        </w:tc>
        <w:tc>
          <w:tcPr>
            <w:tcW w:w="3400" w:type="dxa"/>
          </w:tcPr>
          <w:p w14:paraId="668CE1F0" w14:textId="77777777" w:rsidR="00B41F9C" w:rsidRDefault="00994197">
            <w:pPr>
              <w:pStyle w:val="cTableBody"/>
              <w:spacing w:before="0"/>
            </w:pPr>
            <w:r>
              <w:t>MWhₑ and MWhₜₕ per tonne; COP/MVR ratio; heat recovery; throughput; product quality; turndown.</w:t>
            </w:r>
          </w:p>
        </w:tc>
        <w:tc>
          <w:tcPr>
            <w:tcW w:w="3200" w:type="dxa"/>
          </w:tcPr>
          <w:p w14:paraId="45C496B8" w14:textId="77777777" w:rsidR="00B41F9C" w:rsidRDefault="00994197">
            <w:pPr>
              <w:pStyle w:val="cTableBody"/>
              <w:spacing w:before="0"/>
            </w:pPr>
            <w:r>
              <w:t>Calibrated mass/energy balances under controlled operating conditions with uncertainty.</w:t>
            </w:r>
          </w:p>
        </w:tc>
        <w:tc>
          <w:tcPr>
            <w:tcW w:w="1500" w:type="dxa"/>
          </w:tcPr>
          <w:p w14:paraId="21D6E537" w14:textId="77777777" w:rsidR="00B41F9C" w:rsidRDefault="00994197">
            <w:pPr>
              <w:pStyle w:val="cTableBody"/>
              <w:spacing w:before="0"/>
            </w:pPr>
            <w:r>
              <w:t>G2–G6 platform comparison</w:t>
            </w:r>
          </w:p>
        </w:tc>
      </w:tr>
      <w:tr w:rsidR="00B41F9C" w14:paraId="607E580F" w14:textId="77777777" w:rsidTr="00322275">
        <w:tc>
          <w:tcPr>
            <w:tcW w:w="1900" w:type="dxa"/>
          </w:tcPr>
          <w:p w14:paraId="2452D143" w14:textId="77777777" w:rsidR="00B41F9C" w:rsidRDefault="00994197">
            <w:pPr>
              <w:pStyle w:val="cTableBody"/>
              <w:spacing w:before="0"/>
            </w:pPr>
            <w:r>
              <w:t>Economics</w:t>
            </w:r>
          </w:p>
        </w:tc>
        <w:tc>
          <w:tcPr>
            <w:tcW w:w="3400" w:type="dxa"/>
          </w:tcPr>
          <w:p w14:paraId="1832AA38" w14:textId="77777777" w:rsidR="00B41F9C" w:rsidRDefault="00994197">
            <w:pPr>
              <w:pStyle w:val="cTableBody"/>
              <w:spacing w:before="0"/>
            </w:pPr>
            <w:r>
              <w:t>Platform CAPEX, installation, O&amp;M, maintenance, consumables, financing, utilization, and delivered product/heat cost.</w:t>
            </w:r>
          </w:p>
        </w:tc>
        <w:tc>
          <w:tcPr>
            <w:tcW w:w="3200" w:type="dxa"/>
          </w:tcPr>
          <w:p w14:paraId="6AB8E6A1" w14:textId="77777777" w:rsidR="00B41F9C" w:rsidRDefault="00994197">
            <w:pPr>
              <w:pStyle w:val="cTableBody"/>
              <w:spacing w:before="0"/>
            </w:pPr>
            <w:r>
              <w:t>Independent cost reconstruction against both new fossil construction and existing-fossil marginal operation.</w:t>
            </w:r>
          </w:p>
        </w:tc>
        <w:tc>
          <w:tcPr>
            <w:tcW w:w="1500" w:type="dxa"/>
          </w:tcPr>
          <w:p w14:paraId="5274A8D8" w14:textId="77777777" w:rsidR="00B41F9C" w:rsidRDefault="00994197">
            <w:pPr>
              <w:pStyle w:val="cTableBody"/>
              <w:spacing w:before="0"/>
            </w:pPr>
            <w:r>
              <w:t>Down-selection and Phase II</w:t>
            </w:r>
          </w:p>
        </w:tc>
      </w:tr>
      <w:tr w:rsidR="00B41F9C" w14:paraId="54CA5B7B" w14:textId="77777777" w:rsidTr="00322275">
        <w:tc>
          <w:tcPr>
            <w:tcW w:w="1900" w:type="dxa"/>
          </w:tcPr>
          <w:p w14:paraId="6A051F5F" w14:textId="77777777" w:rsidR="00B41F9C" w:rsidRDefault="00994197">
            <w:pPr>
              <w:pStyle w:val="cTableBody"/>
              <w:spacing w:before="0"/>
            </w:pPr>
            <w:r>
              <w:t>Climate benefit</w:t>
            </w:r>
          </w:p>
        </w:tc>
        <w:tc>
          <w:tcPr>
            <w:tcW w:w="3400" w:type="dxa"/>
          </w:tcPr>
          <w:p w14:paraId="61917D3D" w14:textId="77777777" w:rsidR="00B41F9C" w:rsidRDefault="00994197">
            <w:pPr>
              <w:pStyle w:val="cTableBody"/>
              <w:spacing w:before="0"/>
            </w:pPr>
            <w:r>
              <w:t>Direct and lifecycle tCO₂ avoided or removed per tonne product; $/tCO₂; system boundary and counterfactual.</w:t>
            </w:r>
          </w:p>
        </w:tc>
        <w:tc>
          <w:tcPr>
            <w:tcW w:w="3200" w:type="dxa"/>
          </w:tcPr>
          <w:p w14:paraId="257E856C" w14:textId="77777777" w:rsidR="00B41F9C" w:rsidRDefault="00994197">
            <w:pPr>
              <w:pStyle w:val="cTableBody"/>
              <w:spacing w:before="0"/>
            </w:pPr>
            <w:r>
              <w:t>Reproducible lifecycle inventory plus measured energy/material inputs; no double counting across platforms.</w:t>
            </w:r>
          </w:p>
        </w:tc>
        <w:tc>
          <w:tcPr>
            <w:tcW w:w="1500" w:type="dxa"/>
          </w:tcPr>
          <w:p w14:paraId="01D1482B" w14:textId="77777777" w:rsidR="00B41F9C" w:rsidRDefault="00994197">
            <w:pPr>
              <w:pStyle w:val="cTableBody"/>
              <w:spacing w:before="0"/>
            </w:pPr>
            <w:r>
              <w:t>Portfolio ranking</w:t>
            </w:r>
          </w:p>
        </w:tc>
      </w:tr>
      <w:tr w:rsidR="00B41F9C" w14:paraId="6E7AED4E" w14:textId="77777777" w:rsidTr="00322275">
        <w:tc>
          <w:tcPr>
            <w:tcW w:w="1900" w:type="dxa"/>
          </w:tcPr>
          <w:p w14:paraId="722470EC" w14:textId="77777777" w:rsidR="00B41F9C" w:rsidRDefault="00994197">
            <w:pPr>
              <w:pStyle w:val="cTableBody"/>
              <w:spacing w:before="0"/>
            </w:pPr>
            <w:r>
              <w:t>Reliability / durability</w:t>
            </w:r>
          </w:p>
        </w:tc>
        <w:tc>
          <w:tcPr>
            <w:tcW w:w="3400" w:type="dxa"/>
          </w:tcPr>
          <w:p w14:paraId="7B0D0C82" w14:textId="77777777" w:rsidR="00B41F9C" w:rsidRDefault="00994197">
            <w:pPr>
              <w:pStyle w:val="cTableBody"/>
              <w:spacing w:before="0"/>
            </w:pPr>
            <w:r>
              <w:t>Availability, forced outages, degradation, corrosion, catalyst/stack life, leak rate, cycling, maintenance interval.</w:t>
            </w:r>
          </w:p>
        </w:tc>
        <w:tc>
          <w:tcPr>
            <w:tcW w:w="3200" w:type="dxa"/>
          </w:tcPr>
          <w:p w14:paraId="3EA5E451" w14:textId="77777777" w:rsidR="00B41F9C" w:rsidRDefault="00994197">
            <w:pPr>
              <w:pStyle w:val="cTableBody"/>
              <w:spacing w:before="0"/>
            </w:pPr>
            <w:r>
              <w:t>Long-duration runs, inspections/teardowns, failure log, corrective actions, and reliability-growth record.</w:t>
            </w:r>
          </w:p>
        </w:tc>
        <w:tc>
          <w:tcPr>
            <w:tcW w:w="1500" w:type="dxa"/>
          </w:tcPr>
          <w:p w14:paraId="7D34D276" w14:textId="77777777" w:rsidR="00B41F9C" w:rsidRDefault="00994197">
            <w:pPr>
              <w:pStyle w:val="cTableBody"/>
              <w:spacing w:before="0"/>
            </w:pPr>
            <w:r>
              <w:t>G4–G6</w:t>
            </w:r>
          </w:p>
        </w:tc>
      </w:tr>
      <w:tr w:rsidR="00B41F9C" w14:paraId="687A030F" w14:textId="77777777" w:rsidTr="00322275">
        <w:tc>
          <w:tcPr>
            <w:tcW w:w="1900" w:type="dxa"/>
          </w:tcPr>
          <w:p w14:paraId="7CEEADA9" w14:textId="77777777" w:rsidR="00B41F9C" w:rsidRDefault="00994197">
            <w:pPr>
              <w:pStyle w:val="cTableBody"/>
              <w:spacing w:before="0"/>
            </w:pPr>
            <w:r>
              <w:t>Safety / environment</w:t>
            </w:r>
          </w:p>
        </w:tc>
        <w:tc>
          <w:tcPr>
            <w:tcW w:w="3400" w:type="dxa"/>
          </w:tcPr>
          <w:p w14:paraId="6B8934FD" w14:textId="77777777" w:rsidR="00B41F9C" w:rsidRDefault="00994197">
            <w:pPr>
              <w:pStyle w:val="cTableBody"/>
              <w:spacing w:before="0"/>
            </w:pPr>
            <w:r>
              <w:t>HAZOP findings, hazardous-area controls, NH₃/H₂ release, electrical/rail hazards, marine risks, emissions, waste, water.</w:t>
            </w:r>
          </w:p>
        </w:tc>
        <w:tc>
          <w:tcPr>
            <w:tcW w:w="3200" w:type="dxa"/>
          </w:tcPr>
          <w:p w14:paraId="09C2ACD9" w14:textId="77777777" w:rsidR="00B41F9C" w:rsidRDefault="00994197">
            <w:pPr>
              <w:pStyle w:val="cTableBody"/>
              <w:spacing w:before="0"/>
            </w:pPr>
            <w:r>
              <w:t>Independent closure or explicit acceptance of critical findings; functioning shutdown/containment and incident reporting.</w:t>
            </w:r>
          </w:p>
        </w:tc>
        <w:tc>
          <w:tcPr>
            <w:tcW w:w="1500" w:type="dxa"/>
          </w:tcPr>
          <w:p w14:paraId="0C6DB9B5" w14:textId="77777777" w:rsidR="00B41F9C" w:rsidRDefault="00994197">
            <w:pPr>
              <w:pStyle w:val="cTableBody"/>
              <w:spacing w:before="0"/>
            </w:pPr>
            <w:r>
              <w:t>Every major test gate</w:t>
            </w:r>
          </w:p>
        </w:tc>
      </w:tr>
      <w:tr w:rsidR="00B41F9C" w14:paraId="43EADF15" w14:textId="77777777" w:rsidTr="00322275">
        <w:tc>
          <w:tcPr>
            <w:tcW w:w="1900" w:type="dxa"/>
          </w:tcPr>
          <w:p w14:paraId="2BD43A08" w14:textId="77777777" w:rsidR="00B41F9C" w:rsidRDefault="00994197">
            <w:pPr>
              <w:pStyle w:val="cTableBody"/>
              <w:spacing w:before="0"/>
            </w:pPr>
            <w:r>
              <w:t>Modularity / logistics</w:t>
            </w:r>
          </w:p>
        </w:tc>
        <w:tc>
          <w:tcPr>
            <w:tcW w:w="3400" w:type="dxa"/>
          </w:tcPr>
          <w:p w14:paraId="07C307BF" w14:textId="77777777" w:rsidR="00B41F9C" w:rsidRDefault="00994197">
            <w:pPr>
              <w:pStyle w:val="cTableBody"/>
              <w:spacing w:before="0"/>
            </w:pPr>
            <w:r>
              <w:t>Factory-completion fraction, transport limits, installation/removal time, docking/alignment, reconnect time, recovery from faults.</w:t>
            </w:r>
          </w:p>
        </w:tc>
        <w:tc>
          <w:tcPr>
            <w:tcW w:w="3200" w:type="dxa"/>
          </w:tcPr>
          <w:p w14:paraId="600CDEC3" w14:textId="77777777" w:rsidR="00B41F9C" w:rsidRDefault="00994197">
            <w:pPr>
              <w:pStyle w:val="cTableBody"/>
              <w:spacing w:before="0"/>
            </w:pPr>
            <w:r>
              <w:t>Repeated measured module moves and replacement campaigns using controlled geometry and load cases.</w:t>
            </w:r>
          </w:p>
        </w:tc>
        <w:tc>
          <w:tcPr>
            <w:tcW w:w="1500" w:type="dxa"/>
          </w:tcPr>
          <w:p w14:paraId="68CAB767" w14:textId="77777777" w:rsidR="00B41F9C" w:rsidRDefault="00994197">
            <w:pPr>
              <w:pStyle w:val="cTableBody"/>
              <w:spacing w:before="0"/>
            </w:pPr>
            <w:r>
              <w:t>G3–G6</w:t>
            </w:r>
          </w:p>
        </w:tc>
      </w:tr>
      <w:tr w:rsidR="00B41F9C" w14:paraId="0BB1AE9E" w14:textId="77777777" w:rsidTr="00322275">
        <w:tc>
          <w:tcPr>
            <w:tcW w:w="1900" w:type="dxa"/>
          </w:tcPr>
          <w:p w14:paraId="247CFB5A" w14:textId="77777777" w:rsidR="00B41F9C" w:rsidRDefault="00994197">
            <w:pPr>
              <w:pStyle w:val="cTableBody"/>
              <w:spacing w:before="0"/>
            </w:pPr>
            <w:r>
              <w:t>Interoperability</w:t>
            </w:r>
          </w:p>
        </w:tc>
        <w:tc>
          <w:tcPr>
            <w:tcW w:w="3400" w:type="dxa"/>
          </w:tcPr>
          <w:p w14:paraId="69C3738D" w14:textId="77777777" w:rsidR="00B41F9C" w:rsidRDefault="00994197">
            <w:pPr>
              <w:pStyle w:val="cTableBody"/>
              <w:spacing w:before="0"/>
            </w:pPr>
            <w:r>
              <w:t>Mechanical, heat, electrical, controls/data, cyber, rail, material, and utility interface conformance.</w:t>
            </w:r>
          </w:p>
        </w:tc>
        <w:tc>
          <w:tcPr>
            <w:tcW w:w="3200" w:type="dxa"/>
          </w:tcPr>
          <w:p w14:paraId="0A34C97C" w14:textId="77777777" w:rsidR="00B41F9C" w:rsidRDefault="00994197">
            <w:pPr>
              <w:pStyle w:val="cTableBody"/>
              <w:spacing w:before="0"/>
            </w:pPr>
            <w:r>
              <w:t>At least three independent supplier teams connect at the interoperability lab without bespoke site redesign.</w:t>
            </w:r>
          </w:p>
        </w:tc>
        <w:tc>
          <w:tcPr>
            <w:tcW w:w="1500" w:type="dxa"/>
          </w:tcPr>
          <w:p w14:paraId="262244AF" w14:textId="77777777" w:rsidR="00B41F9C" w:rsidRDefault="00994197">
            <w:pPr>
              <w:pStyle w:val="cTableBody"/>
              <w:spacing w:before="0"/>
            </w:pPr>
            <w:r>
              <w:t>G5 standards freeze</w:t>
            </w:r>
          </w:p>
        </w:tc>
      </w:tr>
      <w:tr w:rsidR="00B41F9C" w14:paraId="1736E81C" w14:textId="77777777" w:rsidTr="00322275">
        <w:tc>
          <w:tcPr>
            <w:tcW w:w="1900" w:type="dxa"/>
          </w:tcPr>
          <w:p w14:paraId="3A8489FD" w14:textId="77777777" w:rsidR="00B41F9C" w:rsidRDefault="00994197">
            <w:pPr>
              <w:pStyle w:val="cTableBody"/>
              <w:spacing w:before="0"/>
            </w:pPr>
            <w:r>
              <w:t>Independent reproducibility</w:t>
            </w:r>
          </w:p>
        </w:tc>
        <w:tc>
          <w:tcPr>
            <w:tcW w:w="3400" w:type="dxa"/>
          </w:tcPr>
          <w:p w14:paraId="09AE774B" w14:textId="77777777" w:rsidR="00B41F9C" w:rsidRDefault="00994197">
            <w:pPr>
              <w:pStyle w:val="cTableBody"/>
              <w:spacing w:before="0"/>
            </w:pPr>
            <w:r>
              <w:t>Raw data, calibration, source files, test configuration, exclusions, assumptions, failures, and uncertainty.</w:t>
            </w:r>
          </w:p>
        </w:tc>
        <w:tc>
          <w:tcPr>
            <w:tcW w:w="3200" w:type="dxa"/>
          </w:tcPr>
          <w:p w14:paraId="05233D8F" w14:textId="77777777" w:rsidR="00B41F9C" w:rsidRDefault="00994197">
            <w:pPr>
              <w:pStyle w:val="cTableBody"/>
              <w:spacing w:before="0"/>
            </w:pPr>
            <w:r>
              <w:t>Unaffiliated team can reconstruct key performance, cost, and climate claims from the delivered record.</w:t>
            </w:r>
          </w:p>
        </w:tc>
        <w:tc>
          <w:tcPr>
            <w:tcW w:w="1500" w:type="dxa"/>
          </w:tcPr>
          <w:p w14:paraId="33FD4B1A" w14:textId="77777777" w:rsidR="00B41F9C" w:rsidRDefault="00994197">
            <w:pPr>
              <w:pStyle w:val="cTableBody"/>
              <w:spacing w:before="0"/>
            </w:pPr>
            <w:r>
              <w:t>Public claims and G6</w:t>
            </w:r>
          </w:p>
        </w:tc>
      </w:tr>
    </w:tbl>
    <w:p w14:paraId="30732E79" w14:textId="77777777" w:rsidR="00123818" w:rsidRDefault="00994197">
      <w:pPr>
        <w:pStyle w:val="Heading2"/>
      </w:pPr>
      <w:r>
        <w:lastRenderedPageBreak/>
        <w:t>Portfolio down-selection rule</w:t>
      </w:r>
    </w:p>
    <w:p w14:paraId="4DCAA98E" w14:textId="77777777" w:rsidR="00123818" w:rsidRDefault="00994197" w:rsidP="003C3ED9">
      <w:r>
        <w:t>The program should deliberately spend unevenly. All 31 platform families receive enough engineering to make a comparable decision, but major hardware funding is concentrated only after the G2 portfolio review.</w:t>
      </w:r>
    </w:p>
    <w:tbl>
      <w:tblPr>
        <w:tblStyle w:val="gswTableStyle"/>
        <w:tblW w:w="10010" w:type="dxa"/>
        <w:tblLayout w:type="fixed"/>
        <w:tblLook w:val="04A0" w:firstRow="1" w:lastRow="0" w:firstColumn="1" w:lastColumn="0" w:noHBand="0" w:noVBand="1"/>
      </w:tblPr>
      <w:tblGrid>
        <w:gridCol w:w="2300"/>
        <w:gridCol w:w="5000"/>
        <w:gridCol w:w="2710"/>
      </w:tblGrid>
      <w:tr w:rsidR="00FF42B6" w:rsidRPr="005554BF" w14:paraId="16BEDF87" w14:textId="77777777" w:rsidTr="005554BF">
        <w:trPr>
          <w:cnfStyle w:val="100000000000" w:firstRow="1" w:lastRow="0" w:firstColumn="0" w:lastColumn="0" w:oddVBand="0" w:evenVBand="0" w:oddHBand="0" w:evenHBand="0" w:firstRowFirstColumn="0" w:firstRowLastColumn="0" w:lastRowFirstColumn="0" w:lastRowLastColumn="0"/>
        </w:trPr>
        <w:tc>
          <w:tcPr>
            <w:tcW w:w="2300" w:type="dxa"/>
          </w:tcPr>
          <w:p w14:paraId="72D77F01" w14:textId="77777777" w:rsidR="00FF42B6" w:rsidRPr="005554BF" w:rsidRDefault="00FF42B6" w:rsidP="005554BF">
            <w:pPr>
              <w:pStyle w:val="cTableHeader"/>
            </w:pPr>
            <w:r>
              <w:t>Portfolio tier</w:t>
            </w:r>
          </w:p>
        </w:tc>
        <w:tc>
          <w:tcPr>
            <w:tcW w:w="5000" w:type="dxa"/>
          </w:tcPr>
          <w:p w14:paraId="50304212" w14:textId="77777777" w:rsidR="00FF42B6" w:rsidRPr="005554BF" w:rsidRDefault="00FF42B6" w:rsidP="005554BF">
            <w:pPr>
              <w:pStyle w:val="cTableHeader"/>
            </w:pPr>
            <w:r>
              <w:t>Minimum deliverable</w:t>
            </w:r>
          </w:p>
        </w:tc>
        <w:tc>
          <w:tcPr>
            <w:tcW w:w="2710" w:type="dxa"/>
          </w:tcPr>
          <w:p w14:paraId="66639E5A" w14:textId="77777777" w:rsidR="00FF42B6" w:rsidRPr="005554BF" w:rsidRDefault="00FF42B6" w:rsidP="005554BF">
            <w:pPr>
              <w:pStyle w:val="cTableHeader"/>
            </w:pPr>
            <w:r>
              <w:t>Spending rule</w:t>
            </w:r>
          </w:p>
        </w:tc>
      </w:tr>
      <w:tr w:rsidR="00FF42B6" w14:paraId="34F03ADE" w14:textId="77777777" w:rsidTr="005554BF">
        <w:tc>
          <w:tcPr>
            <w:tcW w:w="2300" w:type="dxa"/>
          </w:tcPr>
          <w:p w14:paraId="3392090C" w14:textId="77777777" w:rsidR="00FF42B6" w:rsidRDefault="00FF42B6" w:rsidP="003E4A91">
            <w:pPr>
              <w:pStyle w:val="cTableBody"/>
              <w:spacing w:before="0"/>
            </w:pPr>
            <w:r>
              <w:t>All 31 platform families</w:t>
            </w:r>
          </w:p>
        </w:tc>
        <w:tc>
          <w:tcPr>
            <w:tcW w:w="5000" w:type="dxa"/>
          </w:tcPr>
          <w:p w14:paraId="0471E462" w14:textId="77777777" w:rsidR="00FF42B6" w:rsidRDefault="00FF42B6" w:rsidP="003E4A91">
            <w:pPr>
              <w:pStyle w:val="cTableBody"/>
              <w:spacing w:before="0"/>
            </w:pPr>
            <w:r>
              <w:t>FEED/reference design, interfaces, safety screen, cost/CO₂ model, and priority score.</w:t>
            </w:r>
          </w:p>
        </w:tc>
        <w:tc>
          <w:tcPr>
            <w:tcW w:w="2710" w:type="dxa"/>
          </w:tcPr>
          <w:p w14:paraId="205340F8" w14:textId="77777777" w:rsidR="00FF42B6" w:rsidRDefault="00FF42B6" w:rsidP="003E4A91">
            <w:pPr>
              <w:pStyle w:val="cTableBody"/>
              <w:spacing w:before="0"/>
            </w:pPr>
            <w:r>
              <w:t>Required before G2; hardware is not automatic.</w:t>
            </w:r>
          </w:p>
        </w:tc>
      </w:tr>
      <w:tr w:rsidR="00FF42B6" w14:paraId="3F2B222C" w14:textId="77777777" w:rsidTr="005554BF">
        <w:tc>
          <w:tcPr>
            <w:tcW w:w="2300" w:type="dxa"/>
          </w:tcPr>
          <w:p w14:paraId="7F0F2924" w14:textId="77777777" w:rsidR="00FF42B6" w:rsidRDefault="00FF42B6" w:rsidP="003E4A91">
            <w:pPr>
              <w:pStyle w:val="cTableBody"/>
              <w:spacing w:before="0"/>
            </w:pPr>
            <w:r>
              <w:t>Highest-priority roughly 8–12</w:t>
            </w:r>
          </w:p>
        </w:tc>
        <w:tc>
          <w:tcPr>
            <w:tcW w:w="5000" w:type="dxa"/>
          </w:tcPr>
          <w:p w14:paraId="03AA49C3" w14:textId="77777777" w:rsidR="00FF42B6" w:rsidRDefault="00FF42B6" w:rsidP="003E4A91">
            <w:pPr>
              <w:pStyle w:val="cTableBody"/>
              <w:spacing w:before="0"/>
            </w:pPr>
            <w:r>
              <w:t>Substantial integrated pilots plus representative endurance/maintenance testing.</w:t>
            </w:r>
          </w:p>
        </w:tc>
        <w:tc>
          <w:tcPr>
            <w:tcW w:w="2710" w:type="dxa"/>
          </w:tcPr>
          <w:p w14:paraId="36DC5EBC" w14:textId="77777777" w:rsidR="00FF42B6" w:rsidRDefault="00FF42B6" w:rsidP="003E4A91">
            <w:pPr>
              <w:pStyle w:val="cTableBody"/>
              <w:spacing w:before="0"/>
            </w:pPr>
            <w:r>
              <w:t>Receive most WP2 prototype spending after G2.</w:t>
            </w:r>
          </w:p>
        </w:tc>
      </w:tr>
      <w:tr w:rsidR="00FF42B6" w14:paraId="7DA58831" w14:textId="77777777" w:rsidTr="005554BF">
        <w:tc>
          <w:tcPr>
            <w:tcW w:w="2300" w:type="dxa"/>
          </w:tcPr>
          <w:p w14:paraId="74CABD96" w14:textId="77777777" w:rsidR="00FF42B6" w:rsidRDefault="00FF42B6" w:rsidP="003E4A91">
            <w:pPr>
              <w:pStyle w:val="cTableBody"/>
              <w:spacing w:before="0"/>
            </w:pPr>
            <w:r>
              <w:t>Other viable families</w:t>
            </w:r>
          </w:p>
        </w:tc>
        <w:tc>
          <w:tcPr>
            <w:tcW w:w="5000" w:type="dxa"/>
          </w:tcPr>
          <w:p w14:paraId="20D807E6" w14:textId="77777777" w:rsidR="00FF42B6" w:rsidRDefault="00FF42B6" w:rsidP="003E4A91">
            <w:pPr>
              <w:pStyle w:val="cTableBody"/>
              <w:spacing w:before="0"/>
            </w:pPr>
            <w:r>
              <w:t>Subsystem rig or representative test article only where a specific uncertainty justifies it.</w:t>
            </w:r>
          </w:p>
        </w:tc>
        <w:tc>
          <w:tcPr>
            <w:tcW w:w="2710" w:type="dxa"/>
          </w:tcPr>
          <w:p w14:paraId="1AB3C552" w14:textId="77777777" w:rsidR="00FF42B6" w:rsidRDefault="00FF42B6" w:rsidP="003E4A91">
            <w:pPr>
              <w:pStyle w:val="cTableBody"/>
              <w:spacing w:before="0"/>
            </w:pPr>
            <w:r>
              <w:t>Fund to resolve the decision question, not to create equal prototypes.</w:t>
            </w:r>
          </w:p>
        </w:tc>
      </w:tr>
      <w:tr w:rsidR="00FF42B6" w14:paraId="709D1536" w14:textId="77777777" w:rsidTr="005554BF">
        <w:tc>
          <w:tcPr>
            <w:tcW w:w="2300" w:type="dxa"/>
          </w:tcPr>
          <w:p w14:paraId="5266C2D9" w14:textId="77777777" w:rsidR="00FF42B6" w:rsidRDefault="00FF42B6" w:rsidP="003E4A91">
            <w:pPr>
              <w:pStyle w:val="cTableBody"/>
              <w:spacing w:before="0"/>
            </w:pPr>
            <w:r>
              <w:t>Weak / uneconomic cases</w:t>
            </w:r>
          </w:p>
        </w:tc>
        <w:tc>
          <w:tcPr>
            <w:tcW w:w="5000" w:type="dxa"/>
          </w:tcPr>
          <w:p w14:paraId="4B4DF332" w14:textId="77777777" w:rsidR="00FF42B6" w:rsidRDefault="00FF42B6" w:rsidP="003E4A91">
            <w:pPr>
              <w:pStyle w:val="cTableBody"/>
              <w:spacing w:before="0"/>
            </w:pPr>
            <w:r>
              <w:t>Documented negative result and reusable design/economic record.</w:t>
            </w:r>
          </w:p>
        </w:tc>
        <w:tc>
          <w:tcPr>
            <w:tcW w:w="2710" w:type="dxa"/>
          </w:tcPr>
          <w:p w14:paraId="0877A261" w14:textId="77777777" w:rsidR="00FF42B6" w:rsidRDefault="00FF42B6" w:rsidP="003E4A91">
            <w:pPr>
              <w:pStyle w:val="cTableBody"/>
              <w:spacing w:before="0"/>
            </w:pPr>
            <w:r>
              <w:t>Stop at FEED or after limited risk reduction; redirect funds.</w:t>
            </w:r>
          </w:p>
        </w:tc>
      </w:tr>
    </w:tbl>
    <w:p w14:paraId="5543BEBD" w14:textId="77777777" w:rsidR="00FF42B6" w:rsidRDefault="00FF42B6" w:rsidP="00FF42B6">
      <w:pPr>
        <w:pStyle w:val="Heading1"/>
        <w:spacing w:before="280" w:after="280"/>
      </w:pPr>
      <w:bookmarkStart w:id="20" w:name="_Toc237345520"/>
      <w:bookmarkStart w:id="21" w:name="_Toc237471103"/>
      <w:bookmarkStart w:id="22" w:name="_Toc238129758"/>
      <w:bookmarkStart w:id="23" w:name="_Toc238205545"/>
      <w:bookmarkStart w:id="24" w:name="_Toc237345524"/>
      <w:r>
        <w:lastRenderedPageBreak/>
        <w:t>Development Phases</w:t>
      </w:r>
      <w:bookmarkEnd w:id="20"/>
      <w:bookmarkEnd w:id="21"/>
      <w:bookmarkEnd w:id="22"/>
      <w:bookmarkEnd w:id="23"/>
    </w:p>
    <w:p w14:paraId="22F937E5" w14:textId="77777777" w:rsidR="00FF42B6" w:rsidRDefault="00FF42B6" w:rsidP="00FF42B6">
      <w:pPr>
        <w:pStyle w:val="cUserPromptText"/>
        <w:spacing w:before="280" w:after="280"/>
      </w:pPr>
      <w:r>
        <w:rPr>
          <w:b/>
        </w:rPr>
        <w:t xml:space="preserve">Prompt to AI: </w:t>
      </w:r>
      <w:r>
        <w:t>For each work package in the $1B fund, identify the development phases, approximate cost allocation, deliverables, and the major decision gates. Ensure prototypes, standards, corrosion/endurance testing, ammonia fuel cells, electrified rail, and automated thermal-storage-tank construction are explicit.</w:t>
      </w:r>
    </w:p>
    <w:p w14:paraId="4DE220DC" w14:textId="77777777" w:rsidR="00FF42B6" w:rsidRDefault="00FF42B6" w:rsidP="00FF42B6">
      <w:r>
        <w:rPr>
          <w:b/>
          <w:color w:val="4F81BD"/>
          <w:u w:val="single"/>
        </w:rPr>
        <w:t>Response From AI:</w:t>
      </w:r>
    </w:p>
    <w:tbl>
      <w:tblPr>
        <w:tblStyle w:val="gswTableStyle"/>
        <w:tblW w:w="9776" w:type="dxa"/>
        <w:tblLayout w:type="fixed"/>
        <w:tblLook w:val="04A0" w:firstRow="1" w:lastRow="0" w:firstColumn="1" w:lastColumn="0" w:noHBand="0" w:noVBand="1"/>
      </w:tblPr>
      <w:tblGrid>
        <w:gridCol w:w="2649"/>
        <w:gridCol w:w="1614"/>
        <w:gridCol w:w="5513"/>
      </w:tblGrid>
      <w:tr w:rsidR="00FF42B6" w14:paraId="6EE886C4" w14:textId="77777777" w:rsidTr="00303A61">
        <w:trPr>
          <w:cnfStyle w:val="100000000000" w:firstRow="1" w:lastRow="0" w:firstColumn="0" w:lastColumn="0" w:oddVBand="0" w:evenVBand="0" w:oddHBand="0" w:evenHBand="0" w:firstRowFirstColumn="0" w:firstRowLastColumn="0" w:lastRowFirstColumn="0" w:lastRowLastColumn="0"/>
        </w:trPr>
        <w:tc>
          <w:tcPr>
            <w:tcW w:w="2649" w:type="dxa"/>
          </w:tcPr>
          <w:p w14:paraId="77137B80" w14:textId="77777777" w:rsidR="00FF42B6" w:rsidRDefault="00FF42B6" w:rsidP="00DD4C0D">
            <w:pPr>
              <w:pStyle w:val="cTableHeader"/>
              <w:spacing w:before="0" w:after="0"/>
            </w:pPr>
            <w:r>
              <w:t>Common stage</w:t>
            </w:r>
          </w:p>
        </w:tc>
        <w:tc>
          <w:tcPr>
            <w:tcW w:w="1614" w:type="dxa"/>
          </w:tcPr>
          <w:p w14:paraId="4175C6B3" w14:textId="77777777" w:rsidR="00FF42B6" w:rsidRDefault="00FF42B6" w:rsidP="00DD4C0D">
            <w:pPr>
              <w:pStyle w:val="cTableHeader"/>
              <w:spacing w:before="0" w:after="0"/>
            </w:pPr>
            <w:r>
              <w:t>Timing</w:t>
            </w:r>
          </w:p>
        </w:tc>
        <w:tc>
          <w:tcPr>
            <w:tcW w:w="5513" w:type="dxa"/>
          </w:tcPr>
          <w:p w14:paraId="5E549BC4" w14:textId="77777777" w:rsidR="00FF42B6" w:rsidRDefault="00FF42B6" w:rsidP="00DD4C0D">
            <w:pPr>
              <w:pStyle w:val="cTableHeader"/>
              <w:spacing w:before="0" w:after="0"/>
            </w:pPr>
            <w:r>
              <w:t>Purpose</w:t>
            </w:r>
          </w:p>
        </w:tc>
      </w:tr>
      <w:tr w:rsidR="00FF42B6" w14:paraId="475FE94C" w14:textId="77777777" w:rsidTr="00303A61">
        <w:tc>
          <w:tcPr>
            <w:tcW w:w="2649" w:type="dxa"/>
          </w:tcPr>
          <w:p w14:paraId="698701DD" w14:textId="77777777" w:rsidR="00FF42B6" w:rsidRDefault="00FF42B6" w:rsidP="00DD4C0D">
            <w:pPr>
              <w:pStyle w:val="cTableBody"/>
              <w:spacing w:before="0"/>
            </w:pPr>
            <w:r>
              <w:t>A. Requirements and feasibility</w:t>
            </w:r>
          </w:p>
        </w:tc>
        <w:tc>
          <w:tcPr>
            <w:tcW w:w="1614" w:type="dxa"/>
          </w:tcPr>
          <w:p w14:paraId="7B5F7471" w14:textId="77777777" w:rsidR="00FF42B6" w:rsidRDefault="00FF42B6" w:rsidP="00DD4C0D">
            <w:pPr>
              <w:pStyle w:val="cTableBody"/>
              <w:spacing w:before="0"/>
            </w:pPr>
            <w:r>
              <w:t>Months 0–12</w:t>
            </w:r>
          </w:p>
        </w:tc>
        <w:tc>
          <w:tcPr>
            <w:tcW w:w="5513" w:type="dxa"/>
          </w:tcPr>
          <w:p w14:paraId="1803083E" w14:textId="77777777" w:rsidR="00FF42B6" w:rsidRDefault="00FF42B6" w:rsidP="00DD4C0D">
            <w:pPr>
              <w:pStyle w:val="cTableBody"/>
              <w:spacing w:before="0"/>
            </w:pPr>
            <w:r>
              <w:t>Freeze mission, interfaces, hazards, economics, reference loads/temperatures, test methods, and vendor competition.</w:t>
            </w:r>
          </w:p>
        </w:tc>
      </w:tr>
      <w:tr w:rsidR="00FF42B6" w14:paraId="5ECE18EF" w14:textId="77777777" w:rsidTr="00303A61">
        <w:tc>
          <w:tcPr>
            <w:tcW w:w="2649" w:type="dxa"/>
          </w:tcPr>
          <w:p w14:paraId="4585D9FB" w14:textId="77777777" w:rsidR="00FF42B6" w:rsidRDefault="00FF42B6" w:rsidP="00DD4C0D">
            <w:pPr>
              <w:pStyle w:val="cTableBody"/>
              <w:spacing w:before="0"/>
            </w:pPr>
            <w:r>
              <w:t>B. Preliminary design and risk reduction</w:t>
            </w:r>
          </w:p>
        </w:tc>
        <w:tc>
          <w:tcPr>
            <w:tcW w:w="1614" w:type="dxa"/>
          </w:tcPr>
          <w:p w14:paraId="3B085610" w14:textId="77777777" w:rsidR="00FF42B6" w:rsidRDefault="00FF42B6" w:rsidP="00DD4C0D">
            <w:pPr>
              <w:pStyle w:val="cTableBody"/>
              <w:spacing w:before="0"/>
            </w:pPr>
            <w:r>
              <w:t>Months 6–24</w:t>
            </w:r>
          </w:p>
        </w:tc>
        <w:tc>
          <w:tcPr>
            <w:tcW w:w="5513" w:type="dxa"/>
          </w:tcPr>
          <w:p w14:paraId="49DA8286" w14:textId="77777777" w:rsidR="00FF42B6" w:rsidRDefault="00FF42B6" w:rsidP="00DD4C0D">
            <w:pPr>
              <w:pStyle w:val="cTableBody"/>
              <w:spacing w:before="0"/>
            </w:pPr>
            <w:r>
              <w:t>Down-select concepts; build subscale/bench rigs; release standards v0.9/v1.0; close highest-risk physics and safety questions.</w:t>
            </w:r>
          </w:p>
        </w:tc>
      </w:tr>
      <w:tr w:rsidR="00FF42B6" w14:paraId="6161E987" w14:textId="77777777" w:rsidTr="00303A61">
        <w:tc>
          <w:tcPr>
            <w:tcW w:w="2649" w:type="dxa"/>
          </w:tcPr>
          <w:p w14:paraId="239F62E4" w14:textId="77777777" w:rsidR="00FF42B6" w:rsidRDefault="00FF42B6" w:rsidP="00DD4C0D">
            <w:pPr>
              <w:pStyle w:val="cTableBody"/>
              <w:spacing w:before="0"/>
            </w:pPr>
            <w:r>
              <w:t>C. Detailed design and procurement</w:t>
            </w:r>
          </w:p>
        </w:tc>
        <w:tc>
          <w:tcPr>
            <w:tcW w:w="1614" w:type="dxa"/>
          </w:tcPr>
          <w:p w14:paraId="34A1850B" w14:textId="77777777" w:rsidR="00FF42B6" w:rsidRDefault="00FF42B6" w:rsidP="00DD4C0D">
            <w:pPr>
              <w:pStyle w:val="cTableBody"/>
              <w:spacing w:before="0"/>
            </w:pPr>
            <w:r>
              <w:t>Months 18–36</w:t>
            </w:r>
          </w:p>
        </w:tc>
        <w:tc>
          <w:tcPr>
            <w:tcW w:w="5513" w:type="dxa"/>
          </w:tcPr>
          <w:p w14:paraId="3379C406" w14:textId="77777777" w:rsidR="00FF42B6" w:rsidRDefault="00FF42B6" w:rsidP="00DD4C0D">
            <w:pPr>
              <w:pStyle w:val="cTableBody"/>
              <w:spacing w:before="0"/>
            </w:pPr>
            <w:r>
              <w:t>Controlled drawings, software, fabrication packages, supplier qualification, test procedures, and long-lead procurement.</w:t>
            </w:r>
          </w:p>
        </w:tc>
      </w:tr>
      <w:tr w:rsidR="00FF42B6" w14:paraId="65A4C21E" w14:textId="77777777" w:rsidTr="00303A61">
        <w:tc>
          <w:tcPr>
            <w:tcW w:w="2649" w:type="dxa"/>
          </w:tcPr>
          <w:p w14:paraId="0448C799" w14:textId="77777777" w:rsidR="00FF42B6" w:rsidRDefault="00FF42B6" w:rsidP="00DD4C0D">
            <w:pPr>
              <w:pStyle w:val="cTableBody"/>
              <w:spacing w:before="0"/>
            </w:pPr>
            <w:r>
              <w:t>D. Prototype fabrication and qualification</w:t>
            </w:r>
          </w:p>
        </w:tc>
        <w:tc>
          <w:tcPr>
            <w:tcW w:w="1614" w:type="dxa"/>
          </w:tcPr>
          <w:p w14:paraId="771DED1B" w14:textId="77777777" w:rsidR="00FF42B6" w:rsidRDefault="00FF42B6" w:rsidP="00DD4C0D">
            <w:pPr>
              <w:pStyle w:val="cTableBody"/>
              <w:spacing w:before="0"/>
            </w:pPr>
            <w:r>
              <w:t>Months 24–46</w:t>
            </w:r>
          </w:p>
        </w:tc>
        <w:tc>
          <w:tcPr>
            <w:tcW w:w="5513" w:type="dxa"/>
          </w:tcPr>
          <w:p w14:paraId="521E0B4F" w14:textId="77777777" w:rsidR="00FF42B6" w:rsidRDefault="00FF42B6" w:rsidP="00DD4C0D">
            <w:pPr>
              <w:pStyle w:val="cTableBody"/>
              <w:spacing w:before="0"/>
            </w:pPr>
            <w:r>
              <w:t>Build and qualify process, transport, rail, tank, ammonia, fuel-cell, and infrastructure prototypes.</w:t>
            </w:r>
          </w:p>
        </w:tc>
      </w:tr>
      <w:tr w:rsidR="00FF42B6" w14:paraId="707BA7BE" w14:textId="77777777" w:rsidTr="00303A61">
        <w:tc>
          <w:tcPr>
            <w:tcW w:w="2649" w:type="dxa"/>
          </w:tcPr>
          <w:p w14:paraId="7CB7F2BA" w14:textId="77777777" w:rsidR="00FF42B6" w:rsidRDefault="00FF42B6" w:rsidP="00DD4C0D">
            <w:pPr>
              <w:pStyle w:val="cTableBody"/>
              <w:spacing w:before="0"/>
            </w:pPr>
            <w:r>
              <w:t>E. Integrated and endurance demonstrations</w:t>
            </w:r>
          </w:p>
        </w:tc>
        <w:tc>
          <w:tcPr>
            <w:tcW w:w="1614" w:type="dxa"/>
          </w:tcPr>
          <w:p w14:paraId="37E7D71C" w14:textId="77777777" w:rsidR="00FF42B6" w:rsidRDefault="00FF42B6" w:rsidP="00DD4C0D">
            <w:pPr>
              <w:pStyle w:val="cTableBody"/>
              <w:spacing w:before="0"/>
            </w:pPr>
            <w:r>
              <w:t>Months 36–57</w:t>
            </w:r>
          </w:p>
        </w:tc>
        <w:tc>
          <w:tcPr>
            <w:tcW w:w="5513" w:type="dxa"/>
          </w:tcPr>
          <w:p w14:paraId="54342BA8" w14:textId="77777777" w:rsidR="00FF42B6" w:rsidRDefault="00FF42B6" w:rsidP="00DD4C0D">
            <w:pPr>
              <w:pStyle w:val="cTableBody"/>
              <w:spacing w:before="0"/>
            </w:pPr>
            <w:r>
              <w:t>Operate systems together; months/years-equivalent cycling where practical; inspect degradation; repeat failed tests after redesign.</w:t>
            </w:r>
          </w:p>
        </w:tc>
      </w:tr>
      <w:tr w:rsidR="00FF42B6" w14:paraId="5C5EE4DF" w14:textId="77777777" w:rsidTr="00303A61">
        <w:tc>
          <w:tcPr>
            <w:tcW w:w="2649" w:type="dxa"/>
          </w:tcPr>
          <w:p w14:paraId="52DF0A73" w14:textId="77777777" w:rsidR="00FF42B6" w:rsidRDefault="00FF42B6" w:rsidP="00DD4C0D">
            <w:pPr>
              <w:pStyle w:val="cTableBody"/>
              <w:spacing w:before="0"/>
            </w:pPr>
            <w:r>
              <w:t>F. Reliability growth and handoff</w:t>
            </w:r>
          </w:p>
        </w:tc>
        <w:tc>
          <w:tcPr>
            <w:tcW w:w="1614" w:type="dxa"/>
          </w:tcPr>
          <w:p w14:paraId="51A0C34E" w14:textId="77777777" w:rsidR="00FF42B6" w:rsidRDefault="00FF42B6" w:rsidP="00DD4C0D">
            <w:pPr>
              <w:pStyle w:val="cTableBody"/>
              <w:spacing w:before="0"/>
            </w:pPr>
            <w:r>
              <w:t>Months 48–60</w:t>
            </w:r>
          </w:p>
        </w:tc>
        <w:tc>
          <w:tcPr>
            <w:tcW w:w="5513" w:type="dxa"/>
          </w:tcPr>
          <w:p w14:paraId="1F7165E6" w14:textId="77777777" w:rsidR="00FF42B6" w:rsidRDefault="00FF42B6" w:rsidP="00DD4C0D">
            <w:pPr>
              <w:pStyle w:val="cTableBody"/>
              <w:spacing w:before="0"/>
            </w:pPr>
            <w:r>
              <w:t>Freeze replicable designs and standards, quantify remaining risks, and prepare first-site or first-ship Phase-II packages.</w:t>
            </w:r>
          </w:p>
        </w:tc>
      </w:tr>
    </w:tbl>
    <w:p w14:paraId="3F7F2151" w14:textId="77777777" w:rsidR="00123818" w:rsidRDefault="00994197" w:rsidP="003C3ED9">
      <w:r>
        <w:t>These A–F phases describe execution inside each work package. Program spending authority is governed by the standalone G0–G6 stage gates above; the work-package hold points below add only technology-specific safety, readiness, or performance conditions.</w:t>
      </w:r>
    </w:p>
    <w:p w14:paraId="0B2E0642" w14:textId="62C620D9" w:rsidR="00FF42B6" w:rsidRDefault="00496F64" w:rsidP="00FF42B6">
      <w:pPr>
        <w:pStyle w:val="Heading2"/>
        <w:spacing w:before="0" w:after="0"/>
      </w:pPr>
      <w:r>
        <w:t xml:space="preserve">Area </w:t>
      </w:r>
      <w:r w:rsidR="00FF42B6">
        <w:t>1. Reference architecture, 31-platform portfolio, and digital twin - $70M</w:t>
      </w:r>
    </w:p>
    <w:p w14:paraId="7FB2BFAE" w14:textId="77777777" w:rsidR="00FF42B6" w:rsidRDefault="00FF42B6" w:rsidP="00FF42B6">
      <w:r>
        <w:t>Freeze the dual-reactor industrial-site architecture, 31 platform reference designs, heat-cascade logic, interfaces, hazard boundaries, digital model, and commercial screening methods.</w:t>
      </w:r>
    </w:p>
    <w:tbl>
      <w:tblPr>
        <w:tblStyle w:val="gswTableStyle"/>
        <w:tblW w:w="9768" w:type="dxa"/>
        <w:tblLayout w:type="fixed"/>
        <w:tblLook w:val="04A0" w:firstRow="1" w:lastRow="0" w:firstColumn="1" w:lastColumn="0" w:noHBand="0" w:noVBand="1"/>
      </w:tblPr>
      <w:tblGrid>
        <w:gridCol w:w="1260"/>
        <w:gridCol w:w="7572"/>
        <w:gridCol w:w="936"/>
      </w:tblGrid>
      <w:tr w:rsidR="00FF42B6" w14:paraId="071ED0E2" w14:textId="77777777" w:rsidTr="00303A61">
        <w:trPr>
          <w:cnfStyle w:val="100000000000" w:firstRow="1" w:lastRow="0" w:firstColumn="0" w:lastColumn="0" w:oddVBand="0" w:evenVBand="0" w:oddHBand="0" w:evenHBand="0" w:firstRowFirstColumn="0" w:firstRowLastColumn="0" w:lastRowFirstColumn="0" w:lastRowLastColumn="0"/>
        </w:trPr>
        <w:tc>
          <w:tcPr>
            <w:tcW w:w="1260" w:type="dxa"/>
          </w:tcPr>
          <w:p w14:paraId="07706EC6" w14:textId="77777777" w:rsidR="00FF42B6" w:rsidRDefault="00FF42B6" w:rsidP="00DD4C0D">
            <w:pPr>
              <w:pStyle w:val="cTableHeader"/>
              <w:spacing w:before="0" w:after="0"/>
            </w:pPr>
            <w:r>
              <w:t>Subphase</w:t>
            </w:r>
          </w:p>
        </w:tc>
        <w:tc>
          <w:tcPr>
            <w:tcW w:w="7572" w:type="dxa"/>
          </w:tcPr>
          <w:p w14:paraId="7F565F71" w14:textId="77777777" w:rsidR="00FF42B6" w:rsidRDefault="00FF42B6" w:rsidP="00DD4C0D">
            <w:pPr>
              <w:pStyle w:val="cTableHeader"/>
              <w:spacing w:before="0" w:after="0"/>
            </w:pPr>
            <w:r>
              <w:t>Principal activity and deliverable</w:t>
            </w:r>
          </w:p>
        </w:tc>
        <w:tc>
          <w:tcPr>
            <w:tcW w:w="936" w:type="dxa"/>
          </w:tcPr>
          <w:p w14:paraId="2F987720" w14:textId="77777777" w:rsidR="00FF42B6" w:rsidRDefault="00FF42B6" w:rsidP="00DD4C0D">
            <w:pPr>
              <w:pStyle w:val="cTableHeader"/>
              <w:spacing w:before="0" w:after="0"/>
            </w:pPr>
            <w:r>
              <w:t>Cost</w:t>
            </w:r>
          </w:p>
        </w:tc>
      </w:tr>
      <w:tr w:rsidR="00FF42B6" w14:paraId="6C8A7419" w14:textId="77777777" w:rsidTr="00303A61">
        <w:tc>
          <w:tcPr>
            <w:tcW w:w="1260" w:type="dxa"/>
          </w:tcPr>
          <w:p w14:paraId="444021CD" w14:textId="77777777" w:rsidR="00FF42B6" w:rsidRDefault="00FF42B6" w:rsidP="00DD4C0D">
            <w:pPr>
              <w:pStyle w:val="cTableBody"/>
              <w:spacing w:before="0"/>
            </w:pPr>
            <w:r>
              <w:t>1A</w:t>
            </w:r>
          </w:p>
        </w:tc>
        <w:tc>
          <w:tcPr>
            <w:tcW w:w="7572" w:type="dxa"/>
          </w:tcPr>
          <w:p w14:paraId="6B5D9C0C" w14:textId="77777777" w:rsidR="00FF42B6" w:rsidRDefault="00FF42B6" w:rsidP="00DD4C0D">
            <w:pPr>
              <w:pStyle w:val="cTableBody"/>
              <w:spacing w:before="0"/>
            </w:pPr>
            <w:r>
              <w:t>Dual-reactor utility envelopes, products, site and port assumptions</w:t>
            </w:r>
          </w:p>
        </w:tc>
        <w:tc>
          <w:tcPr>
            <w:tcW w:w="936" w:type="dxa"/>
          </w:tcPr>
          <w:p w14:paraId="01386BC1" w14:textId="77777777" w:rsidR="00FF42B6" w:rsidRDefault="00FF42B6" w:rsidP="00DD4C0D">
            <w:pPr>
              <w:pStyle w:val="cTableBody"/>
              <w:spacing w:before="0"/>
            </w:pPr>
            <w:r>
              <w:t>$12M</w:t>
            </w:r>
          </w:p>
        </w:tc>
      </w:tr>
      <w:tr w:rsidR="00FF42B6" w14:paraId="731A547A" w14:textId="77777777" w:rsidTr="00303A61">
        <w:tc>
          <w:tcPr>
            <w:tcW w:w="1260" w:type="dxa"/>
          </w:tcPr>
          <w:p w14:paraId="1694CAA3" w14:textId="77777777" w:rsidR="00FF42B6" w:rsidRDefault="00FF42B6" w:rsidP="00DD4C0D">
            <w:pPr>
              <w:pStyle w:val="cTableBody"/>
              <w:spacing w:before="0"/>
            </w:pPr>
            <w:r>
              <w:t>1B</w:t>
            </w:r>
          </w:p>
        </w:tc>
        <w:tc>
          <w:tcPr>
            <w:tcW w:w="7572" w:type="dxa"/>
          </w:tcPr>
          <w:p w14:paraId="652E8F47" w14:textId="77777777" w:rsidR="00FF42B6" w:rsidRDefault="00FF42B6" w:rsidP="00DD4C0D">
            <w:pPr>
              <w:pStyle w:val="cTableBody"/>
              <w:spacing w:before="0"/>
            </w:pPr>
            <w:r>
              <w:t>31-platform functional architecture and heat-cascade model</w:t>
            </w:r>
          </w:p>
        </w:tc>
        <w:tc>
          <w:tcPr>
            <w:tcW w:w="936" w:type="dxa"/>
          </w:tcPr>
          <w:p w14:paraId="463B7C3F" w14:textId="77777777" w:rsidR="00FF42B6" w:rsidRDefault="00FF42B6" w:rsidP="00DD4C0D">
            <w:pPr>
              <w:pStyle w:val="cTableBody"/>
              <w:spacing w:before="0"/>
            </w:pPr>
            <w:r>
              <w:t>$18M</w:t>
            </w:r>
          </w:p>
        </w:tc>
      </w:tr>
      <w:tr w:rsidR="00FF42B6" w14:paraId="0F20B57C" w14:textId="77777777" w:rsidTr="00303A61">
        <w:tc>
          <w:tcPr>
            <w:tcW w:w="1260" w:type="dxa"/>
          </w:tcPr>
          <w:p w14:paraId="5427B31F" w14:textId="77777777" w:rsidR="00FF42B6" w:rsidRDefault="00FF42B6" w:rsidP="00DD4C0D">
            <w:pPr>
              <w:pStyle w:val="cTableBody"/>
              <w:spacing w:before="0"/>
            </w:pPr>
            <w:r>
              <w:lastRenderedPageBreak/>
              <w:t>1C</w:t>
            </w:r>
          </w:p>
        </w:tc>
        <w:tc>
          <w:tcPr>
            <w:tcW w:w="7572" w:type="dxa"/>
          </w:tcPr>
          <w:p w14:paraId="120F8E32" w14:textId="77777777" w:rsidR="00FF42B6" w:rsidRDefault="00FF42B6" w:rsidP="00DD4C0D">
            <w:pPr>
              <w:pStyle w:val="cTableBody"/>
              <w:spacing w:before="0"/>
            </w:pPr>
            <w:r>
              <w:t>Platform envelope, bay, tunnel, storage and material-flow geometry</w:t>
            </w:r>
          </w:p>
        </w:tc>
        <w:tc>
          <w:tcPr>
            <w:tcW w:w="936" w:type="dxa"/>
          </w:tcPr>
          <w:p w14:paraId="79CED726" w14:textId="77777777" w:rsidR="00FF42B6" w:rsidRDefault="00FF42B6" w:rsidP="00DD4C0D">
            <w:pPr>
              <w:pStyle w:val="cTableBody"/>
              <w:spacing w:before="0"/>
            </w:pPr>
            <w:r>
              <w:t>$14M</w:t>
            </w:r>
          </w:p>
        </w:tc>
      </w:tr>
      <w:tr w:rsidR="00FF42B6" w14:paraId="5FDBA1AB" w14:textId="77777777" w:rsidTr="00303A61">
        <w:tc>
          <w:tcPr>
            <w:tcW w:w="1260" w:type="dxa"/>
          </w:tcPr>
          <w:p w14:paraId="74DF0014" w14:textId="77777777" w:rsidR="00FF42B6" w:rsidRDefault="00FF42B6" w:rsidP="00DD4C0D">
            <w:pPr>
              <w:pStyle w:val="cTableBody"/>
              <w:spacing w:before="0"/>
            </w:pPr>
            <w:r>
              <w:t>1D</w:t>
            </w:r>
          </w:p>
        </w:tc>
        <w:tc>
          <w:tcPr>
            <w:tcW w:w="7572" w:type="dxa"/>
          </w:tcPr>
          <w:p w14:paraId="2A12FBA6" w14:textId="77777777" w:rsidR="00FF42B6" w:rsidRDefault="00FF42B6" w:rsidP="00DD4C0D">
            <w:pPr>
              <w:pStyle w:val="cTableBody"/>
              <w:spacing w:before="0"/>
            </w:pPr>
            <w:r>
              <w:t>Digital twin, interfaces, hazards and lifecycle cost model</w:t>
            </w:r>
          </w:p>
        </w:tc>
        <w:tc>
          <w:tcPr>
            <w:tcW w:w="936" w:type="dxa"/>
          </w:tcPr>
          <w:p w14:paraId="354CD6DD" w14:textId="77777777" w:rsidR="00FF42B6" w:rsidRDefault="00FF42B6" w:rsidP="00DD4C0D">
            <w:pPr>
              <w:pStyle w:val="cTableBody"/>
              <w:spacing w:before="0"/>
            </w:pPr>
            <w:r>
              <w:t>$14M</w:t>
            </w:r>
          </w:p>
        </w:tc>
      </w:tr>
      <w:tr w:rsidR="00FF42B6" w14:paraId="0B753317" w14:textId="77777777" w:rsidTr="00303A61">
        <w:tc>
          <w:tcPr>
            <w:tcW w:w="1260" w:type="dxa"/>
          </w:tcPr>
          <w:p w14:paraId="07D5FE9B" w14:textId="77777777" w:rsidR="00FF42B6" w:rsidRDefault="00FF42B6" w:rsidP="00DD4C0D">
            <w:pPr>
              <w:pStyle w:val="cTableBody"/>
              <w:spacing w:before="0"/>
            </w:pPr>
            <w:r>
              <w:t>1E</w:t>
            </w:r>
          </w:p>
        </w:tc>
        <w:tc>
          <w:tcPr>
            <w:tcW w:w="7572" w:type="dxa"/>
          </w:tcPr>
          <w:p w14:paraId="37953FD9" w14:textId="77777777" w:rsidR="00FF42B6" w:rsidRDefault="00FF42B6" w:rsidP="00DD4C0D">
            <w:pPr>
              <w:pStyle w:val="cTableBody"/>
              <w:spacing w:before="0"/>
            </w:pPr>
            <w:r>
              <w:t>Independent reference-design review and frozen procurement baseline</w:t>
            </w:r>
          </w:p>
        </w:tc>
        <w:tc>
          <w:tcPr>
            <w:tcW w:w="936" w:type="dxa"/>
          </w:tcPr>
          <w:p w14:paraId="73BF42DE" w14:textId="77777777" w:rsidR="00FF42B6" w:rsidRDefault="00FF42B6" w:rsidP="00DD4C0D">
            <w:pPr>
              <w:pStyle w:val="cTableBody"/>
              <w:spacing w:before="0"/>
            </w:pPr>
            <w:r>
              <w:t>$12M</w:t>
            </w:r>
          </w:p>
        </w:tc>
      </w:tr>
    </w:tbl>
    <w:p w14:paraId="2A35B753" w14:textId="77777777" w:rsidR="00FF42B6" w:rsidRDefault="00FF42B6" w:rsidP="005034B9">
      <w:pPr>
        <w:pStyle w:val="cSubject"/>
        <w:keepNext/>
      </w:pPr>
      <w:r>
        <w:t>Work-package hold point</w:t>
      </w:r>
    </w:p>
    <w:p w14:paraId="69C6A6F1" w14:textId="77777777" w:rsidR="00FF42B6" w:rsidRDefault="00FF42B6" w:rsidP="00FF42B6">
      <w:pPr>
        <w:spacing w:before="280" w:after="280"/>
      </w:pPr>
      <w:r>
        <w:t>Freeze the architecture only after dual-reactor utility assumptions, site geometry, platform portfolio, hazard boundaries, economic metrics, and interface ownership are independently reviewed.</w:t>
      </w:r>
    </w:p>
    <w:p w14:paraId="04FF69CF" w14:textId="33EB0278" w:rsidR="00FF42B6" w:rsidRDefault="00496F64" w:rsidP="00FF42B6">
      <w:pPr>
        <w:pStyle w:val="Heading2"/>
        <w:spacing w:before="280"/>
      </w:pPr>
      <w:r>
        <w:t xml:space="preserve">Area </w:t>
      </w:r>
      <w:r w:rsidR="00FF42B6">
        <w:t>2. 31 industrial-processing platform designs and pilot prototypes - $180M</w:t>
      </w:r>
    </w:p>
    <w:p w14:paraId="558AE026" w14:textId="77777777" w:rsidR="00FF42B6" w:rsidRDefault="00FF42B6" w:rsidP="00FF42B6">
      <w:r>
        <w:t>Design all 31 platform families and build functional pilots, concentrating hardware and endurance testing on the first five generic thermal platforms, the DAC train, and high-impact sector platforms. The four hydrogen/ammonia rows define standardized platform modules and interfaces, while most ammonia prototype hardware remains funded under Work Package 3 to avoid double counting.</w:t>
      </w:r>
    </w:p>
    <w:tbl>
      <w:tblPr>
        <w:tblStyle w:val="gswTableStyle"/>
        <w:tblW w:w="9904" w:type="dxa"/>
        <w:jc w:val="center"/>
        <w:tblInd w:w="0" w:type="dxa"/>
        <w:tblLayout w:type="fixed"/>
        <w:tblLook w:val="04A0" w:firstRow="1" w:lastRow="0" w:firstColumn="1" w:lastColumn="0" w:noHBand="0" w:noVBand="1"/>
      </w:tblPr>
      <w:tblGrid>
        <w:gridCol w:w="1298"/>
        <w:gridCol w:w="7760"/>
        <w:gridCol w:w="846"/>
      </w:tblGrid>
      <w:tr w:rsidR="00FF42B6" w14:paraId="74BFA71D" w14:textId="77777777" w:rsidTr="005034B9">
        <w:trPr>
          <w:cnfStyle w:val="100000000000" w:firstRow="1" w:lastRow="0" w:firstColumn="0" w:lastColumn="0" w:oddVBand="0" w:evenVBand="0" w:oddHBand="0" w:evenHBand="0" w:firstRowFirstColumn="0" w:firstRowLastColumn="0" w:lastRowFirstColumn="0" w:lastRowLastColumn="0"/>
          <w:tblHeader/>
          <w:jc w:val="center"/>
        </w:trPr>
        <w:tc>
          <w:tcPr>
            <w:tcW w:w="1298" w:type="dxa"/>
            <w:vAlign w:val="center"/>
          </w:tcPr>
          <w:p w14:paraId="4BC5E340" w14:textId="77777777" w:rsidR="00FF42B6" w:rsidRDefault="00FF42B6" w:rsidP="00DD4C0D">
            <w:pPr>
              <w:pStyle w:val="cTableHeader"/>
              <w:spacing w:before="0" w:after="0"/>
            </w:pPr>
            <w:r>
              <w:t>Subphase</w:t>
            </w:r>
          </w:p>
        </w:tc>
        <w:tc>
          <w:tcPr>
            <w:tcW w:w="7760" w:type="dxa"/>
            <w:vAlign w:val="center"/>
          </w:tcPr>
          <w:p w14:paraId="01ABF91A" w14:textId="77777777" w:rsidR="00FF42B6" w:rsidRDefault="00FF42B6" w:rsidP="00DD4C0D">
            <w:pPr>
              <w:pStyle w:val="cTableHeader"/>
              <w:spacing w:before="0" w:after="0"/>
            </w:pPr>
            <w:r>
              <w:t>Principal activity and deliverable</w:t>
            </w:r>
          </w:p>
        </w:tc>
        <w:tc>
          <w:tcPr>
            <w:tcW w:w="846" w:type="dxa"/>
            <w:vAlign w:val="center"/>
          </w:tcPr>
          <w:p w14:paraId="3D800EAC" w14:textId="77777777" w:rsidR="00FF42B6" w:rsidRDefault="00FF42B6" w:rsidP="00DD4C0D">
            <w:pPr>
              <w:pStyle w:val="cTableHeader"/>
              <w:spacing w:before="0" w:after="0"/>
            </w:pPr>
            <w:r>
              <w:t>Cost</w:t>
            </w:r>
          </w:p>
        </w:tc>
      </w:tr>
      <w:tr w:rsidR="00FF42B6" w14:paraId="5E9CA774" w14:textId="77777777" w:rsidTr="005034B9">
        <w:trPr>
          <w:jc w:val="center"/>
        </w:trPr>
        <w:tc>
          <w:tcPr>
            <w:tcW w:w="1298" w:type="dxa"/>
            <w:vAlign w:val="center"/>
          </w:tcPr>
          <w:p w14:paraId="777AF114" w14:textId="77777777" w:rsidR="00FF42B6" w:rsidRDefault="00FF42B6" w:rsidP="00DD4C0D">
            <w:pPr>
              <w:pStyle w:val="cTableBody"/>
              <w:spacing w:before="0"/>
            </w:pPr>
            <w:r>
              <w:t>2A</w:t>
            </w:r>
          </w:p>
        </w:tc>
        <w:tc>
          <w:tcPr>
            <w:tcW w:w="7760" w:type="dxa"/>
            <w:vAlign w:val="center"/>
          </w:tcPr>
          <w:p w14:paraId="427F7BAF" w14:textId="77777777" w:rsidR="00FF42B6" w:rsidRDefault="00FF42B6" w:rsidP="00DD4C0D">
            <w:pPr>
              <w:pStyle w:val="cTableBody"/>
              <w:spacing w:before="0"/>
            </w:pPr>
            <w:r>
              <w:t>FEED for all 31 platforms and first-five concept competitions</w:t>
            </w:r>
          </w:p>
        </w:tc>
        <w:tc>
          <w:tcPr>
            <w:tcW w:w="846" w:type="dxa"/>
            <w:vAlign w:val="center"/>
          </w:tcPr>
          <w:p w14:paraId="2FB8C650" w14:textId="77777777" w:rsidR="00FF42B6" w:rsidRDefault="00FF42B6" w:rsidP="00DD4C0D">
            <w:pPr>
              <w:pStyle w:val="cTableBody"/>
              <w:spacing w:before="0"/>
            </w:pPr>
            <w:r>
              <w:t>$40M</w:t>
            </w:r>
          </w:p>
        </w:tc>
      </w:tr>
      <w:tr w:rsidR="00FF42B6" w14:paraId="7CFF6058" w14:textId="77777777" w:rsidTr="005034B9">
        <w:trPr>
          <w:jc w:val="center"/>
        </w:trPr>
        <w:tc>
          <w:tcPr>
            <w:tcW w:w="1298" w:type="dxa"/>
            <w:vAlign w:val="center"/>
          </w:tcPr>
          <w:p w14:paraId="3AD0F66A" w14:textId="77777777" w:rsidR="00FF42B6" w:rsidRDefault="00FF42B6" w:rsidP="00DD4C0D">
            <w:pPr>
              <w:pStyle w:val="cTableBody"/>
              <w:spacing w:before="0"/>
            </w:pPr>
            <w:r>
              <w:t>2B</w:t>
            </w:r>
          </w:p>
        </w:tc>
        <w:tc>
          <w:tcPr>
            <w:tcW w:w="7760" w:type="dxa"/>
            <w:vAlign w:val="center"/>
          </w:tcPr>
          <w:p w14:paraId="7D8A2236" w14:textId="77777777" w:rsidR="00FF42B6" w:rsidRDefault="00FF42B6" w:rsidP="00DD4C0D">
            <w:pPr>
              <w:pStyle w:val="cTableBody"/>
              <w:spacing w:before="0"/>
            </w:pPr>
            <w:r>
              <w:t>First-five generic platform pilot design/fabrication</w:t>
            </w:r>
          </w:p>
        </w:tc>
        <w:tc>
          <w:tcPr>
            <w:tcW w:w="846" w:type="dxa"/>
            <w:vAlign w:val="center"/>
          </w:tcPr>
          <w:p w14:paraId="374F6C6D" w14:textId="77777777" w:rsidR="00FF42B6" w:rsidRDefault="00FF42B6" w:rsidP="00DD4C0D">
            <w:pPr>
              <w:pStyle w:val="cTableBody"/>
              <w:spacing w:before="0"/>
            </w:pPr>
            <w:r>
              <w:t>$55M</w:t>
            </w:r>
          </w:p>
        </w:tc>
      </w:tr>
      <w:tr w:rsidR="00FF42B6" w14:paraId="1EA8462E" w14:textId="77777777" w:rsidTr="005034B9">
        <w:trPr>
          <w:jc w:val="center"/>
        </w:trPr>
        <w:tc>
          <w:tcPr>
            <w:tcW w:w="1298" w:type="dxa"/>
            <w:vAlign w:val="center"/>
          </w:tcPr>
          <w:p w14:paraId="6C200C7F" w14:textId="77777777" w:rsidR="00FF42B6" w:rsidRDefault="00FF42B6" w:rsidP="00DD4C0D">
            <w:pPr>
              <w:pStyle w:val="cTableBody"/>
              <w:spacing w:before="0"/>
            </w:pPr>
            <w:r>
              <w:t>2C</w:t>
            </w:r>
          </w:p>
        </w:tc>
        <w:tc>
          <w:tcPr>
            <w:tcW w:w="7760" w:type="dxa"/>
            <w:vAlign w:val="center"/>
          </w:tcPr>
          <w:p w14:paraId="248C6025" w14:textId="77777777" w:rsidR="00FF42B6" w:rsidRDefault="00FF42B6" w:rsidP="00DD4C0D">
            <w:pPr>
              <w:pStyle w:val="cTableBody"/>
              <w:spacing w:before="0"/>
            </w:pPr>
            <w:r>
              <w:t>Sector-specific pilots for paper, food, textiles, alumina, chemicals, drying and mineral heat</w:t>
            </w:r>
          </w:p>
        </w:tc>
        <w:tc>
          <w:tcPr>
            <w:tcW w:w="846" w:type="dxa"/>
            <w:vAlign w:val="center"/>
          </w:tcPr>
          <w:p w14:paraId="38513698" w14:textId="77777777" w:rsidR="00FF42B6" w:rsidRDefault="00FF42B6" w:rsidP="00DD4C0D">
            <w:pPr>
              <w:pStyle w:val="cTableBody"/>
              <w:spacing w:before="0"/>
            </w:pPr>
            <w:r>
              <w:t>$45M</w:t>
            </w:r>
          </w:p>
        </w:tc>
      </w:tr>
      <w:tr w:rsidR="00FF42B6" w14:paraId="201EBF00" w14:textId="77777777" w:rsidTr="005034B9">
        <w:trPr>
          <w:jc w:val="center"/>
        </w:trPr>
        <w:tc>
          <w:tcPr>
            <w:tcW w:w="1298" w:type="dxa"/>
            <w:vAlign w:val="center"/>
          </w:tcPr>
          <w:p w14:paraId="389907D6" w14:textId="77777777" w:rsidR="00FF42B6" w:rsidRDefault="00FF42B6" w:rsidP="00DD4C0D">
            <w:pPr>
              <w:pStyle w:val="cTableBody"/>
              <w:spacing w:before="0"/>
            </w:pPr>
            <w:r>
              <w:t>2D</w:t>
            </w:r>
          </w:p>
        </w:tc>
        <w:tc>
          <w:tcPr>
            <w:tcW w:w="7760" w:type="dxa"/>
            <w:vAlign w:val="center"/>
          </w:tcPr>
          <w:p w14:paraId="61CE6E43" w14:textId="77777777" w:rsidR="00FF42B6" w:rsidRDefault="00FF42B6" w:rsidP="00DD4C0D">
            <w:pPr>
              <w:pStyle w:val="cTableBody"/>
              <w:spacing w:before="0"/>
            </w:pPr>
            <w:r>
              <w:t>Higher-temperature hybrid/electric pilots and controls</w:t>
            </w:r>
          </w:p>
        </w:tc>
        <w:tc>
          <w:tcPr>
            <w:tcW w:w="846" w:type="dxa"/>
            <w:vAlign w:val="center"/>
          </w:tcPr>
          <w:p w14:paraId="4768F228" w14:textId="77777777" w:rsidR="00FF42B6" w:rsidRDefault="00FF42B6" w:rsidP="00DD4C0D">
            <w:pPr>
              <w:pStyle w:val="cTableBody"/>
              <w:spacing w:before="0"/>
            </w:pPr>
            <w:r>
              <w:t>$20M</w:t>
            </w:r>
          </w:p>
        </w:tc>
      </w:tr>
      <w:tr w:rsidR="00FF42B6" w14:paraId="72BF5BA6" w14:textId="77777777" w:rsidTr="005034B9">
        <w:trPr>
          <w:jc w:val="center"/>
        </w:trPr>
        <w:tc>
          <w:tcPr>
            <w:tcW w:w="1298" w:type="dxa"/>
            <w:vAlign w:val="center"/>
          </w:tcPr>
          <w:p w14:paraId="56922E01" w14:textId="77777777" w:rsidR="00FF42B6" w:rsidRDefault="00FF42B6" w:rsidP="00DD4C0D">
            <w:pPr>
              <w:pStyle w:val="cTableBody"/>
              <w:spacing w:before="0"/>
            </w:pPr>
            <w:r>
              <w:t>2E</w:t>
            </w:r>
          </w:p>
        </w:tc>
        <w:tc>
          <w:tcPr>
            <w:tcW w:w="7760" w:type="dxa"/>
            <w:vAlign w:val="center"/>
          </w:tcPr>
          <w:p w14:paraId="40FBAF62" w14:textId="77777777" w:rsidR="00FF42B6" w:rsidRDefault="00FF42B6" w:rsidP="00DD4C0D">
            <w:pPr>
              <w:pStyle w:val="cTableBody"/>
              <w:spacing w:before="0"/>
            </w:pPr>
            <w:r>
              <w:t>Endurance, teardown, reliability growth and manufacturing packages</w:t>
            </w:r>
          </w:p>
        </w:tc>
        <w:tc>
          <w:tcPr>
            <w:tcW w:w="846" w:type="dxa"/>
            <w:vAlign w:val="center"/>
          </w:tcPr>
          <w:p w14:paraId="12842656" w14:textId="77777777" w:rsidR="00FF42B6" w:rsidRDefault="00FF42B6" w:rsidP="00DD4C0D">
            <w:pPr>
              <w:pStyle w:val="cTableBody"/>
              <w:spacing w:before="0"/>
            </w:pPr>
            <w:r>
              <w:t>$20M</w:t>
            </w:r>
          </w:p>
        </w:tc>
      </w:tr>
    </w:tbl>
    <w:p w14:paraId="322BE82A" w14:textId="77777777" w:rsidR="00FF42B6" w:rsidRDefault="00FF42B6" w:rsidP="00FF42B6">
      <w:pPr>
        <w:pStyle w:val="cSubject"/>
      </w:pPr>
      <w:r>
        <w:t>Work-package hold point</w:t>
      </w:r>
    </w:p>
    <w:p w14:paraId="59766CA5" w14:textId="77777777" w:rsidR="00FF42B6" w:rsidRDefault="00FF42B6" w:rsidP="00FF42B6">
      <w:pPr>
        <w:spacing w:before="280" w:after="280"/>
      </w:pPr>
      <w:r>
        <w:t>Do not scale a platform simply because it has a finished CAD model; require pilot evidence on efficiency, heat integration, maintenance, controllability, and cost before large fabrication awards.</w:t>
      </w:r>
    </w:p>
    <w:p w14:paraId="2F32EA88" w14:textId="59CA8D09" w:rsidR="00FF42B6" w:rsidRDefault="00496F64" w:rsidP="00FF42B6">
      <w:pPr>
        <w:pStyle w:val="Heading2"/>
        <w:spacing w:before="280"/>
      </w:pPr>
      <w:r>
        <w:t xml:space="preserve">Area </w:t>
      </w:r>
      <w:r w:rsidR="00FF42B6">
        <w:t>3. Hydrogen and ammonia production platforms - $95M</w:t>
      </w:r>
    </w:p>
    <w:p w14:paraId="4F5C2F28" w14:textId="77777777" w:rsidR="00FF42B6" w:rsidRDefault="00FF42B6" w:rsidP="00FF42B6">
      <w:r>
        <w:t>HTSE/SOEC hydrogen, air separation/nitrogen, Haber-Bosch ammonia, refrigeration/storage/loading, heat recovery, and a repeatable factory-buildable ammonia platform package.</w:t>
      </w:r>
    </w:p>
    <w:tbl>
      <w:tblPr>
        <w:tblStyle w:val="gswTableStyle"/>
        <w:tblW w:w="9725" w:type="dxa"/>
        <w:tblLayout w:type="fixed"/>
        <w:tblLook w:val="04A0" w:firstRow="1" w:lastRow="0" w:firstColumn="1" w:lastColumn="0" w:noHBand="0" w:noVBand="1"/>
      </w:tblPr>
      <w:tblGrid>
        <w:gridCol w:w="1081"/>
        <w:gridCol w:w="7796"/>
        <w:gridCol w:w="848"/>
      </w:tblGrid>
      <w:tr w:rsidR="00FF42B6" w14:paraId="58887EC2" w14:textId="77777777" w:rsidTr="00322275">
        <w:trPr>
          <w:cnfStyle w:val="100000000000" w:firstRow="1" w:lastRow="0" w:firstColumn="0" w:lastColumn="0" w:oddVBand="0" w:evenVBand="0" w:oddHBand="0" w:evenHBand="0" w:firstRowFirstColumn="0" w:firstRowLastColumn="0" w:lastRowFirstColumn="0" w:lastRowLastColumn="0"/>
        </w:trPr>
        <w:tc>
          <w:tcPr>
            <w:tcW w:w="1081" w:type="dxa"/>
          </w:tcPr>
          <w:p w14:paraId="1E8A03E0" w14:textId="77777777" w:rsidR="00FF42B6" w:rsidRDefault="00FF42B6" w:rsidP="00DD4C0D">
            <w:pPr>
              <w:pStyle w:val="cTableHeader"/>
              <w:spacing w:before="0" w:after="0"/>
            </w:pPr>
            <w:r>
              <w:t>Subphase</w:t>
            </w:r>
          </w:p>
        </w:tc>
        <w:tc>
          <w:tcPr>
            <w:tcW w:w="7796" w:type="dxa"/>
          </w:tcPr>
          <w:p w14:paraId="2FC362E5" w14:textId="77777777" w:rsidR="00FF42B6" w:rsidRDefault="00FF42B6" w:rsidP="00DD4C0D">
            <w:pPr>
              <w:pStyle w:val="cTableHeader"/>
              <w:spacing w:before="0" w:after="0"/>
            </w:pPr>
            <w:r>
              <w:t>Principal activity and deliverable</w:t>
            </w:r>
          </w:p>
        </w:tc>
        <w:tc>
          <w:tcPr>
            <w:tcW w:w="848" w:type="dxa"/>
          </w:tcPr>
          <w:p w14:paraId="75B5BFB5" w14:textId="77777777" w:rsidR="00FF42B6" w:rsidRDefault="00FF42B6" w:rsidP="00DD4C0D">
            <w:pPr>
              <w:pStyle w:val="cTableHeader"/>
              <w:spacing w:before="0" w:after="0"/>
            </w:pPr>
            <w:r>
              <w:t>Cost</w:t>
            </w:r>
          </w:p>
        </w:tc>
      </w:tr>
      <w:tr w:rsidR="00FF42B6" w14:paraId="35B4FF42" w14:textId="77777777" w:rsidTr="00322275">
        <w:tc>
          <w:tcPr>
            <w:tcW w:w="1081" w:type="dxa"/>
          </w:tcPr>
          <w:p w14:paraId="0773C9FF" w14:textId="77777777" w:rsidR="00FF42B6" w:rsidRDefault="00FF42B6" w:rsidP="00DD4C0D">
            <w:pPr>
              <w:pStyle w:val="cTableBody"/>
              <w:spacing w:before="0"/>
            </w:pPr>
            <w:r>
              <w:t>3A</w:t>
            </w:r>
          </w:p>
        </w:tc>
        <w:tc>
          <w:tcPr>
            <w:tcW w:w="7796" w:type="dxa"/>
          </w:tcPr>
          <w:p w14:paraId="0018F63C" w14:textId="77777777" w:rsidR="00FF42B6" w:rsidRDefault="00FF42B6" w:rsidP="00DD4C0D">
            <w:pPr>
              <w:pStyle w:val="cTableBody"/>
              <w:spacing w:before="0"/>
            </w:pPr>
            <w:r>
              <w:t>HTSE/SOEC + PWR/HTR steam integration and water/oxygen systems</w:t>
            </w:r>
          </w:p>
        </w:tc>
        <w:tc>
          <w:tcPr>
            <w:tcW w:w="848" w:type="dxa"/>
          </w:tcPr>
          <w:p w14:paraId="58AB10EB" w14:textId="77777777" w:rsidR="00FF42B6" w:rsidRDefault="00FF42B6" w:rsidP="00DD4C0D">
            <w:pPr>
              <w:pStyle w:val="cTableBody"/>
              <w:spacing w:before="0"/>
            </w:pPr>
            <w:r>
              <w:t>$20M</w:t>
            </w:r>
          </w:p>
        </w:tc>
      </w:tr>
      <w:tr w:rsidR="00FF42B6" w14:paraId="4B8F45A7" w14:textId="77777777" w:rsidTr="00322275">
        <w:tc>
          <w:tcPr>
            <w:tcW w:w="1081" w:type="dxa"/>
          </w:tcPr>
          <w:p w14:paraId="7BB16010" w14:textId="77777777" w:rsidR="00FF42B6" w:rsidRDefault="00FF42B6" w:rsidP="00DD4C0D">
            <w:pPr>
              <w:pStyle w:val="cTableBody"/>
              <w:spacing w:before="0"/>
            </w:pPr>
            <w:r>
              <w:t>3B</w:t>
            </w:r>
          </w:p>
        </w:tc>
        <w:tc>
          <w:tcPr>
            <w:tcW w:w="7796" w:type="dxa"/>
          </w:tcPr>
          <w:p w14:paraId="5EBF44E4" w14:textId="77777777" w:rsidR="00FF42B6" w:rsidRDefault="00FF42B6" w:rsidP="00DD4C0D">
            <w:pPr>
              <w:pStyle w:val="cTableBody"/>
              <w:spacing w:before="0"/>
            </w:pPr>
            <w:r>
              <w:t>Nitrogen/air separation, compression and buffer storage</w:t>
            </w:r>
          </w:p>
        </w:tc>
        <w:tc>
          <w:tcPr>
            <w:tcW w:w="848" w:type="dxa"/>
          </w:tcPr>
          <w:p w14:paraId="6AC2BB10" w14:textId="77777777" w:rsidR="00FF42B6" w:rsidRDefault="00FF42B6" w:rsidP="00DD4C0D">
            <w:pPr>
              <w:pStyle w:val="cTableBody"/>
              <w:spacing w:before="0"/>
            </w:pPr>
            <w:r>
              <w:t>$12M</w:t>
            </w:r>
          </w:p>
        </w:tc>
      </w:tr>
      <w:tr w:rsidR="00FF42B6" w14:paraId="2F40DC52" w14:textId="77777777" w:rsidTr="00322275">
        <w:tc>
          <w:tcPr>
            <w:tcW w:w="1081" w:type="dxa"/>
          </w:tcPr>
          <w:p w14:paraId="527006A3" w14:textId="77777777" w:rsidR="00FF42B6" w:rsidRDefault="00FF42B6" w:rsidP="00DD4C0D">
            <w:pPr>
              <w:pStyle w:val="cTableBody"/>
              <w:spacing w:before="0"/>
            </w:pPr>
            <w:r>
              <w:t>3C</w:t>
            </w:r>
          </w:p>
        </w:tc>
        <w:tc>
          <w:tcPr>
            <w:tcW w:w="7796" w:type="dxa"/>
          </w:tcPr>
          <w:p w14:paraId="2EBB756E" w14:textId="77777777" w:rsidR="00FF42B6" w:rsidRDefault="00FF42B6" w:rsidP="00DD4C0D">
            <w:pPr>
              <w:pStyle w:val="cTableBody"/>
              <w:spacing w:before="0"/>
            </w:pPr>
            <w:r>
              <w:t>Haber-Bosch synthesis, recycle, heat recovery and controls</w:t>
            </w:r>
          </w:p>
        </w:tc>
        <w:tc>
          <w:tcPr>
            <w:tcW w:w="848" w:type="dxa"/>
          </w:tcPr>
          <w:p w14:paraId="6894CB1C" w14:textId="77777777" w:rsidR="00FF42B6" w:rsidRDefault="00FF42B6" w:rsidP="00DD4C0D">
            <w:pPr>
              <w:pStyle w:val="cTableBody"/>
              <w:spacing w:before="0"/>
            </w:pPr>
            <w:r>
              <w:t>$20M</w:t>
            </w:r>
          </w:p>
        </w:tc>
      </w:tr>
      <w:tr w:rsidR="00FF42B6" w14:paraId="6AEA9762" w14:textId="77777777" w:rsidTr="00322275">
        <w:tc>
          <w:tcPr>
            <w:tcW w:w="1081" w:type="dxa"/>
          </w:tcPr>
          <w:p w14:paraId="665105E3" w14:textId="77777777" w:rsidR="00FF42B6" w:rsidRDefault="00FF42B6" w:rsidP="00DD4C0D">
            <w:pPr>
              <w:pStyle w:val="cTableBody"/>
              <w:spacing w:before="0"/>
            </w:pPr>
            <w:r>
              <w:lastRenderedPageBreak/>
              <w:t>3D</w:t>
            </w:r>
          </w:p>
        </w:tc>
        <w:tc>
          <w:tcPr>
            <w:tcW w:w="7796" w:type="dxa"/>
          </w:tcPr>
          <w:p w14:paraId="4D5BB5F9" w14:textId="77777777" w:rsidR="00FF42B6" w:rsidRDefault="00FF42B6" w:rsidP="00DD4C0D">
            <w:pPr>
              <w:pStyle w:val="cTableBody"/>
              <w:spacing w:before="0"/>
            </w:pPr>
            <w:r>
              <w:t>Integrated ammonia pilot, refrigeration, storage and loading</w:t>
            </w:r>
          </w:p>
        </w:tc>
        <w:tc>
          <w:tcPr>
            <w:tcW w:w="848" w:type="dxa"/>
          </w:tcPr>
          <w:p w14:paraId="5260E97F" w14:textId="77777777" w:rsidR="00FF42B6" w:rsidRDefault="00FF42B6" w:rsidP="00DD4C0D">
            <w:pPr>
              <w:pStyle w:val="cTableBody"/>
              <w:spacing w:before="0"/>
            </w:pPr>
            <w:r>
              <w:t>$30M</w:t>
            </w:r>
          </w:p>
        </w:tc>
      </w:tr>
      <w:tr w:rsidR="00FF42B6" w14:paraId="2C39BE80" w14:textId="77777777" w:rsidTr="00322275">
        <w:tc>
          <w:tcPr>
            <w:tcW w:w="1081" w:type="dxa"/>
          </w:tcPr>
          <w:p w14:paraId="44BE7A2B" w14:textId="77777777" w:rsidR="00FF42B6" w:rsidRDefault="00FF42B6" w:rsidP="00DD4C0D">
            <w:pPr>
              <w:pStyle w:val="cTableBody"/>
              <w:spacing w:before="0"/>
            </w:pPr>
            <w:r>
              <w:t>3E</w:t>
            </w:r>
          </w:p>
        </w:tc>
        <w:tc>
          <w:tcPr>
            <w:tcW w:w="7796" w:type="dxa"/>
          </w:tcPr>
          <w:p w14:paraId="5A61AF4B" w14:textId="77777777" w:rsidR="00FF42B6" w:rsidRDefault="00FF42B6" w:rsidP="00DD4C0D">
            <w:pPr>
              <w:pStyle w:val="cTableBody"/>
              <w:spacing w:before="0"/>
            </w:pPr>
            <w:r>
              <w:t>Long-duration runs, catalyst/material inspection and scale-up package</w:t>
            </w:r>
          </w:p>
        </w:tc>
        <w:tc>
          <w:tcPr>
            <w:tcW w:w="848" w:type="dxa"/>
          </w:tcPr>
          <w:p w14:paraId="708EAAC2" w14:textId="77777777" w:rsidR="00FF42B6" w:rsidRDefault="00FF42B6" w:rsidP="00DD4C0D">
            <w:pPr>
              <w:pStyle w:val="cTableBody"/>
              <w:spacing w:before="0"/>
            </w:pPr>
            <w:r>
              <w:t>$13M</w:t>
            </w:r>
          </w:p>
        </w:tc>
      </w:tr>
    </w:tbl>
    <w:p w14:paraId="3E4E0F3D" w14:textId="77777777" w:rsidR="00FF42B6" w:rsidRDefault="00FF42B6" w:rsidP="00FF42B6">
      <w:pPr>
        <w:pStyle w:val="cSubject"/>
      </w:pPr>
      <w:r>
        <w:t>Work-package hold point</w:t>
      </w:r>
    </w:p>
    <w:p w14:paraId="53AB6FB9" w14:textId="77777777" w:rsidR="00FF42B6" w:rsidRDefault="00FF42B6" w:rsidP="00FF42B6">
      <w:pPr>
        <w:spacing w:before="280" w:after="280"/>
      </w:pPr>
      <w:r>
        <w:t>Authorize the integrated ammonia pilot only after hydrogen/nitrogen quality, hazardous-area design, synthesis-loop control, storage/loading, relief/containment, and emergency systems pass review.</w:t>
      </w:r>
    </w:p>
    <w:p w14:paraId="72EA00DE" w14:textId="4A916B22" w:rsidR="00FF42B6" w:rsidRDefault="00496F64" w:rsidP="00FF42B6">
      <w:pPr>
        <w:pStyle w:val="Heading2"/>
        <w:spacing w:before="280"/>
      </w:pPr>
      <w:r>
        <w:t xml:space="preserve">Area </w:t>
      </w:r>
      <w:r w:rsidR="00FF42B6">
        <w:rPr>
          <w:sz w:val="28"/>
          <w:szCs w:val="24"/>
        </w:rPr>
        <w:t>4. Marine ammonia fuel-cell propulsion prototypes and endurance testing - $70M</w:t>
      </w:r>
    </w:p>
    <w:p w14:paraId="16303DBC" w14:textId="77777777" w:rsidR="00FF42B6" w:rsidRDefault="00FF42B6" w:rsidP="00FF42B6">
      <w:r>
        <w:t>Competing direct-SOFC, partial-cracking SOFC, and cracked-ammonia PCFC systems; small integrated propulsion prototypes; thousands-of-hours durability testing and teardown inspection.</w:t>
      </w:r>
    </w:p>
    <w:tbl>
      <w:tblPr>
        <w:tblStyle w:val="gswTableStyle"/>
        <w:tblW w:w="9831" w:type="dxa"/>
        <w:tblLayout w:type="fixed"/>
        <w:tblLook w:val="04A0" w:firstRow="1" w:lastRow="0" w:firstColumn="1" w:lastColumn="0" w:noHBand="0" w:noVBand="1"/>
      </w:tblPr>
      <w:tblGrid>
        <w:gridCol w:w="1321"/>
        <w:gridCol w:w="7392"/>
        <w:gridCol w:w="1118"/>
      </w:tblGrid>
      <w:tr w:rsidR="00FF42B6" w14:paraId="2C004E9F" w14:textId="77777777" w:rsidTr="00322275">
        <w:trPr>
          <w:cnfStyle w:val="100000000000" w:firstRow="1" w:lastRow="0" w:firstColumn="0" w:lastColumn="0" w:oddVBand="0" w:evenVBand="0" w:oddHBand="0" w:evenHBand="0" w:firstRowFirstColumn="0" w:firstRowLastColumn="0" w:lastRowFirstColumn="0" w:lastRowLastColumn="0"/>
        </w:trPr>
        <w:tc>
          <w:tcPr>
            <w:tcW w:w="1321" w:type="dxa"/>
          </w:tcPr>
          <w:p w14:paraId="53BD1D27" w14:textId="77777777" w:rsidR="00FF42B6" w:rsidRDefault="00FF42B6" w:rsidP="00DD4C0D">
            <w:pPr>
              <w:pStyle w:val="cTableHeader"/>
              <w:spacing w:before="0" w:after="0"/>
            </w:pPr>
            <w:r>
              <w:t>Subphase</w:t>
            </w:r>
          </w:p>
        </w:tc>
        <w:tc>
          <w:tcPr>
            <w:tcW w:w="7392" w:type="dxa"/>
          </w:tcPr>
          <w:p w14:paraId="1914426D" w14:textId="77777777" w:rsidR="00FF42B6" w:rsidRDefault="00FF42B6" w:rsidP="00DD4C0D">
            <w:pPr>
              <w:pStyle w:val="cTableHeader"/>
              <w:spacing w:before="0" w:after="0"/>
            </w:pPr>
            <w:r>
              <w:t>Principal activity and deliverable</w:t>
            </w:r>
          </w:p>
        </w:tc>
        <w:tc>
          <w:tcPr>
            <w:tcW w:w="1118" w:type="dxa"/>
          </w:tcPr>
          <w:p w14:paraId="39452099" w14:textId="77777777" w:rsidR="00FF42B6" w:rsidRDefault="00FF42B6" w:rsidP="00DD4C0D">
            <w:pPr>
              <w:pStyle w:val="cTableHeader"/>
              <w:spacing w:before="0" w:after="0"/>
            </w:pPr>
            <w:r>
              <w:t>Cost</w:t>
            </w:r>
          </w:p>
        </w:tc>
      </w:tr>
      <w:tr w:rsidR="00FF42B6" w14:paraId="67CEBABB" w14:textId="77777777" w:rsidTr="00322275">
        <w:tc>
          <w:tcPr>
            <w:tcW w:w="1321" w:type="dxa"/>
          </w:tcPr>
          <w:p w14:paraId="22D4F6B7" w14:textId="77777777" w:rsidR="00FF42B6" w:rsidRDefault="00FF42B6" w:rsidP="00DD4C0D">
            <w:pPr>
              <w:pStyle w:val="cTableBody"/>
              <w:spacing w:before="0"/>
            </w:pPr>
            <w:r>
              <w:t>4A</w:t>
            </w:r>
          </w:p>
        </w:tc>
        <w:tc>
          <w:tcPr>
            <w:tcW w:w="7392" w:type="dxa"/>
          </w:tcPr>
          <w:p w14:paraId="5F0992DC" w14:textId="77777777" w:rsidR="00FF42B6" w:rsidRDefault="00FF42B6" w:rsidP="00DD4C0D">
            <w:pPr>
              <w:pStyle w:val="cTableBody"/>
              <w:spacing w:before="0"/>
            </w:pPr>
            <w:r>
              <w:t>Direct SOFC, partial-cracking SOFC and PCFC reference designs</w:t>
            </w:r>
          </w:p>
        </w:tc>
        <w:tc>
          <w:tcPr>
            <w:tcW w:w="1118" w:type="dxa"/>
          </w:tcPr>
          <w:p w14:paraId="0D53ED99" w14:textId="77777777" w:rsidR="00FF42B6" w:rsidRDefault="00FF42B6" w:rsidP="00DD4C0D">
            <w:pPr>
              <w:pStyle w:val="cTableBody"/>
              <w:spacing w:before="0"/>
            </w:pPr>
            <w:r>
              <w:t>$10M</w:t>
            </w:r>
          </w:p>
        </w:tc>
      </w:tr>
      <w:tr w:rsidR="00FF42B6" w14:paraId="79FDDBE0" w14:textId="77777777" w:rsidTr="00322275">
        <w:tc>
          <w:tcPr>
            <w:tcW w:w="1321" w:type="dxa"/>
          </w:tcPr>
          <w:p w14:paraId="00DE81F6" w14:textId="77777777" w:rsidR="00FF42B6" w:rsidRDefault="00FF42B6" w:rsidP="00DD4C0D">
            <w:pPr>
              <w:pStyle w:val="cTableBody"/>
              <w:spacing w:before="0"/>
            </w:pPr>
            <w:r>
              <w:t>4B</w:t>
            </w:r>
          </w:p>
        </w:tc>
        <w:tc>
          <w:tcPr>
            <w:tcW w:w="7392" w:type="dxa"/>
          </w:tcPr>
          <w:p w14:paraId="732C6EAA" w14:textId="77777777" w:rsidR="00FF42B6" w:rsidRDefault="00FF42B6" w:rsidP="00DD4C0D">
            <w:pPr>
              <w:pStyle w:val="cTableBody"/>
              <w:spacing w:before="0"/>
            </w:pPr>
            <w:r>
              <w:t>Stack/cracker/catalyst/material bench durability rigs</w:t>
            </w:r>
          </w:p>
        </w:tc>
        <w:tc>
          <w:tcPr>
            <w:tcW w:w="1118" w:type="dxa"/>
          </w:tcPr>
          <w:p w14:paraId="0A9E67B9" w14:textId="77777777" w:rsidR="00FF42B6" w:rsidRDefault="00FF42B6" w:rsidP="00DD4C0D">
            <w:pPr>
              <w:pStyle w:val="cTableBody"/>
              <w:spacing w:before="0"/>
            </w:pPr>
            <w:r>
              <w:t>$15M</w:t>
            </w:r>
          </w:p>
        </w:tc>
      </w:tr>
      <w:tr w:rsidR="00FF42B6" w14:paraId="5F74BE2A" w14:textId="77777777" w:rsidTr="00322275">
        <w:tc>
          <w:tcPr>
            <w:tcW w:w="1321" w:type="dxa"/>
          </w:tcPr>
          <w:p w14:paraId="1AE91F02" w14:textId="77777777" w:rsidR="00FF42B6" w:rsidRDefault="00FF42B6" w:rsidP="00DD4C0D">
            <w:pPr>
              <w:pStyle w:val="cTableBody"/>
              <w:spacing w:before="0"/>
            </w:pPr>
            <w:r>
              <w:t>4C</w:t>
            </w:r>
          </w:p>
        </w:tc>
        <w:tc>
          <w:tcPr>
            <w:tcW w:w="7392" w:type="dxa"/>
          </w:tcPr>
          <w:p w14:paraId="7C57424D" w14:textId="77777777" w:rsidR="00FF42B6" w:rsidRDefault="00FF42B6" w:rsidP="00DD4C0D">
            <w:pPr>
              <w:pStyle w:val="cTableBody"/>
              <w:spacing w:before="0"/>
            </w:pPr>
            <w:r>
              <w:t>100–500 kW integrated propulsion prototypes and emissions controls</w:t>
            </w:r>
          </w:p>
        </w:tc>
        <w:tc>
          <w:tcPr>
            <w:tcW w:w="1118" w:type="dxa"/>
          </w:tcPr>
          <w:p w14:paraId="3A97751D" w14:textId="77777777" w:rsidR="00FF42B6" w:rsidRDefault="00FF42B6" w:rsidP="00DD4C0D">
            <w:pPr>
              <w:pStyle w:val="cTableBody"/>
              <w:spacing w:before="0"/>
            </w:pPr>
            <w:r>
              <w:t>$20M</w:t>
            </w:r>
          </w:p>
        </w:tc>
      </w:tr>
      <w:tr w:rsidR="00FF42B6" w14:paraId="593F8535" w14:textId="77777777" w:rsidTr="00322275">
        <w:tc>
          <w:tcPr>
            <w:tcW w:w="1321" w:type="dxa"/>
          </w:tcPr>
          <w:p w14:paraId="1CB028ED" w14:textId="77777777" w:rsidR="00FF42B6" w:rsidRDefault="00FF42B6" w:rsidP="00DD4C0D">
            <w:pPr>
              <w:pStyle w:val="cTableBody"/>
              <w:spacing w:before="0"/>
            </w:pPr>
            <w:r>
              <w:t>4D</w:t>
            </w:r>
          </w:p>
        </w:tc>
        <w:tc>
          <w:tcPr>
            <w:tcW w:w="7392" w:type="dxa"/>
          </w:tcPr>
          <w:p w14:paraId="2D1ED381" w14:textId="77777777" w:rsidR="00FF42B6" w:rsidRDefault="00FF42B6" w:rsidP="00DD4C0D">
            <w:pPr>
              <w:pStyle w:val="cTableBody"/>
              <w:spacing w:before="0"/>
            </w:pPr>
            <w:r>
              <w:t>One MW-class shared-load demonstrator, motors/inverters and heat recovery</w:t>
            </w:r>
          </w:p>
        </w:tc>
        <w:tc>
          <w:tcPr>
            <w:tcW w:w="1118" w:type="dxa"/>
          </w:tcPr>
          <w:p w14:paraId="12A4D9AD" w14:textId="77777777" w:rsidR="00FF42B6" w:rsidRDefault="00FF42B6" w:rsidP="00DD4C0D">
            <w:pPr>
              <w:pStyle w:val="cTableBody"/>
              <w:spacing w:before="0"/>
            </w:pPr>
            <w:r>
              <w:t>$12M</w:t>
            </w:r>
          </w:p>
        </w:tc>
      </w:tr>
      <w:tr w:rsidR="00FF42B6" w14:paraId="1E6CB68F" w14:textId="77777777" w:rsidTr="00322275">
        <w:tc>
          <w:tcPr>
            <w:tcW w:w="1321" w:type="dxa"/>
          </w:tcPr>
          <w:p w14:paraId="74E62767" w14:textId="77777777" w:rsidR="00FF42B6" w:rsidRDefault="00FF42B6" w:rsidP="00DD4C0D">
            <w:pPr>
              <w:pStyle w:val="cTableBody"/>
              <w:spacing w:before="0"/>
            </w:pPr>
            <w:r>
              <w:t>4E</w:t>
            </w:r>
          </w:p>
        </w:tc>
        <w:tc>
          <w:tcPr>
            <w:tcW w:w="7392" w:type="dxa"/>
          </w:tcPr>
          <w:p w14:paraId="3C82A2DD" w14:textId="77777777" w:rsidR="00FF42B6" w:rsidRDefault="00FF42B6" w:rsidP="00DD4C0D">
            <w:pPr>
              <w:pStyle w:val="cTableBody"/>
              <w:spacing w:before="0"/>
            </w:pPr>
            <w:r>
              <w:t>5,000–10,000-hour cumulative campaigns, teardowns and marine package</w:t>
            </w:r>
          </w:p>
        </w:tc>
        <w:tc>
          <w:tcPr>
            <w:tcW w:w="1118" w:type="dxa"/>
          </w:tcPr>
          <w:p w14:paraId="7AAEC948" w14:textId="77777777" w:rsidR="00FF42B6" w:rsidRDefault="00FF42B6" w:rsidP="00DD4C0D">
            <w:pPr>
              <w:pStyle w:val="cTableBody"/>
              <w:spacing w:before="0"/>
            </w:pPr>
            <w:r>
              <w:t>$13M</w:t>
            </w:r>
          </w:p>
        </w:tc>
      </w:tr>
    </w:tbl>
    <w:p w14:paraId="4BA458E6" w14:textId="77777777" w:rsidR="00FF42B6" w:rsidRDefault="00FF42B6" w:rsidP="00FF42B6">
      <w:pPr>
        <w:pStyle w:val="cSubject"/>
      </w:pPr>
      <w:r>
        <w:t>Work-package hold point</w:t>
      </w:r>
    </w:p>
    <w:p w14:paraId="7AF35E4C" w14:textId="77777777" w:rsidR="00FF42B6" w:rsidRDefault="00FF42B6" w:rsidP="00FF42B6">
      <w:pPr>
        <w:spacing w:before="280" w:after="280"/>
      </w:pPr>
      <w:r>
        <w:t>Advance a marine architecture only after stack/cracker degradation, NH3 slip, NOx/N2O control, thermal cycling, marine motion, maintainability, and replacement cost are supported by endurance data.</w:t>
      </w:r>
    </w:p>
    <w:p w14:paraId="65757548" w14:textId="47C7E186" w:rsidR="00FF42B6" w:rsidRDefault="00496F64" w:rsidP="00FF42B6">
      <w:pPr>
        <w:pStyle w:val="Heading2"/>
        <w:spacing w:before="280"/>
      </w:pPr>
      <w:r>
        <w:t xml:space="preserve">Area </w:t>
      </w:r>
      <w:r w:rsidR="00FF42B6">
        <w:t>5. Material handling, tunnels, storage, waterfront, and modular logistics equipment - $85M</w:t>
      </w:r>
    </w:p>
    <w:p w14:paraId="662125BE" w14:textId="77777777" w:rsidR="00FF42B6" w:rsidRDefault="00FF42B6" w:rsidP="00FF42B6">
      <w:r>
        <w:t>Pre-equipped tunnels, pipe/manifold modules, pumps/compressors, conveyors, transfer towers, storage modules, waterfront loading/unloading, and the common distribution spine.</w:t>
      </w:r>
    </w:p>
    <w:tbl>
      <w:tblPr>
        <w:tblStyle w:val="gswTableStyle"/>
        <w:tblW w:w="9769" w:type="dxa"/>
        <w:tblLayout w:type="fixed"/>
        <w:tblLook w:val="04A0" w:firstRow="1" w:lastRow="0" w:firstColumn="1" w:lastColumn="0" w:noHBand="0" w:noVBand="1"/>
      </w:tblPr>
      <w:tblGrid>
        <w:gridCol w:w="1081"/>
        <w:gridCol w:w="7752"/>
        <w:gridCol w:w="936"/>
      </w:tblGrid>
      <w:tr w:rsidR="00FF42B6" w14:paraId="20EE8593" w14:textId="77777777" w:rsidTr="00322275">
        <w:trPr>
          <w:cnfStyle w:val="100000000000" w:firstRow="1" w:lastRow="0" w:firstColumn="0" w:lastColumn="0" w:oddVBand="0" w:evenVBand="0" w:oddHBand="0" w:evenHBand="0" w:firstRowFirstColumn="0" w:firstRowLastColumn="0" w:lastRowFirstColumn="0" w:lastRowLastColumn="0"/>
        </w:trPr>
        <w:tc>
          <w:tcPr>
            <w:tcW w:w="1081" w:type="dxa"/>
          </w:tcPr>
          <w:p w14:paraId="20B1DB04" w14:textId="77777777" w:rsidR="00FF42B6" w:rsidRDefault="00FF42B6" w:rsidP="00DD4C0D">
            <w:pPr>
              <w:pStyle w:val="cTableHeader"/>
              <w:spacing w:before="0" w:after="0"/>
            </w:pPr>
            <w:r>
              <w:t>Subphase</w:t>
            </w:r>
          </w:p>
        </w:tc>
        <w:tc>
          <w:tcPr>
            <w:tcW w:w="7752" w:type="dxa"/>
          </w:tcPr>
          <w:p w14:paraId="622BFEFE" w14:textId="77777777" w:rsidR="00FF42B6" w:rsidRDefault="00FF42B6" w:rsidP="00DD4C0D">
            <w:pPr>
              <w:pStyle w:val="cTableHeader"/>
              <w:spacing w:before="0" w:after="0"/>
            </w:pPr>
            <w:r>
              <w:t>Principal activity and deliverable</w:t>
            </w:r>
          </w:p>
        </w:tc>
        <w:tc>
          <w:tcPr>
            <w:tcW w:w="936" w:type="dxa"/>
          </w:tcPr>
          <w:p w14:paraId="4CE24E9C" w14:textId="77777777" w:rsidR="00FF42B6" w:rsidRDefault="00FF42B6" w:rsidP="00DD4C0D">
            <w:pPr>
              <w:pStyle w:val="cTableHeader"/>
              <w:spacing w:before="0" w:after="0"/>
            </w:pPr>
            <w:r>
              <w:t>Cost</w:t>
            </w:r>
          </w:p>
        </w:tc>
      </w:tr>
      <w:tr w:rsidR="00FF42B6" w14:paraId="51650AA5" w14:textId="77777777" w:rsidTr="00322275">
        <w:tc>
          <w:tcPr>
            <w:tcW w:w="1081" w:type="dxa"/>
          </w:tcPr>
          <w:p w14:paraId="79871624" w14:textId="77777777" w:rsidR="00FF42B6" w:rsidRDefault="00FF42B6" w:rsidP="00DD4C0D">
            <w:pPr>
              <w:pStyle w:val="cTableBody"/>
              <w:spacing w:before="0"/>
            </w:pPr>
            <w:r>
              <w:t>5A</w:t>
            </w:r>
          </w:p>
        </w:tc>
        <w:tc>
          <w:tcPr>
            <w:tcW w:w="7752" w:type="dxa"/>
          </w:tcPr>
          <w:p w14:paraId="4E6956B1" w14:textId="77777777" w:rsidR="00FF42B6" w:rsidRDefault="00FF42B6" w:rsidP="00DD4C0D">
            <w:pPr>
              <w:pStyle w:val="cTableBody"/>
              <w:spacing w:before="0"/>
            </w:pPr>
            <w:r>
              <w:t>Distribution spine, tunnels, manifolds and material-flow design</w:t>
            </w:r>
          </w:p>
        </w:tc>
        <w:tc>
          <w:tcPr>
            <w:tcW w:w="936" w:type="dxa"/>
          </w:tcPr>
          <w:p w14:paraId="3A2FA8A1" w14:textId="77777777" w:rsidR="00FF42B6" w:rsidRDefault="00FF42B6" w:rsidP="00DD4C0D">
            <w:pPr>
              <w:pStyle w:val="cTableBody"/>
              <w:spacing w:before="0"/>
            </w:pPr>
            <w:r>
              <w:t>$15M</w:t>
            </w:r>
          </w:p>
        </w:tc>
      </w:tr>
      <w:tr w:rsidR="00FF42B6" w14:paraId="6BF8633C" w14:textId="77777777" w:rsidTr="00322275">
        <w:tc>
          <w:tcPr>
            <w:tcW w:w="1081" w:type="dxa"/>
          </w:tcPr>
          <w:p w14:paraId="2C5633D5" w14:textId="77777777" w:rsidR="00FF42B6" w:rsidRDefault="00FF42B6" w:rsidP="00DD4C0D">
            <w:pPr>
              <w:pStyle w:val="cTableBody"/>
              <w:spacing w:before="0"/>
            </w:pPr>
            <w:r>
              <w:t>5B</w:t>
            </w:r>
          </w:p>
        </w:tc>
        <w:tc>
          <w:tcPr>
            <w:tcW w:w="7752" w:type="dxa"/>
          </w:tcPr>
          <w:p w14:paraId="020F4EB2" w14:textId="77777777" w:rsidR="00FF42B6" w:rsidRDefault="00FF42B6" w:rsidP="00DD4C0D">
            <w:pPr>
              <w:pStyle w:val="cTableBody"/>
              <w:spacing w:before="0"/>
            </w:pPr>
            <w:r>
              <w:t>Pipe/pump/compressor and utility modules</w:t>
            </w:r>
          </w:p>
        </w:tc>
        <w:tc>
          <w:tcPr>
            <w:tcW w:w="936" w:type="dxa"/>
          </w:tcPr>
          <w:p w14:paraId="204AADC0" w14:textId="77777777" w:rsidR="00FF42B6" w:rsidRDefault="00FF42B6" w:rsidP="00DD4C0D">
            <w:pPr>
              <w:pStyle w:val="cTableBody"/>
              <w:spacing w:before="0"/>
            </w:pPr>
            <w:r>
              <w:t>$15M</w:t>
            </w:r>
          </w:p>
        </w:tc>
      </w:tr>
      <w:tr w:rsidR="00FF42B6" w14:paraId="5887ED0F" w14:textId="77777777" w:rsidTr="00322275">
        <w:tc>
          <w:tcPr>
            <w:tcW w:w="1081" w:type="dxa"/>
          </w:tcPr>
          <w:p w14:paraId="3303E664" w14:textId="77777777" w:rsidR="00FF42B6" w:rsidRDefault="00FF42B6" w:rsidP="00DD4C0D">
            <w:pPr>
              <w:pStyle w:val="cTableBody"/>
              <w:spacing w:before="0"/>
            </w:pPr>
            <w:r>
              <w:t>5C</w:t>
            </w:r>
          </w:p>
        </w:tc>
        <w:tc>
          <w:tcPr>
            <w:tcW w:w="7752" w:type="dxa"/>
          </w:tcPr>
          <w:p w14:paraId="37AA4BE4" w14:textId="77777777" w:rsidR="00FF42B6" w:rsidRDefault="00FF42B6" w:rsidP="00DD4C0D">
            <w:pPr>
              <w:pStyle w:val="cTableBody"/>
              <w:spacing w:before="0"/>
            </w:pPr>
            <w:r>
              <w:t>Conveyor/transfer-tower and rail-cart modules</w:t>
            </w:r>
          </w:p>
        </w:tc>
        <w:tc>
          <w:tcPr>
            <w:tcW w:w="936" w:type="dxa"/>
          </w:tcPr>
          <w:p w14:paraId="1B2E4132" w14:textId="77777777" w:rsidR="00FF42B6" w:rsidRDefault="00FF42B6" w:rsidP="00DD4C0D">
            <w:pPr>
              <w:pStyle w:val="cTableBody"/>
              <w:spacing w:before="0"/>
            </w:pPr>
            <w:r>
              <w:t>$15M</w:t>
            </w:r>
          </w:p>
        </w:tc>
      </w:tr>
      <w:tr w:rsidR="00FF42B6" w14:paraId="14F06E46" w14:textId="77777777" w:rsidTr="00322275">
        <w:tc>
          <w:tcPr>
            <w:tcW w:w="1081" w:type="dxa"/>
          </w:tcPr>
          <w:p w14:paraId="719E46BE" w14:textId="77777777" w:rsidR="00FF42B6" w:rsidRDefault="00FF42B6" w:rsidP="00DD4C0D">
            <w:pPr>
              <w:pStyle w:val="cTableBody"/>
              <w:spacing w:before="0"/>
            </w:pPr>
            <w:r>
              <w:t>5D</w:t>
            </w:r>
          </w:p>
        </w:tc>
        <w:tc>
          <w:tcPr>
            <w:tcW w:w="7752" w:type="dxa"/>
          </w:tcPr>
          <w:p w14:paraId="600CCF3F" w14:textId="77777777" w:rsidR="00FF42B6" w:rsidRDefault="00FF42B6" w:rsidP="00DD4C0D">
            <w:pPr>
              <w:pStyle w:val="cTableBody"/>
              <w:spacing w:before="0"/>
            </w:pPr>
            <w:r>
              <w:t>Waterfront loading/unloading and modular storage prototypes</w:t>
            </w:r>
          </w:p>
        </w:tc>
        <w:tc>
          <w:tcPr>
            <w:tcW w:w="936" w:type="dxa"/>
          </w:tcPr>
          <w:p w14:paraId="66779733" w14:textId="77777777" w:rsidR="00FF42B6" w:rsidRDefault="00FF42B6" w:rsidP="00DD4C0D">
            <w:pPr>
              <w:pStyle w:val="cTableBody"/>
              <w:spacing w:before="0"/>
            </w:pPr>
            <w:r>
              <w:t>$25M</w:t>
            </w:r>
          </w:p>
        </w:tc>
      </w:tr>
      <w:tr w:rsidR="00FF42B6" w14:paraId="508CCE64" w14:textId="77777777" w:rsidTr="00322275">
        <w:tc>
          <w:tcPr>
            <w:tcW w:w="1081" w:type="dxa"/>
          </w:tcPr>
          <w:p w14:paraId="66C338BC" w14:textId="77777777" w:rsidR="00FF42B6" w:rsidRDefault="00FF42B6" w:rsidP="00DD4C0D">
            <w:pPr>
              <w:pStyle w:val="cTableBody"/>
              <w:spacing w:before="0"/>
            </w:pPr>
            <w:r>
              <w:lastRenderedPageBreak/>
              <w:t>5E</w:t>
            </w:r>
          </w:p>
        </w:tc>
        <w:tc>
          <w:tcPr>
            <w:tcW w:w="7752" w:type="dxa"/>
          </w:tcPr>
          <w:p w14:paraId="6A64852C" w14:textId="77777777" w:rsidR="00FF42B6" w:rsidRDefault="00FF42B6" w:rsidP="00DD4C0D">
            <w:pPr>
              <w:pStyle w:val="cTableBody"/>
              <w:spacing w:before="0"/>
            </w:pPr>
            <w:r>
              <w:t>Integrated material-flow demonstrations and maintenance/recovery tests</w:t>
            </w:r>
          </w:p>
        </w:tc>
        <w:tc>
          <w:tcPr>
            <w:tcW w:w="936" w:type="dxa"/>
          </w:tcPr>
          <w:p w14:paraId="2D55D302" w14:textId="77777777" w:rsidR="00FF42B6" w:rsidRDefault="00FF42B6" w:rsidP="00DD4C0D">
            <w:pPr>
              <w:pStyle w:val="cTableBody"/>
              <w:spacing w:before="0"/>
            </w:pPr>
            <w:r>
              <w:t>$15M</w:t>
            </w:r>
          </w:p>
        </w:tc>
      </w:tr>
    </w:tbl>
    <w:p w14:paraId="44D6A3ED" w14:textId="77777777" w:rsidR="00FF42B6" w:rsidRDefault="00FF42B6" w:rsidP="00FF42B6">
      <w:pPr>
        <w:pStyle w:val="cSubject"/>
      </w:pPr>
      <w:r>
        <w:t>Work-package hold point</w:t>
      </w:r>
    </w:p>
    <w:p w14:paraId="795B8D84" w14:textId="77777777" w:rsidR="00FF42B6" w:rsidRDefault="00FF42B6" w:rsidP="00FF42B6">
      <w:pPr>
        <w:spacing w:before="280" w:after="280"/>
      </w:pPr>
      <w:r>
        <w:t>Proceed to integrated logistics only after flows, contamination controls, storage inventories, fire/explosion zones, recovery methods, and waterfront constraints are verified.</w:t>
      </w:r>
    </w:p>
    <w:p w14:paraId="4850F9AA" w14:textId="5A23BA47" w:rsidR="00FF42B6" w:rsidRDefault="00496F64" w:rsidP="00FF42B6">
      <w:pPr>
        <w:pStyle w:val="Heading2"/>
        <w:spacing w:before="280"/>
      </w:pPr>
      <w:r>
        <w:t xml:space="preserve">Area </w:t>
      </w:r>
      <w:r w:rsidR="00FF42B6">
        <w:t>6. Heavy module transport, double rail, ship/shore transfer, and gantry systems - $65M</w:t>
      </w:r>
    </w:p>
    <w:p w14:paraId="6586BA35" w14:textId="77777777" w:rsidR="00FF42B6" w:rsidRDefault="00FF42B6" w:rsidP="00FF42B6">
      <w:r>
        <w:t>Rigid truss, synchronized carriers, 12×24 through 12×96 m module transport, temporary track, loading, ship transfer, alignment, recovery, and repeated handling demonstrations.</w:t>
      </w:r>
    </w:p>
    <w:tbl>
      <w:tblPr>
        <w:tblStyle w:val="gswTableStyle"/>
        <w:tblW w:w="10056" w:type="dxa"/>
        <w:tblLayout w:type="fixed"/>
        <w:tblLook w:val="04A0" w:firstRow="1" w:lastRow="0" w:firstColumn="1" w:lastColumn="0" w:noHBand="0" w:noVBand="1"/>
      </w:tblPr>
      <w:tblGrid>
        <w:gridCol w:w="1276"/>
        <w:gridCol w:w="7844"/>
        <w:gridCol w:w="936"/>
      </w:tblGrid>
      <w:tr w:rsidR="00FF42B6" w14:paraId="7D14FBA1" w14:textId="77777777" w:rsidTr="00322275">
        <w:trPr>
          <w:cnfStyle w:val="100000000000" w:firstRow="1" w:lastRow="0" w:firstColumn="0" w:lastColumn="0" w:oddVBand="0" w:evenVBand="0" w:oddHBand="0" w:evenHBand="0" w:firstRowFirstColumn="0" w:firstRowLastColumn="0" w:lastRowFirstColumn="0" w:lastRowLastColumn="0"/>
        </w:trPr>
        <w:tc>
          <w:tcPr>
            <w:tcW w:w="1276" w:type="dxa"/>
          </w:tcPr>
          <w:p w14:paraId="7CA28015" w14:textId="77777777" w:rsidR="00FF42B6" w:rsidRDefault="00FF42B6" w:rsidP="00DD4C0D">
            <w:pPr>
              <w:pStyle w:val="cTableHeader"/>
              <w:spacing w:before="0" w:after="0"/>
            </w:pPr>
            <w:r>
              <w:t>Subphase</w:t>
            </w:r>
          </w:p>
        </w:tc>
        <w:tc>
          <w:tcPr>
            <w:tcW w:w="7844" w:type="dxa"/>
          </w:tcPr>
          <w:p w14:paraId="01189700" w14:textId="77777777" w:rsidR="00FF42B6" w:rsidRDefault="00FF42B6" w:rsidP="00DD4C0D">
            <w:pPr>
              <w:pStyle w:val="cTableHeader"/>
              <w:spacing w:before="0" w:after="0"/>
            </w:pPr>
            <w:r>
              <w:t>Principal activity and deliverable</w:t>
            </w:r>
          </w:p>
        </w:tc>
        <w:tc>
          <w:tcPr>
            <w:tcW w:w="936" w:type="dxa"/>
          </w:tcPr>
          <w:p w14:paraId="276587BC" w14:textId="77777777" w:rsidR="00FF42B6" w:rsidRDefault="00FF42B6" w:rsidP="00DD4C0D">
            <w:pPr>
              <w:pStyle w:val="cTableHeader"/>
              <w:spacing w:before="0" w:after="0"/>
              <w:ind w:right="-50"/>
            </w:pPr>
            <w:r>
              <w:t>Cost</w:t>
            </w:r>
          </w:p>
        </w:tc>
      </w:tr>
      <w:tr w:rsidR="00FF42B6" w14:paraId="27A6A47C" w14:textId="77777777" w:rsidTr="00322275">
        <w:tc>
          <w:tcPr>
            <w:tcW w:w="1276" w:type="dxa"/>
          </w:tcPr>
          <w:p w14:paraId="29064E02" w14:textId="77777777" w:rsidR="00FF42B6" w:rsidRDefault="00FF42B6" w:rsidP="00DD4C0D">
            <w:pPr>
              <w:pStyle w:val="cTableBody"/>
              <w:spacing w:before="0"/>
            </w:pPr>
            <w:r>
              <w:t>6A</w:t>
            </w:r>
          </w:p>
        </w:tc>
        <w:tc>
          <w:tcPr>
            <w:tcW w:w="7844" w:type="dxa"/>
          </w:tcPr>
          <w:p w14:paraId="71EB5DFE" w14:textId="77777777" w:rsidR="00FF42B6" w:rsidRDefault="00FF42B6" w:rsidP="00DD4C0D">
            <w:pPr>
              <w:pStyle w:val="cTableBody"/>
              <w:spacing w:before="0"/>
            </w:pPr>
            <w:r>
              <w:t>Load classes, route/port/ship interfaces, multi-rail geometry</w:t>
            </w:r>
          </w:p>
        </w:tc>
        <w:tc>
          <w:tcPr>
            <w:tcW w:w="936" w:type="dxa"/>
          </w:tcPr>
          <w:p w14:paraId="6D81CD1C" w14:textId="77777777" w:rsidR="00FF42B6" w:rsidRDefault="00FF42B6" w:rsidP="00DD4C0D">
            <w:pPr>
              <w:pStyle w:val="cTableBody"/>
              <w:spacing w:before="0"/>
              <w:ind w:right="-50"/>
            </w:pPr>
            <w:r>
              <w:t>$10M</w:t>
            </w:r>
          </w:p>
        </w:tc>
      </w:tr>
      <w:tr w:rsidR="00FF42B6" w14:paraId="4BD8C254" w14:textId="77777777" w:rsidTr="00322275">
        <w:tc>
          <w:tcPr>
            <w:tcW w:w="1276" w:type="dxa"/>
          </w:tcPr>
          <w:p w14:paraId="3F00DF85" w14:textId="77777777" w:rsidR="00FF42B6" w:rsidRDefault="00FF42B6" w:rsidP="00DD4C0D">
            <w:pPr>
              <w:pStyle w:val="cTableBody"/>
              <w:spacing w:before="0"/>
            </w:pPr>
            <w:r>
              <w:t>6B</w:t>
            </w:r>
          </w:p>
        </w:tc>
        <w:tc>
          <w:tcPr>
            <w:tcW w:w="7844" w:type="dxa"/>
          </w:tcPr>
          <w:p w14:paraId="1F8BCD2E" w14:textId="77777777" w:rsidR="00FF42B6" w:rsidRDefault="00FF42B6" w:rsidP="00DD4C0D">
            <w:pPr>
              <w:pStyle w:val="cTableBody"/>
              <w:spacing w:before="0"/>
            </w:pPr>
            <w:r>
              <w:t>Rigid truss, synchronized carrier and active-jacking design</w:t>
            </w:r>
          </w:p>
        </w:tc>
        <w:tc>
          <w:tcPr>
            <w:tcW w:w="936" w:type="dxa"/>
          </w:tcPr>
          <w:p w14:paraId="514B2BB6" w14:textId="77777777" w:rsidR="00FF42B6" w:rsidRDefault="00FF42B6" w:rsidP="00DD4C0D">
            <w:pPr>
              <w:pStyle w:val="cTableBody"/>
              <w:spacing w:before="0"/>
              <w:ind w:right="-50"/>
            </w:pPr>
            <w:r>
              <w:t>$15M</w:t>
            </w:r>
          </w:p>
        </w:tc>
      </w:tr>
      <w:tr w:rsidR="00FF42B6" w14:paraId="3C82A353" w14:textId="77777777" w:rsidTr="00322275">
        <w:tc>
          <w:tcPr>
            <w:tcW w:w="1276" w:type="dxa"/>
          </w:tcPr>
          <w:p w14:paraId="55A3E8DB" w14:textId="77777777" w:rsidR="00FF42B6" w:rsidRDefault="00FF42B6" w:rsidP="00DD4C0D">
            <w:pPr>
              <w:pStyle w:val="cTableBody"/>
              <w:spacing w:before="0"/>
            </w:pPr>
            <w:r>
              <w:t>6C</w:t>
            </w:r>
          </w:p>
        </w:tc>
        <w:tc>
          <w:tcPr>
            <w:tcW w:w="7844" w:type="dxa"/>
          </w:tcPr>
          <w:p w14:paraId="0C28F952" w14:textId="77777777" w:rsidR="00FF42B6" w:rsidRDefault="00FF42B6" w:rsidP="00DD4C0D">
            <w:pPr>
              <w:pStyle w:val="cTableBody"/>
              <w:spacing w:before="0"/>
            </w:pPr>
            <w:r>
              <w:t>1:10 transport/gantry/switch prototypes and controls</w:t>
            </w:r>
          </w:p>
        </w:tc>
        <w:tc>
          <w:tcPr>
            <w:tcW w:w="936" w:type="dxa"/>
          </w:tcPr>
          <w:p w14:paraId="1AF17783" w14:textId="77777777" w:rsidR="00FF42B6" w:rsidRDefault="00FF42B6" w:rsidP="00DD4C0D">
            <w:pPr>
              <w:pStyle w:val="cTableBody"/>
              <w:spacing w:before="0"/>
              <w:ind w:right="-50"/>
            </w:pPr>
            <w:r>
              <w:t>$15M</w:t>
            </w:r>
          </w:p>
        </w:tc>
      </w:tr>
      <w:tr w:rsidR="00FF42B6" w14:paraId="5900B926" w14:textId="77777777" w:rsidTr="00322275">
        <w:tc>
          <w:tcPr>
            <w:tcW w:w="1276" w:type="dxa"/>
          </w:tcPr>
          <w:p w14:paraId="7AC06C9C" w14:textId="77777777" w:rsidR="00FF42B6" w:rsidRDefault="00FF42B6" w:rsidP="00DD4C0D">
            <w:pPr>
              <w:pStyle w:val="cTableBody"/>
              <w:spacing w:before="0"/>
            </w:pPr>
            <w:r>
              <w:t>6D</w:t>
            </w:r>
          </w:p>
        </w:tc>
        <w:tc>
          <w:tcPr>
            <w:tcW w:w="7844" w:type="dxa"/>
          </w:tcPr>
          <w:p w14:paraId="4313851F" w14:textId="77777777" w:rsidR="00FF42B6" w:rsidRDefault="00FF42B6" w:rsidP="00DD4C0D">
            <w:pPr>
              <w:pStyle w:val="cTableBody"/>
              <w:spacing w:before="0"/>
            </w:pPr>
            <w:r>
              <w:t>Representative loaded transport and ship/shore transfer</w:t>
            </w:r>
          </w:p>
        </w:tc>
        <w:tc>
          <w:tcPr>
            <w:tcW w:w="936" w:type="dxa"/>
          </w:tcPr>
          <w:p w14:paraId="5EE6D831" w14:textId="77777777" w:rsidR="00FF42B6" w:rsidRDefault="00FF42B6" w:rsidP="00DD4C0D">
            <w:pPr>
              <w:pStyle w:val="cTableBody"/>
              <w:spacing w:before="0"/>
              <w:ind w:right="-50"/>
            </w:pPr>
            <w:r>
              <w:t>$18M</w:t>
            </w:r>
          </w:p>
        </w:tc>
      </w:tr>
      <w:tr w:rsidR="00FF42B6" w14:paraId="50ADEEF8" w14:textId="77777777" w:rsidTr="00322275">
        <w:tc>
          <w:tcPr>
            <w:tcW w:w="1276" w:type="dxa"/>
          </w:tcPr>
          <w:p w14:paraId="0BCBCF7C" w14:textId="77777777" w:rsidR="00FF42B6" w:rsidRDefault="00FF42B6" w:rsidP="00DD4C0D">
            <w:pPr>
              <w:pStyle w:val="cTableBody"/>
              <w:spacing w:before="0"/>
            </w:pPr>
            <w:r>
              <w:t>6E</w:t>
            </w:r>
          </w:p>
        </w:tc>
        <w:tc>
          <w:tcPr>
            <w:tcW w:w="7844" w:type="dxa"/>
          </w:tcPr>
          <w:p w14:paraId="24E37202" w14:textId="77777777" w:rsidR="00FF42B6" w:rsidRDefault="00FF42B6" w:rsidP="00DD4C0D">
            <w:pPr>
              <w:pStyle w:val="cTableBody"/>
              <w:spacing w:before="0"/>
            </w:pPr>
            <w:r>
              <w:t>Reliability, recovery, inspection and final transport standard package</w:t>
            </w:r>
          </w:p>
        </w:tc>
        <w:tc>
          <w:tcPr>
            <w:tcW w:w="936" w:type="dxa"/>
          </w:tcPr>
          <w:p w14:paraId="449985C7" w14:textId="77777777" w:rsidR="00FF42B6" w:rsidRDefault="00FF42B6" w:rsidP="00DD4C0D">
            <w:pPr>
              <w:pStyle w:val="cTableBody"/>
              <w:spacing w:before="0"/>
              <w:ind w:right="-50"/>
            </w:pPr>
            <w:r>
              <w:t>$7M</w:t>
            </w:r>
          </w:p>
        </w:tc>
      </w:tr>
    </w:tbl>
    <w:p w14:paraId="3BB58B77" w14:textId="77777777" w:rsidR="00FF42B6" w:rsidRDefault="00FF42B6" w:rsidP="00FF42B6">
      <w:pPr>
        <w:pStyle w:val="cSubject"/>
      </w:pPr>
      <w:r>
        <w:t>Work-package hold point</w:t>
      </w:r>
    </w:p>
    <w:p w14:paraId="3EB4393C" w14:textId="77777777" w:rsidR="00FF42B6" w:rsidRDefault="00FF42B6" w:rsidP="00FF42B6">
      <w:pPr>
        <w:spacing w:before="280" w:after="280"/>
      </w:pPr>
      <w:r>
        <w:t>Proceed to loaded full-scale transfers only after loss-of-synchronization, braking, structural deflection, jacking, curve/grade behavior, ship stability, and emergency recovery are demonstrated.</w:t>
      </w:r>
    </w:p>
    <w:p w14:paraId="230486F2" w14:textId="27AE2583" w:rsidR="00FF42B6" w:rsidRDefault="00496F64" w:rsidP="00FF42B6">
      <w:pPr>
        <w:pStyle w:val="Heading2"/>
        <w:spacing w:before="280"/>
      </w:pPr>
      <w:r>
        <w:t xml:space="preserve">Area </w:t>
      </w:r>
      <w:r w:rsidR="00FF42B6">
        <w:t>7. Electrified rail and high-power construction-machine interface - $40M</w:t>
      </w:r>
    </w:p>
    <w:p w14:paraId="7FB9A4B6" w14:textId="77777777" w:rsidR="00FF42B6" w:rsidRDefault="00FF42B6" w:rsidP="00FF42B6">
      <w:r>
        <w:t>Segmented LV/MV enclosed conductor rail, collectors, switchgear, grounding, interlocks, regenerative operation, warning/lockout systems, and a full-voltage reduced-length test loop.</w:t>
      </w:r>
    </w:p>
    <w:tbl>
      <w:tblPr>
        <w:tblStyle w:val="gswTableStyle"/>
        <w:tblW w:w="9769" w:type="dxa"/>
        <w:tblLayout w:type="fixed"/>
        <w:tblLook w:val="04A0" w:firstRow="1" w:lastRow="0" w:firstColumn="1" w:lastColumn="0" w:noHBand="0" w:noVBand="1"/>
      </w:tblPr>
      <w:tblGrid>
        <w:gridCol w:w="1081"/>
        <w:gridCol w:w="7752"/>
        <w:gridCol w:w="936"/>
      </w:tblGrid>
      <w:tr w:rsidR="00FF42B6" w14:paraId="098E68E9" w14:textId="77777777" w:rsidTr="00322275">
        <w:trPr>
          <w:cnfStyle w:val="100000000000" w:firstRow="1" w:lastRow="0" w:firstColumn="0" w:lastColumn="0" w:oddVBand="0" w:evenVBand="0" w:oddHBand="0" w:evenHBand="0" w:firstRowFirstColumn="0" w:firstRowLastColumn="0" w:lastRowFirstColumn="0" w:lastRowLastColumn="0"/>
        </w:trPr>
        <w:tc>
          <w:tcPr>
            <w:tcW w:w="1081" w:type="dxa"/>
          </w:tcPr>
          <w:p w14:paraId="0FF0E02B" w14:textId="77777777" w:rsidR="00FF42B6" w:rsidRDefault="00FF42B6" w:rsidP="00DD4C0D">
            <w:pPr>
              <w:pStyle w:val="cTableHeader"/>
              <w:spacing w:before="0" w:after="0"/>
            </w:pPr>
            <w:r>
              <w:t>Subphase</w:t>
            </w:r>
          </w:p>
        </w:tc>
        <w:tc>
          <w:tcPr>
            <w:tcW w:w="7752" w:type="dxa"/>
          </w:tcPr>
          <w:p w14:paraId="26D48373" w14:textId="77777777" w:rsidR="00FF42B6" w:rsidRDefault="00FF42B6" w:rsidP="00DD4C0D">
            <w:pPr>
              <w:pStyle w:val="cTableHeader"/>
              <w:spacing w:before="0" w:after="0"/>
            </w:pPr>
            <w:r>
              <w:t>Principal activity and deliverable</w:t>
            </w:r>
          </w:p>
        </w:tc>
        <w:tc>
          <w:tcPr>
            <w:tcW w:w="936" w:type="dxa"/>
          </w:tcPr>
          <w:p w14:paraId="41C3A499" w14:textId="77777777" w:rsidR="00FF42B6" w:rsidRDefault="00FF42B6" w:rsidP="00DD4C0D">
            <w:pPr>
              <w:pStyle w:val="cTableHeader"/>
              <w:spacing w:before="0" w:after="0"/>
            </w:pPr>
            <w:r>
              <w:t>Cost</w:t>
            </w:r>
          </w:p>
        </w:tc>
      </w:tr>
      <w:tr w:rsidR="00FF42B6" w14:paraId="20ECD44B" w14:textId="77777777" w:rsidTr="00322275">
        <w:tc>
          <w:tcPr>
            <w:tcW w:w="1081" w:type="dxa"/>
          </w:tcPr>
          <w:p w14:paraId="375B78A1" w14:textId="77777777" w:rsidR="00FF42B6" w:rsidRDefault="00FF42B6" w:rsidP="00DD4C0D">
            <w:pPr>
              <w:pStyle w:val="cTableBody"/>
              <w:spacing w:before="0"/>
            </w:pPr>
            <w:r>
              <w:t>7A</w:t>
            </w:r>
          </w:p>
        </w:tc>
        <w:tc>
          <w:tcPr>
            <w:tcW w:w="7752" w:type="dxa"/>
          </w:tcPr>
          <w:p w14:paraId="4B2F84FD" w14:textId="77777777" w:rsidR="00FF42B6" w:rsidRDefault="00FF42B6" w:rsidP="00DD4C0D">
            <w:pPr>
              <w:pStyle w:val="cTableBody"/>
              <w:spacing w:before="0"/>
            </w:pPr>
            <w:r>
              <w:t>Voltage classes, conductor geometry, collector and grounding requirements</w:t>
            </w:r>
          </w:p>
        </w:tc>
        <w:tc>
          <w:tcPr>
            <w:tcW w:w="936" w:type="dxa"/>
          </w:tcPr>
          <w:p w14:paraId="790DC934" w14:textId="77777777" w:rsidR="00FF42B6" w:rsidRDefault="00FF42B6" w:rsidP="00DD4C0D">
            <w:pPr>
              <w:pStyle w:val="cTableBody"/>
              <w:spacing w:before="0"/>
            </w:pPr>
            <w:r>
              <w:t>$7M</w:t>
            </w:r>
          </w:p>
        </w:tc>
      </w:tr>
      <w:tr w:rsidR="00FF42B6" w14:paraId="0EDF4729" w14:textId="77777777" w:rsidTr="00322275">
        <w:tc>
          <w:tcPr>
            <w:tcW w:w="1081" w:type="dxa"/>
          </w:tcPr>
          <w:p w14:paraId="3898F339" w14:textId="77777777" w:rsidR="00FF42B6" w:rsidRDefault="00FF42B6" w:rsidP="00DD4C0D">
            <w:pPr>
              <w:pStyle w:val="cTableBody"/>
              <w:spacing w:before="0"/>
            </w:pPr>
            <w:r>
              <w:t>7B</w:t>
            </w:r>
          </w:p>
        </w:tc>
        <w:tc>
          <w:tcPr>
            <w:tcW w:w="7752" w:type="dxa"/>
          </w:tcPr>
          <w:p w14:paraId="5EB7B177" w14:textId="77777777" w:rsidR="00FF42B6" w:rsidRDefault="00FF42B6" w:rsidP="00DD4C0D">
            <w:pPr>
              <w:pStyle w:val="cTableBody"/>
              <w:spacing w:before="0"/>
            </w:pPr>
            <w:r>
              <w:t>Segment switchgear, interlocks, detection and lockout architecture</w:t>
            </w:r>
          </w:p>
        </w:tc>
        <w:tc>
          <w:tcPr>
            <w:tcW w:w="936" w:type="dxa"/>
          </w:tcPr>
          <w:p w14:paraId="48200150" w14:textId="77777777" w:rsidR="00FF42B6" w:rsidRDefault="00FF42B6" w:rsidP="00DD4C0D">
            <w:pPr>
              <w:pStyle w:val="cTableBody"/>
              <w:spacing w:before="0"/>
            </w:pPr>
            <w:r>
              <w:t>$8M</w:t>
            </w:r>
          </w:p>
        </w:tc>
      </w:tr>
      <w:tr w:rsidR="00FF42B6" w14:paraId="5247D51E" w14:textId="77777777" w:rsidTr="00322275">
        <w:tc>
          <w:tcPr>
            <w:tcW w:w="1081" w:type="dxa"/>
          </w:tcPr>
          <w:p w14:paraId="26B9B55B" w14:textId="77777777" w:rsidR="00FF42B6" w:rsidRDefault="00FF42B6" w:rsidP="00DD4C0D">
            <w:pPr>
              <w:pStyle w:val="cTableBody"/>
              <w:spacing w:before="0"/>
            </w:pPr>
            <w:r>
              <w:t>7C</w:t>
            </w:r>
          </w:p>
        </w:tc>
        <w:tc>
          <w:tcPr>
            <w:tcW w:w="7752" w:type="dxa"/>
          </w:tcPr>
          <w:p w14:paraId="3D6F2625" w14:textId="77777777" w:rsidR="00FF42B6" w:rsidRDefault="00FF42B6" w:rsidP="00DD4C0D">
            <w:pPr>
              <w:pStyle w:val="cTableBody"/>
              <w:spacing w:before="0"/>
            </w:pPr>
            <w:r>
              <w:t>Full-voltage reduced-length test loop and mobile collector prototypes</w:t>
            </w:r>
          </w:p>
        </w:tc>
        <w:tc>
          <w:tcPr>
            <w:tcW w:w="936" w:type="dxa"/>
          </w:tcPr>
          <w:p w14:paraId="6C173B38" w14:textId="77777777" w:rsidR="00FF42B6" w:rsidRDefault="00FF42B6" w:rsidP="00DD4C0D">
            <w:pPr>
              <w:pStyle w:val="cTableBody"/>
              <w:spacing w:before="0"/>
            </w:pPr>
            <w:r>
              <w:t>$15M</w:t>
            </w:r>
          </w:p>
        </w:tc>
      </w:tr>
      <w:tr w:rsidR="00FF42B6" w14:paraId="15C702BF" w14:textId="77777777" w:rsidTr="00322275">
        <w:tc>
          <w:tcPr>
            <w:tcW w:w="1081" w:type="dxa"/>
          </w:tcPr>
          <w:p w14:paraId="28C7D0D1" w14:textId="77777777" w:rsidR="00FF42B6" w:rsidRDefault="00FF42B6" w:rsidP="00DD4C0D">
            <w:pPr>
              <w:pStyle w:val="cTableBody"/>
              <w:spacing w:before="0"/>
            </w:pPr>
            <w:r>
              <w:t>7D</w:t>
            </w:r>
          </w:p>
        </w:tc>
        <w:tc>
          <w:tcPr>
            <w:tcW w:w="7752" w:type="dxa"/>
          </w:tcPr>
          <w:p w14:paraId="14A2B181" w14:textId="77777777" w:rsidR="00FF42B6" w:rsidRDefault="00FF42B6" w:rsidP="00DD4C0D">
            <w:pPr>
              <w:pStyle w:val="cTableBody"/>
              <w:spacing w:before="0"/>
            </w:pPr>
            <w:r>
              <w:t>High-power machine, fault, water/dirt and regenerative tests</w:t>
            </w:r>
          </w:p>
        </w:tc>
        <w:tc>
          <w:tcPr>
            <w:tcW w:w="936" w:type="dxa"/>
          </w:tcPr>
          <w:p w14:paraId="40805198" w14:textId="77777777" w:rsidR="00FF42B6" w:rsidRDefault="00FF42B6" w:rsidP="00DD4C0D">
            <w:pPr>
              <w:pStyle w:val="cTableBody"/>
              <w:spacing w:before="0"/>
            </w:pPr>
            <w:r>
              <w:t>$7M</w:t>
            </w:r>
          </w:p>
        </w:tc>
      </w:tr>
      <w:tr w:rsidR="00FF42B6" w14:paraId="46FFC93A" w14:textId="77777777" w:rsidTr="00322275">
        <w:tc>
          <w:tcPr>
            <w:tcW w:w="1081" w:type="dxa"/>
          </w:tcPr>
          <w:p w14:paraId="0EC11AA7" w14:textId="77777777" w:rsidR="00FF42B6" w:rsidRDefault="00FF42B6" w:rsidP="00DD4C0D">
            <w:pPr>
              <w:pStyle w:val="cTableBody"/>
              <w:spacing w:before="0"/>
            </w:pPr>
            <w:r>
              <w:t>7E</w:t>
            </w:r>
          </w:p>
        </w:tc>
        <w:tc>
          <w:tcPr>
            <w:tcW w:w="7752" w:type="dxa"/>
          </w:tcPr>
          <w:p w14:paraId="2128342A" w14:textId="77777777" w:rsidR="00FF42B6" w:rsidRDefault="00FF42B6" w:rsidP="00DD4C0D">
            <w:pPr>
              <w:pStyle w:val="cTableBody"/>
              <w:spacing w:before="0"/>
            </w:pPr>
            <w:r>
              <w:t>Open electrified-rail standard and deployment package</w:t>
            </w:r>
          </w:p>
        </w:tc>
        <w:tc>
          <w:tcPr>
            <w:tcW w:w="936" w:type="dxa"/>
          </w:tcPr>
          <w:p w14:paraId="1E65EB47" w14:textId="77777777" w:rsidR="00FF42B6" w:rsidRDefault="00FF42B6" w:rsidP="00DD4C0D">
            <w:pPr>
              <w:pStyle w:val="cTableBody"/>
              <w:spacing w:before="0"/>
            </w:pPr>
            <w:r>
              <w:t>$3M</w:t>
            </w:r>
          </w:p>
        </w:tc>
      </w:tr>
    </w:tbl>
    <w:p w14:paraId="5DD78604" w14:textId="77777777" w:rsidR="00FF42B6" w:rsidRDefault="00FF42B6" w:rsidP="00FF42B6">
      <w:pPr>
        <w:pStyle w:val="cSubject"/>
      </w:pPr>
      <w:r>
        <w:lastRenderedPageBreak/>
        <w:t>Work-package hold point</w:t>
      </w:r>
    </w:p>
    <w:p w14:paraId="303D4064" w14:textId="77777777" w:rsidR="00FF42B6" w:rsidRDefault="00FF42B6" w:rsidP="00FF42B6">
      <w:pPr>
        <w:spacing w:before="280" w:after="280"/>
      </w:pPr>
      <w:r>
        <w:t>Energize high-power tests only after touch/step potential, insulation failure, water ingress, collector loss, segment isolation, lockout/tagout, fault clearing, and emergency shutdown are independently accepted.</w:t>
      </w:r>
    </w:p>
    <w:p w14:paraId="38DBF640" w14:textId="5EE1E5C2" w:rsidR="00FF42B6" w:rsidRDefault="00496F64" w:rsidP="00FF42B6">
      <w:pPr>
        <w:pStyle w:val="Heading2"/>
        <w:spacing w:before="280"/>
      </w:pPr>
      <w:r>
        <w:t xml:space="preserve">Area </w:t>
      </w:r>
      <w:r w:rsidR="00FF42B6">
        <w:t>8. Automated construction of thermal-storage tanks - $50M</w:t>
      </w:r>
    </w:p>
    <w:p w14:paraId="6982B862" w14:textId="77777777" w:rsidR="00FF42B6" w:rsidRDefault="00FF42B6" w:rsidP="00FF42B6">
      <w:r>
        <w:t>Tank-jacking, shell-panel placement, automated welding/NDE, floor/roof/insulation handling, modular pump/manifold equipment, and representative tank construction demonstrations.</w:t>
      </w:r>
    </w:p>
    <w:tbl>
      <w:tblPr>
        <w:tblStyle w:val="gswTableStyle"/>
        <w:tblW w:w="9611" w:type="dxa"/>
        <w:tblLayout w:type="fixed"/>
        <w:tblLook w:val="04A0" w:firstRow="1" w:lastRow="0" w:firstColumn="1" w:lastColumn="0" w:noHBand="0" w:noVBand="1"/>
      </w:tblPr>
      <w:tblGrid>
        <w:gridCol w:w="1168"/>
        <w:gridCol w:w="7460"/>
        <w:gridCol w:w="983"/>
      </w:tblGrid>
      <w:tr w:rsidR="00FF42B6" w14:paraId="2372B8AC" w14:textId="77777777" w:rsidTr="00322275">
        <w:trPr>
          <w:cnfStyle w:val="100000000000" w:firstRow="1" w:lastRow="0" w:firstColumn="0" w:lastColumn="0" w:oddVBand="0" w:evenVBand="0" w:oddHBand="0" w:evenHBand="0" w:firstRowFirstColumn="0" w:firstRowLastColumn="0" w:lastRowFirstColumn="0" w:lastRowLastColumn="0"/>
        </w:trPr>
        <w:tc>
          <w:tcPr>
            <w:tcW w:w="1168" w:type="dxa"/>
          </w:tcPr>
          <w:p w14:paraId="56E87E36" w14:textId="77777777" w:rsidR="00FF42B6" w:rsidRDefault="00FF42B6" w:rsidP="00DD4C0D">
            <w:pPr>
              <w:pStyle w:val="cTableHeader"/>
              <w:spacing w:before="0" w:after="0"/>
            </w:pPr>
            <w:r>
              <w:t>Subphase</w:t>
            </w:r>
          </w:p>
        </w:tc>
        <w:tc>
          <w:tcPr>
            <w:tcW w:w="7460" w:type="dxa"/>
          </w:tcPr>
          <w:p w14:paraId="303ECC10" w14:textId="77777777" w:rsidR="00FF42B6" w:rsidRDefault="00FF42B6" w:rsidP="00DD4C0D">
            <w:pPr>
              <w:pStyle w:val="cTableHeader"/>
              <w:spacing w:before="0" w:after="0"/>
            </w:pPr>
            <w:r>
              <w:t>Principal activity and deliverable</w:t>
            </w:r>
          </w:p>
        </w:tc>
        <w:tc>
          <w:tcPr>
            <w:tcW w:w="983" w:type="dxa"/>
          </w:tcPr>
          <w:p w14:paraId="7427519C" w14:textId="77777777" w:rsidR="00FF42B6" w:rsidRDefault="00FF42B6" w:rsidP="00DD4C0D">
            <w:pPr>
              <w:pStyle w:val="cTableHeader"/>
              <w:spacing w:before="0" w:after="0"/>
            </w:pPr>
            <w:r>
              <w:t>Cost</w:t>
            </w:r>
          </w:p>
        </w:tc>
      </w:tr>
      <w:tr w:rsidR="00FF42B6" w14:paraId="1A158427" w14:textId="77777777" w:rsidTr="00322275">
        <w:tc>
          <w:tcPr>
            <w:tcW w:w="1168" w:type="dxa"/>
          </w:tcPr>
          <w:p w14:paraId="032360A6" w14:textId="77777777" w:rsidR="00FF42B6" w:rsidRDefault="00FF42B6" w:rsidP="00DD4C0D">
            <w:pPr>
              <w:pStyle w:val="cTableBody"/>
              <w:spacing w:before="0"/>
            </w:pPr>
            <w:r>
              <w:t>8A</w:t>
            </w:r>
          </w:p>
        </w:tc>
        <w:tc>
          <w:tcPr>
            <w:tcW w:w="7460" w:type="dxa"/>
          </w:tcPr>
          <w:p w14:paraId="7F3F82B0" w14:textId="77777777" w:rsidR="00FF42B6" w:rsidRDefault="00FF42B6" w:rsidP="00DD4C0D">
            <w:pPr>
              <w:pStyle w:val="cTableBody"/>
              <w:spacing w:before="0"/>
            </w:pPr>
            <w:r>
              <w:t>Tank sizes, media, foundation, codes and construction sequence</w:t>
            </w:r>
          </w:p>
        </w:tc>
        <w:tc>
          <w:tcPr>
            <w:tcW w:w="983" w:type="dxa"/>
          </w:tcPr>
          <w:p w14:paraId="42859798" w14:textId="77777777" w:rsidR="00FF42B6" w:rsidRDefault="00FF42B6" w:rsidP="00DD4C0D">
            <w:pPr>
              <w:pStyle w:val="cTableBody"/>
              <w:spacing w:before="0"/>
            </w:pPr>
            <w:r>
              <w:t>$7M</w:t>
            </w:r>
          </w:p>
        </w:tc>
      </w:tr>
      <w:tr w:rsidR="00FF42B6" w14:paraId="4E037BCB" w14:textId="77777777" w:rsidTr="00322275">
        <w:tc>
          <w:tcPr>
            <w:tcW w:w="1168" w:type="dxa"/>
          </w:tcPr>
          <w:p w14:paraId="467B8F27" w14:textId="77777777" w:rsidR="00FF42B6" w:rsidRDefault="00FF42B6" w:rsidP="00DD4C0D">
            <w:pPr>
              <w:pStyle w:val="cTableBody"/>
              <w:spacing w:before="0"/>
            </w:pPr>
            <w:r>
              <w:t>8B</w:t>
            </w:r>
          </w:p>
        </w:tc>
        <w:tc>
          <w:tcPr>
            <w:tcW w:w="7460" w:type="dxa"/>
          </w:tcPr>
          <w:p w14:paraId="0D2FB3D9" w14:textId="77777777" w:rsidR="00FF42B6" w:rsidRDefault="00FF42B6" w:rsidP="00DD4C0D">
            <w:pPr>
              <w:pStyle w:val="cTableBody"/>
              <w:spacing w:before="0"/>
            </w:pPr>
            <w:r>
              <w:t>Jacking, shell-panel, floor/roof and insulation machine designs</w:t>
            </w:r>
          </w:p>
        </w:tc>
        <w:tc>
          <w:tcPr>
            <w:tcW w:w="983" w:type="dxa"/>
          </w:tcPr>
          <w:p w14:paraId="7A1335CA" w14:textId="77777777" w:rsidR="00FF42B6" w:rsidRDefault="00FF42B6" w:rsidP="00DD4C0D">
            <w:pPr>
              <w:pStyle w:val="cTableBody"/>
              <w:spacing w:before="0"/>
            </w:pPr>
            <w:r>
              <w:t>$12M</w:t>
            </w:r>
          </w:p>
        </w:tc>
      </w:tr>
      <w:tr w:rsidR="00FF42B6" w14:paraId="32F473F8" w14:textId="77777777" w:rsidTr="00322275">
        <w:tc>
          <w:tcPr>
            <w:tcW w:w="1168" w:type="dxa"/>
          </w:tcPr>
          <w:p w14:paraId="76B10CDC" w14:textId="77777777" w:rsidR="00FF42B6" w:rsidRDefault="00FF42B6" w:rsidP="00DD4C0D">
            <w:pPr>
              <w:pStyle w:val="cTableBody"/>
              <w:spacing w:before="0"/>
            </w:pPr>
            <w:r>
              <w:t>8C</w:t>
            </w:r>
          </w:p>
        </w:tc>
        <w:tc>
          <w:tcPr>
            <w:tcW w:w="7460" w:type="dxa"/>
          </w:tcPr>
          <w:p w14:paraId="01474644" w14:textId="77777777" w:rsidR="00FF42B6" w:rsidRDefault="00FF42B6" w:rsidP="00DD4C0D">
            <w:pPr>
              <w:pStyle w:val="cTableBody"/>
              <w:spacing w:before="0"/>
            </w:pPr>
            <w:r>
              <w:t>Automated welding, NDE and dimensional-control cells</w:t>
            </w:r>
          </w:p>
        </w:tc>
        <w:tc>
          <w:tcPr>
            <w:tcW w:w="983" w:type="dxa"/>
          </w:tcPr>
          <w:p w14:paraId="265F5960" w14:textId="77777777" w:rsidR="00FF42B6" w:rsidRDefault="00FF42B6" w:rsidP="00DD4C0D">
            <w:pPr>
              <w:pStyle w:val="cTableBody"/>
              <w:spacing w:before="0"/>
            </w:pPr>
            <w:r>
              <w:t>$12M</w:t>
            </w:r>
          </w:p>
        </w:tc>
      </w:tr>
      <w:tr w:rsidR="00FF42B6" w14:paraId="4DD28FCC" w14:textId="77777777" w:rsidTr="00322275">
        <w:tc>
          <w:tcPr>
            <w:tcW w:w="1168" w:type="dxa"/>
          </w:tcPr>
          <w:p w14:paraId="6711C9FE" w14:textId="77777777" w:rsidR="00FF42B6" w:rsidRDefault="00FF42B6" w:rsidP="00DD4C0D">
            <w:pPr>
              <w:pStyle w:val="cTableBody"/>
              <w:spacing w:before="0"/>
            </w:pPr>
            <w:r>
              <w:t>8D</w:t>
            </w:r>
          </w:p>
        </w:tc>
        <w:tc>
          <w:tcPr>
            <w:tcW w:w="7460" w:type="dxa"/>
          </w:tcPr>
          <w:p w14:paraId="307F161D" w14:textId="77777777" w:rsidR="00FF42B6" w:rsidRDefault="00FF42B6" w:rsidP="00DD4C0D">
            <w:pPr>
              <w:pStyle w:val="cTableBody"/>
              <w:spacing w:before="0"/>
            </w:pPr>
            <w:r>
              <w:t>Representative 1:5–1:10 tank build plus full-size weld trials</w:t>
            </w:r>
          </w:p>
        </w:tc>
        <w:tc>
          <w:tcPr>
            <w:tcW w:w="983" w:type="dxa"/>
          </w:tcPr>
          <w:p w14:paraId="168029DC" w14:textId="77777777" w:rsidR="00FF42B6" w:rsidRDefault="00FF42B6" w:rsidP="00DD4C0D">
            <w:pPr>
              <w:pStyle w:val="cTableBody"/>
              <w:spacing w:before="0"/>
            </w:pPr>
            <w:r>
              <w:t>$14M</w:t>
            </w:r>
          </w:p>
        </w:tc>
      </w:tr>
      <w:tr w:rsidR="00FF42B6" w14:paraId="7C0E8104" w14:textId="77777777" w:rsidTr="00322275">
        <w:tc>
          <w:tcPr>
            <w:tcW w:w="1168" w:type="dxa"/>
          </w:tcPr>
          <w:p w14:paraId="21E36BC3" w14:textId="77777777" w:rsidR="00FF42B6" w:rsidRDefault="00FF42B6" w:rsidP="00DD4C0D">
            <w:pPr>
              <w:pStyle w:val="cTableBody"/>
              <w:spacing w:before="0"/>
            </w:pPr>
            <w:r>
              <w:t>8E</w:t>
            </w:r>
          </w:p>
        </w:tc>
        <w:tc>
          <w:tcPr>
            <w:tcW w:w="7460" w:type="dxa"/>
          </w:tcPr>
          <w:p w14:paraId="2CA9EBD6" w14:textId="77777777" w:rsidR="00FF42B6" w:rsidRDefault="00FF42B6" w:rsidP="00DD4C0D">
            <w:pPr>
              <w:pStyle w:val="cTableBody"/>
              <w:spacing w:before="0"/>
            </w:pPr>
            <w:r>
              <w:t>Reliability growth, construction-rate model and final machine package</w:t>
            </w:r>
          </w:p>
        </w:tc>
        <w:tc>
          <w:tcPr>
            <w:tcW w:w="983" w:type="dxa"/>
          </w:tcPr>
          <w:p w14:paraId="0DC93BF9" w14:textId="77777777" w:rsidR="00FF42B6" w:rsidRDefault="00FF42B6" w:rsidP="00DD4C0D">
            <w:pPr>
              <w:pStyle w:val="cTableBody"/>
              <w:spacing w:before="0"/>
            </w:pPr>
            <w:r>
              <w:t>$5M</w:t>
            </w:r>
          </w:p>
        </w:tc>
      </w:tr>
    </w:tbl>
    <w:p w14:paraId="5378742F" w14:textId="77777777" w:rsidR="00FF42B6" w:rsidRDefault="00FF42B6" w:rsidP="00FF42B6">
      <w:pPr>
        <w:pStyle w:val="cSubject"/>
      </w:pPr>
      <w:r>
        <w:t>Work-package hold point</w:t>
      </w:r>
    </w:p>
    <w:p w14:paraId="4F0E011F" w14:textId="77777777" w:rsidR="00FF42B6" w:rsidRDefault="00FF42B6" w:rsidP="00FF42B6">
      <w:pPr>
        <w:spacing w:before="280" w:after="280"/>
      </w:pPr>
      <w:r>
        <w:t>Proceed to representative tank construction only after jacking stability, weld procedure, NDE acceptance, dimensional tolerances, foundation behavior, and safe machine recovery are demonstrated.</w:t>
      </w:r>
    </w:p>
    <w:p w14:paraId="674DD821" w14:textId="1B383525" w:rsidR="00FF42B6" w:rsidRDefault="00496F64" w:rsidP="00FF42B6">
      <w:pPr>
        <w:pStyle w:val="Heading2"/>
        <w:spacing w:before="280"/>
      </w:pPr>
      <w:r>
        <w:t xml:space="preserve">Area </w:t>
      </w:r>
      <w:r w:rsidR="00FF42B6">
        <w:t>9. Standards, interoperability laboratory, digital thread, and conformance testing - $55M</w:t>
      </w:r>
    </w:p>
    <w:p w14:paraId="306949F9" w14:textId="77777777" w:rsidR="00FF42B6" w:rsidRDefault="00FF42B6" w:rsidP="00FF42B6">
      <w:r>
        <w:t>Open mechanical, dimensional, heat, piping, electrical, rail, controls/data, cybersecurity, waterfront, storage, and digital-thread standards plus multi-vendor interoperability tests.</w:t>
      </w:r>
    </w:p>
    <w:tbl>
      <w:tblPr>
        <w:tblStyle w:val="gswTableStyle"/>
        <w:tblW w:w="9739" w:type="dxa"/>
        <w:tblLayout w:type="fixed"/>
        <w:tblLook w:val="04A0" w:firstRow="1" w:lastRow="0" w:firstColumn="1" w:lastColumn="0" w:noHBand="0" w:noVBand="1"/>
      </w:tblPr>
      <w:tblGrid>
        <w:gridCol w:w="1081"/>
        <w:gridCol w:w="7522"/>
        <w:gridCol w:w="1136"/>
      </w:tblGrid>
      <w:tr w:rsidR="00FF42B6" w14:paraId="6493F708" w14:textId="77777777" w:rsidTr="00322275">
        <w:trPr>
          <w:cnfStyle w:val="100000000000" w:firstRow="1" w:lastRow="0" w:firstColumn="0" w:lastColumn="0" w:oddVBand="0" w:evenVBand="0" w:oddHBand="0" w:evenHBand="0" w:firstRowFirstColumn="0" w:firstRowLastColumn="0" w:lastRowFirstColumn="0" w:lastRowLastColumn="0"/>
        </w:trPr>
        <w:tc>
          <w:tcPr>
            <w:tcW w:w="1081" w:type="dxa"/>
          </w:tcPr>
          <w:p w14:paraId="5247A315" w14:textId="77777777" w:rsidR="00FF42B6" w:rsidRDefault="00FF42B6" w:rsidP="00DD4C0D">
            <w:pPr>
              <w:pStyle w:val="cTableHeader"/>
              <w:spacing w:before="0" w:after="0"/>
            </w:pPr>
            <w:r>
              <w:t>Subphase</w:t>
            </w:r>
          </w:p>
        </w:tc>
        <w:tc>
          <w:tcPr>
            <w:tcW w:w="7522" w:type="dxa"/>
          </w:tcPr>
          <w:p w14:paraId="21483D5D" w14:textId="77777777" w:rsidR="00FF42B6" w:rsidRDefault="00FF42B6" w:rsidP="00DD4C0D">
            <w:pPr>
              <w:pStyle w:val="cTableHeader"/>
              <w:spacing w:before="0" w:after="0"/>
            </w:pPr>
            <w:r>
              <w:t>Principal activity and deliverable</w:t>
            </w:r>
          </w:p>
        </w:tc>
        <w:tc>
          <w:tcPr>
            <w:tcW w:w="1136" w:type="dxa"/>
          </w:tcPr>
          <w:p w14:paraId="6B66DF5E" w14:textId="77777777" w:rsidR="00FF42B6" w:rsidRDefault="00FF42B6" w:rsidP="00DD4C0D">
            <w:pPr>
              <w:pStyle w:val="cTableHeader"/>
              <w:spacing w:before="0" w:after="0"/>
            </w:pPr>
            <w:r>
              <w:t>Cost</w:t>
            </w:r>
          </w:p>
        </w:tc>
      </w:tr>
      <w:tr w:rsidR="00FF42B6" w14:paraId="433B3861" w14:textId="77777777" w:rsidTr="00322275">
        <w:tc>
          <w:tcPr>
            <w:tcW w:w="1081" w:type="dxa"/>
          </w:tcPr>
          <w:p w14:paraId="1B78DEAD" w14:textId="77777777" w:rsidR="00FF42B6" w:rsidRDefault="00FF42B6" w:rsidP="00DD4C0D">
            <w:pPr>
              <w:pStyle w:val="cTableBody"/>
              <w:spacing w:before="0"/>
            </w:pPr>
            <w:r>
              <w:t>9A</w:t>
            </w:r>
          </w:p>
        </w:tc>
        <w:tc>
          <w:tcPr>
            <w:tcW w:w="7522" w:type="dxa"/>
          </w:tcPr>
          <w:p w14:paraId="0703547D" w14:textId="77777777" w:rsidR="00FF42B6" w:rsidRDefault="00FF42B6" w:rsidP="00DD4C0D">
            <w:pPr>
              <w:pStyle w:val="cTableBody"/>
              <w:spacing w:before="0"/>
            </w:pPr>
            <w:r>
              <w:t>Standards steering group and master architecture</w:t>
            </w:r>
          </w:p>
        </w:tc>
        <w:tc>
          <w:tcPr>
            <w:tcW w:w="1136" w:type="dxa"/>
          </w:tcPr>
          <w:p w14:paraId="25CCF762" w14:textId="77777777" w:rsidR="00FF42B6" w:rsidRDefault="00FF42B6" w:rsidP="00DD4C0D">
            <w:pPr>
              <w:pStyle w:val="cTableBody"/>
              <w:spacing w:before="0"/>
            </w:pPr>
            <w:r>
              <w:t>$8M</w:t>
            </w:r>
          </w:p>
        </w:tc>
      </w:tr>
      <w:tr w:rsidR="00FF42B6" w14:paraId="0FB9338C" w14:textId="77777777" w:rsidTr="00322275">
        <w:tc>
          <w:tcPr>
            <w:tcW w:w="1081" w:type="dxa"/>
          </w:tcPr>
          <w:p w14:paraId="51EEA98B" w14:textId="77777777" w:rsidR="00FF42B6" w:rsidRDefault="00FF42B6" w:rsidP="00DD4C0D">
            <w:pPr>
              <w:pStyle w:val="cTableBody"/>
              <w:spacing w:before="0"/>
            </w:pPr>
            <w:r>
              <w:t>9B</w:t>
            </w:r>
          </w:p>
        </w:tc>
        <w:tc>
          <w:tcPr>
            <w:tcW w:w="7522" w:type="dxa"/>
          </w:tcPr>
          <w:p w14:paraId="4BEB1E33" w14:textId="77777777" w:rsidR="00FF42B6" w:rsidRDefault="00FF42B6" w:rsidP="00DD4C0D">
            <w:pPr>
              <w:pStyle w:val="cTableBody"/>
              <w:spacing w:before="0"/>
            </w:pPr>
            <w:r>
              <w:t>Mechanical/module/rail/piping/thermal/electrical interface drafts</w:t>
            </w:r>
          </w:p>
        </w:tc>
        <w:tc>
          <w:tcPr>
            <w:tcW w:w="1136" w:type="dxa"/>
          </w:tcPr>
          <w:p w14:paraId="15F2692A" w14:textId="77777777" w:rsidR="00FF42B6" w:rsidRDefault="00FF42B6" w:rsidP="00DD4C0D">
            <w:pPr>
              <w:pStyle w:val="cTableBody"/>
              <w:spacing w:before="0"/>
            </w:pPr>
            <w:r>
              <w:t>$12M</w:t>
            </w:r>
          </w:p>
        </w:tc>
      </w:tr>
      <w:tr w:rsidR="00FF42B6" w14:paraId="5FECA20A" w14:textId="77777777" w:rsidTr="00322275">
        <w:tc>
          <w:tcPr>
            <w:tcW w:w="1081" w:type="dxa"/>
          </w:tcPr>
          <w:p w14:paraId="4EFB39AE" w14:textId="77777777" w:rsidR="00FF42B6" w:rsidRDefault="00FF42B6" w:rsidP="00DD4C0D">
            <w:pPr>
              <w:pStyle w:val="cTableBody"/>
              <w:spacing w:before="0"/>
            </w:pPr>
            <w:r>
              <w:t>9C</w:t>
            </w:r>
          </w:p>
        </w:tc>
        <w:tc>
          <w:tcPr>
            <w:tcW w:w="7522" w:type="dxa"/>
          </w:tcPr>
          <w:p w14:paraId="16E0AE6A" w14:textId="77777777" w:rsidR="00FF42B6" w:rsidRDefault="00FF42B6" w:rsidP="00DD4C0D">
            <w:pPr>
              <w:pStyle w:val="cTableBody"/>
              <w:spacing w:before="0"/>
            </w:pPr>
            <w:r>
              <w:t>Controls/data/cyber/digital-thread schemas and conformance tools</w:t>
            </w:r>
          </w:p>
        </w:tc>
        <w:tc>
          <w:tcPr>
            <w:tcW w:w="1136" w:type="dxa"/>
          </w:tcPr>
          <w:p w14:paraId="448FE90E" w14:textId="77777777" w:rsidR="00FF42B6" w:rsidRDefault="00FF42B6" w:rsidP="00DD4C0D">
            <w:pPr>
              <w:pStyle w:val="cTableBody"/>
              <w:spacing w:before="0"/>
            </w:pPr>
            <w:r>
              <w:t>$10M</w:t>
            </w:r>
          </w:p>
        </w:tc>
      </w:tr>
      <w:tr w:rsidR="00FF42B6" w14:paraId="4C8E4513" w14:textId="77777777" w:rsidTr="00322275">
        <w:tc>
          <w:tcPr>
            <w:tcW w:w="1081" w:type="dxa"/>
          </w:tcPr>
          <w:p w14:paraId="14113F50" w14:textId="77777777" w:rsidR="00FF42B6" w:rsidRDefault="00FF42B6" w:rsidP="00DD4C0D">
            <w:pPr>
              <w:pStyle w:val="cTableBody"/>
              <w:spacing w:before="0"/>
            </w:pPr>
            <w:r>
              <w:t>9D</w:t>
            </w:r>
          </w:p>
        </w:tc>
        <w:tc>
          <w:tcPr>
            <w:tcW w:w="7522" w:type="dxa"/>
          </w:tcPr>
          <w:p w14:paraId="74B6A631" w14:textId="77777777" w:rsidR="00FF42B6" w:rsidRDefault="00FF42B6" w:rsidP="00DD4C0D">
            <w:pPr>
              <w:pStyle w:val="cTableBody"/>
              <w:spacing w:before="0"/>
            </w:pPr>
            <w:r>
              <w:t>Interoperability laboratory hardware and multi-vendor plug tests</w:t>
            </w:r>
          </w:p>
        </w:tc>
        <w:tc>
          <w:tcPr>
            <w:tcW w:w="1136" w:type="dxa"/>
          </w:tcPr>
          <w:p w14:paraId="1E12A69B" w14:textId="77777777" w:rsidR="00FF42B6" w:rsidRDefault="00FF42B6" w:rsidP="00DD4C0D">
            <w:pPr>
              <w:pStyle w:val="cTableBody"/>
              <w:spacing w:before="0"/>
            </w:pPr>
            <w:r>
              <w:t>$18M</w:t>
            </w:r>
          </w:p>
        </w:tc>
      </w:tr>
      <w:tr w:rsidR="00FF42B6" w14:paraId="46094E8D" w14:textId="77777777" w:rsidTr="00322275">
        <w:tc>
          <w:tcPr>
            <w:tcW w:w="1081" w:type="dxa"/>
          </w:tcPr>
          <w:p w14:paraId="08FCCFA9" w14:textId="77777777" w:rsidR="00FF42B6" w:rsidRDefault="00FF42B6" w:rsidP="00DD4C0D">
            <w:pPr>
              <w:pStyle w:val="cTableBody"/>
              <w:spacing w:before="0"/>
            </w:pPr>
            <w:r>
              <w:t>9E</w:t>
            </w:r>
          </w:p>
        </w:tc>
        <w:tc>
          <w:tcPr>
            <w:tcW w:w="7522" w:type="dxa"/>
          </w:tcPr>
          <w:p w14:paraId="65B72D21" w14:textId="77777777" w:rsidR="00FF42B6" w:rsidRDefault="00FF42B6" w:rsidP="00DD4C0D">
            <w:pPr>
              <w:pStyle w:val="cTableBody"/>
              <w:spacing w:before="0"/>
            </w:pPr>
            <w:r>
              <w:t>v2.0 consensus packages and ISO/IEC/Chinese/U.S. coordination</w:t>
            </w:r>
          </w:p>
        </w:tc>
        <w:tc>
          <w:tcPr>
            <w:tcW w:w="1136" w:type="dxa"/>
          </w:tcPr>
          <w:p w14:paraId="3F4B47AB" w14:textId="77777777" w:rsidR="00FF42B6" w:rsidRDefault="00FF42B6" w:rsidP="00DD4C0D">
            <w:pPr>
              <w:pStyle w:val="cTableBody"/>
              <w:spacing w:before="0"/>
            </w:pPr>
            <w:r>
              <w:t>$7M</w:t>
            </w:r>
          </w:p>
        </w:tc>
      </w:tr>
    </w:tbl>
    <w:p w14:paraId="6E17527C" w14:textId="77777777" w:rsidR="00FF42B6" w:rsidRDefault="00FF42B6" w:rsidP="00FF42B6">
      <w:pPr>
        <w:pStyle w:val="cSubject"/>
      </w:pPr>
      <w:r>
        <w:t>Work-package hold point</w:t>
      </w:r>
    </w:p>
    <w:p w14:paraId="0FC44208" w14:textId="77777777" w:rsidR="00FF42B6" w:rsidRDefault="00FF42B6" w:rsidP="00FF42B6">
      <w:pPr>
        <w:spacing w:before="280" w:after="280"/>
      </w:pPr>
      <w:r>
        <w:lastRenderedPageBreak/>
        <w:t>Freeze v1.0 interfaces only after multiple independent suppliers use the same drawings/schemas in prototype work; freeze v2.0 only after interoperability tests expose and close ambiguity.</w:t>
      </w:r>
    </w:p>
    <w:p w14:paraId="7725DE6E" w14:textId="126EE7B5" w:rsidR="00FF42B6" w:rsidRDefault="00496F64" w:rsidP="00FF42B6">
      <w:pPr>
        <w:pStyle w:val="Heading2"/>
        <w:spacing w:before="280"/>
      </w:pPr>
      <w:r>
        <w:t xml:space="preserve">Area </w:t>
      </w:r>
      <w:r w:rsidR="00FF42B6">
        <w:t>10. Integrated prototype campus, flow/corrosion loops, and long-duration campaigns - $65M</w:t>
      </w:r>
    </w:p>
    <w:p w14:paraId="02D324A4" w14:textId="77777777" w:rsidR="00FF42B6" w:rsidRDefault="00FF42B6" w:rsidP="00FF42B6">
      <w:r>
        <w:t>Non-nuclear test campus with PWR-like and HTR-PM-like heat loops, full-temperature materials/corrosion systems, site choreography, integrated platform campaigns, maintenance, and reliability growth.</w:t>
      </w:r>
    </w:p>
    <w:tbl>
      <w:tblPr>
        <w:tblStyle w:val="gswTableStyle"/>
        <w:tblW w:w="9814" w:type="dxa"/>
        <w:tblLayout w:type="fixed"/>
        <w:tblLook w:val="04A0" w:firstRow="1" w:lastRow="0" w:firstColumn="1" w:lastColumn="0" w:noHBand="0" w:noVBand="1"/>
      </w:tblPr>
      <w:tblGrid>
        <w:gridCol w:w="1260"/>
        <w:gridCol w:w="7708"/>
        <w:gridCol w:w="846"/>
      </w:tblGrid>
      <w:tr w:rsidR="00FF42B6" w14:paraId="09E33469" w14:textId="77777777" w:rsidTr="00322275">
        <w:trPr>
          <w:cnfStyle w:val="100000000000" w:firstRow="1" w:lastRow="0" w:firstColumn="0" w:lastColumn="0" w:oddVBand="0" w:evenVBand="0" w:oddHBand="0" w:evenHBand="0" w:firstRowFirstColumn="0" w:firstRowLastColumn="0" w:lastRowFirstColumn="0" w:lastRowLastColumn="0"/>
        </w:trPr>
        <w:tc>
          <w:tcPr>
            <w:tcW w:w="1260" w:type="dxa"/>
          </w:tcPr>
          <w:p w14:paraId="793152A9" w14:textId="77777777" w:rsidR="00FF42B6" w:rsidRDefault="00FF42B6" w:rsidP="00DD4C0D">
            <w:pPr>
              <w:pStyle w:val="cTableHeader"/>
              <w:spacing w:before="0" w:after="0"/>
            </w:pPr>
            <w:r>
              <w:t>Subphase</w:t>
            </w:r>
          </w:p>
        </w:tc>
        <w:tc>
          <w:tcPr>
            <w:tcW w:w="7708" w:type="dxa"/>
          </w:tcPr>
          <w:p w14:paraId="743D083E" w14:textId="77777777" w:rsidR="00FF42B6" w:rsidRDefault="00FF42B6" w:rsidP="00DD4C0D">
            <w:pPr>
              <w:pStyle w:val="cTableHeader"/>
              <w:spacing w:before="0" w:after="0"/>
            </w:pPr>
            <w:r>
              <w:t>Principal activity and deliverable</w:t>
            </w:r>
          </w:p>
        </w:tc>
        <w:tc>
          <w:tcPr>
            <w:tcW w:w="846" w:type="dxa"/>
          </w:tcPr>
          <w:p w14:paraId="64722430" w14:textId="77777777" w:rsidR="00FF42B6" w:rsidRDefault="00FF42B6" w:rsidP="00DD4C0D">
            <w:pPr>
              <w:pStyle w:val="cTableHeader"/>
              <w:spacing w:before="0" w:after="0"/>
            </w:pPr>
            <w:r>
              <w:t>Cost</w:t>
            </w:r>
          </w:p>
        </w:tc>
      </w:tr>
      <w:tr w:rsidR="00FF42B6" w14:paraId="15E686AB" w14:textId="77777777" w:rsidTr="00322275">
        <w:tc>
          <w:tcPr>
            <w:tcW w:w="1260" w:type="dxa"/>
          </w:tcPr>
          <w:p w14:paraId="6C5E53FE" w14:textId="77777777" w:rsidR="00FF42B6" w:rsidRDefault="00FF42B6" w:rsidP="00DD4C0D">
            <w:pPr>
              <w:pStyle w:val="cTableBody"/>
              <w:spacing w:before="0"/>
            </w:pPr>
            <w:r>
              <w:t>10A</w:t>
            </w:r>
          </w:p>
        </w:tc>
        <w:tc>
          <w:tcPr>
            <w:tcW w:w="7708" w:type="dxa"/>
          </w:tcPr>
          <w:p w14:paraId="79C92BC9" w14:textId="77777777" w:rsidR="00FF42B6" w:rsidRDefault="00FF42B6" w:rsidP="00DD4C0D">
            <w:pPr>
              <w:pStyle w:val="cTableBody"/>
              <w:spacing w:before="0"/>
            </w:pPr>
            <w:r>
              <w:t>Pilot campus, utilities, externally heated PWR/HTR loops and safety systems</w:t>
            </w:r>
          </w:p>
        </w:tc>
        <w:tc>
          <w:tcPr>
            <w:tcW w:w="846" w:type="dxa"/>
          </w:tcPr>
          <w:p w14:paraId="35A1A93E" w14:textId="77777777" w:rsidR="00FF42B6" w:rsidRDefault="00FF42B6" w:rsidP="00DD4C0D">
            <w:pPr>
              <w:pStyle w:val="cTableBody"/>
              <w:spacing w:before="0"/>
            </w:pPr>
            <w:r>
              <w:t>$18M</w:t>
            </w:r>
          </w:p>
        </w:tc>
      </w:tr>
      <w:tr w:rsidR="00FF42B6" w14:paraId="66509556" w14:textId="77777777" w:rsidTr="00322275">
        <w:tc>
          <w:tcPr>
            <w:tcW w:w="1260" w:type="dxa"/>
          </w:tcPr>
          <w:p w14:paraId="47C90B1D" w14:textId="77777777" w:rsidR="00FF42B6" w:rsidRDefault="00FF42B6" w:rsidP="00DD4C0D">
            <w:pPr>
              <w:pStyle w:val="cTableBody"/>
              <w:spacing w:before="0"/>
            </w:pPr>
            <w:r>
              <w:t>10B</w:t>
            </w:r>
          </w:p>
        </w:tc>
        <w:tc>
          <w:tcPr>
            <w:tcW w:w="7708" w:type="dxa"/>
          </w:tcPr>
          <w:p w14:paraId="06BC2BD5" w14:textId="77777777" w:rsidR="00FF42B6" w:rsidRDefault="00FF42B6" w:rsidP="00DD4C0D">
            <w:pPr>
              <w:pStyle w:val="cTableBody"/>
              <w:spacing w:before="0"/>
            </w:pPr>
            <w:r>
              <w:t>Full-size representative piping/valve/material/corrosion loops</w:t>
            </w:r>
          </w:p>
        </w:tc>
        <w:tc>
          <w:tcPr>
            <w:tcW w:w="846" w:type="dxa"/>
          </w:tcPr>
          <w:p w14:paraId="7BEA4B1D" w14:textId="77777777" w:rsidR="00FF42B6" w:rsidRDefault="00FF42B6" w:rsidP="00DD4C0D">
            <w:pPr>
              <w:pStyle w:val="cTableBody"/>
              <w:spacing w:before="0"/>
            </w:pPr>
            <w:r>
              <w:t>$12M</w:t>
            </w:r>
          </w:p>
        </w:tc>
      </w:tr>
      <w:tr w:rsidR="00FF42B6" w14:paraId="527E9F65" w14:textId="77777777" w:rsidTr="00322275">
        <w:tc>
          <w:tcPr>
            <w:tcW w:w="1260" w:type="dxa"/>
          </w:tcPr>
          <w:p w14:paraId="3C7E038C" w14:textId="77777777" w:rsidR="00FF42B6" w:rsidRDefault="00FF42B6" w:rsidP="00DD4C0D">
            <w:pPr>
              <w:pStyle w:val="cTableBody"/>
              <w:spacing w:before="0"/>
            </w:pPr>
            <w:r>
              <w:t>10C</w:t>
            </w:r>
          </w:p>
        </w:tc>
        <w:tc>
          <w:tcPr>
            <w:tcW w:w="7708" w:type="dxa"/>
          </w:tcPr>
          <w:p w14:paraId="495ADCA3" w14:textId="77777777" w:rsidR="00FF42B6" w:rsidRDefault="00FF42B6" w:rsidP="00DD4C0D">
            <w:pPr>
              <w:pStyle w:val="cTableBody"/>
              <w:spacing w:before="0"/>
            </w:pPr>
            <w:r>
              <w:t>Instrumentation, digital acquisition and test automation</w:t>
            </w:r>
          </w:p>
        </w:tc>
        <w:tc>
          <w:tcPr>
            <w:tcW w:w="846" w:type="dxa"/>
          </w:tcPr>
          <w:p w14:paraId="3DCF3DB2" w14:textId="77777777" w:rsidR="00FF42B6" w:rsidRDefault="00FF42B6" w:rsidP="00DD4C0D">
            <w:pPr>
              <w:pStyle w:val="cTableBody"/>
              <w:spacing w:before="0"/>
            </w:pPr>
            <w:r>
              <w:t>$8M</w:t>
            </w:r>
          </w:p>
        </w:tc>
      </w:tr>
      <w:tr w:rsidR="00FF42B6" w14:paraId="29E99DC2" w14:textId="77777777" w:rsidTr="00322275">
        <w:tc>
          <w:tcPr>
            <w:tcW w:w="1260" w:type="dxa"/>
          </w:tcPr>
          <w:p w14:paraId="5EB5B557" w14:textId="77777777" w:rsidR="00FF42B6" w:rsidRDefault="00FF42B6" w:rsidP="00DD4C0D">
            <w:pPr>
              <w:pStyle w:val="cTableBody"/>
              <w:spacing w:before="0"/>
            </w:pPr>
            <w:r>
              <w:t>10D</w:t>
            </w:r>
          </w:p>
        </w:tc>
        <w:tc>
          <w:tcPr>
            <w:tcW w:w="7708" w:type="dxa"/>
          </w:tcPr>
          <w:p w14:paraId="7BFAA7AA" w14:textId="77777777" w:rsidR="00FF42B6" w:rsidRDefault="00FF42B6" w:rsidP="00DD4C0D">
            <w:pPr>
              <w:pStyle w:val="cTableBody"/>
              <w:spacing w:before="0"/>
            </w:pPr>
            <w:r>
              <w:t>Integrated platform/logistics/rail/tank campaigns</w:t>
            </w:r>
          </w:p>
        </w:tc>
        <w:tc>
          <w:tcPr>
            <w:tcW w:w="846" w:type="dxa"/>
          </w:tcPr>
          <w:p w14:paraId="59FF1586" w14:textId="77777777" w:rsidR="00FF42B6" w:rsidRDefault="00FF42B6" w:rsidP="00DD4C0D">
            <w:pPr>
              <w:pStyle w:val="cTableBody"/>
              <w:spacing w:before="0"/>
            </w:pPr>
            <w:r>
              <w:t>$12M</w:t>
            </w:r>
          </w:p>
        </w:tc>
      </w:tr>
      <w:tr w:rsidR="00FF42B6" w14:paraId="6740EC64" w14:textId="77777777" w:rsidTr="00322275">
        <w:tc>
          <w:tcPr>
            <w:tcW w:w="1260" w:type="dxa"/>
          </w:tcPr>
          <w:p w14:paraId="0255DA6C" w14:textId="77777777" w:rsidR="00FF42B6" w:rsidRDefault="00FF42B6" w:rsidP="00DD4C0D">
            <w:pPr>
              <w:pStyle w:val="cTableBody"/>
              <w:spacing w:before="0"/>
            </w:pPr>
            <w:r>
              <w:t>10E</w:t>
            </w:r>
          </w:p>
        </w:tc>
        <w:tc>
          <w:tcPr>
            <w:tcW w:w="7708" w:type="dxa"/>
          </w:tcPr>
          <w:p w14:paraId="32A90487" w14:textId="77777777" w:rsidR="00FF42B6" w:rsidRDefault="00FF42B6" w:rsidP="00DD4C0D">
            <w:pPr>
              <w:pStyle w:val="cTableBody"/>
              <w:spacing w:before="0"/>
            </w:pPr>
            <w:r>
              <w:t>12–18 months of endurance operation, maintenance and analysis</w:t>
            </w:r>
          </w:p>
        </w:tc>
        <w:tc>
          <w:tcPr>
            <w:tcW w:w="846" w:type="dxa"/>
          </w:tcPr>
          <w:p w14:paraId="191F77BA" w14:textId="77777777" w:rsidR="00FF42B6" w:rsidRDefault="00FF42B6" w:rsidP="00DD4C0D">
            <w:pPr>
              <w:pStyle w:val="cTableBody"/>
              <w:spacing w:before="0"/>
            </w:pPr>
            <w:r>
              <w:t>$15M</w:t>
            </w:r>
          </w:p>
        </w:tc>
      </w:tr>
    </w:tbl>
    <w:p w14:paraId="40B99FA8" w14:textId="77777777" w:rsidR="00FF42B6" w:rsidRDefault="00FF42B6" w:rsidP="00FF42B6">
      <w:pPr>
        <w:pStyle w:val="cSubject"/>
      </w:pPr>
      <w:r>
        <w:t>Work-package hold point</w:t>
      </w:r>
    </w:p>
    <w:p w14:paraId="2C2EB604" w14:textId="77777777" w:rsidR="00FF42B6" w:rsidRDefault="00FF42B6" w:rsidP="00FF42B6">
      <w:pPr>
        <w:spacing w:before="280" w:after="280"/>
      </w:pPr>
      <w:r>
        <w:t>Begin long-duration integrated operation only after test hazards are closed, instrumentation is calibrated, coupon/spool inspection plans are frozen, and stop-work authority is clear.</w:t>
      </w:r>
    </w:p>
    <w:p w14:paraId="170983F5" w14:textId="565B94F9" w:rsidR="00FF42B6" w:rsidRDefault="00496F64" w:rsidP="00FF42B6">
      <w:pPr>
        <w:pStyle w:val="Heading2"/>
        <w:spacing w:before="280"/>
      </w:pPr>
      <w:r>
        <w:t xml:space="preserve">Area </w:t>
      </w:r>
      <w:r w:rsidR="00FF42B6">
        <w:t>11. Program management, safety, techno-economics, and independent review - $25M</w:t>
      </w:r>
    </w:p>
    <w:p w14:paraId="631812F0" w14:textId="77777777" w:rsidR="00FF42B6" w:rsidRDefault="00FF42B6" w:rsidP="00FF42B6">
      <w:r>
        <w:t>Owner-side systems engineering, financial control, HAZOP/functional safety, cost and emissions models, independent verification, public data release, and Phase-II decisions.</w:t>
      </w:r>
    </w:p>
    <w:tbl>
      <w:tblPr>
        <w:tblStyle w:val="gswTableStyle"/>
        <w:tblW w:w="9858" w:type="dxa"/>
        <w:tblLayout w:type="fixed"/>
        <w:tblLook w:val="04A0" w:firstRow="1" w:lastRow="0" w:firstColumn="1" w:lastColumn="0" w:noHBand="0" w:noVBand="1"/>
      </w:tblPr>
      <w:tblGrid>
        <w:gridCol w:w="1258"/>
        <w:gridCol w:w="7484"/>
        <w:gridCol w:w="1116"/>
      </w:tblGrid>
      <w:tr w:rsidR="00FF42B6" w14:paraId="2CCA0618" w14:textId="77777777" w:rsidTr="00322275">
        <w:trPr>
          <w:cnfStyle w:val="100000000000" w:firstRow="1" w:lastRow="0" w:firstColumn="0" w:lastColumn="0" w:oddVBand="0" w:evenVBand="0" w:oddHBand="0" w:evenHBand="0" w:firstRowFirstColumn="0" w:firstRowLastColumn="0" w:lastRowFirstColumn="0" w:lastRowLastColumn="0"/>
        </w:trPr>
        <w:tc>
          <w:tcPr>
            <w:tcW w:w="1258" w:type="dxa"/>
          </w:tcPr>
          <w:p w14:paraId="2D9B5F39" w14:textId="77777777" w:rsidR="00FF42B6" w:rsidRDefault="00FF42B6" w:rsidP="00DD4C0D">
            <w:pPr>
              <w:pStyle w:val="cTableHeader"/>
              <w:spacing w:before="0" w:after="0"/>
            </w:pPr>
            <w:r>
              <w:t>Subphase</w:t>
            </w:r>
          </w:p>
        </w:tc>
        <w:tc>
          <w:tcPr>
            <w:tcW w:w="7484" w:type="dxa"/>
          </w:tcPr>
          <w:p w14:paraId="3CA0E5F9" w14:textId="77777777" w:rsidR="00FF42B6" w:rsidRDefault="00FF42B6" w:rsidP="00DD4C0D">
            <w:pPr>
              <w:pStyle w:val="cTableHeader"/>
              <w:spacing w:before="0" w:after="0"/>
            </w:pPr>
            <w:r>
              <w:t>Principal activity and deliverable</w:t>
            </w:r>
          </w:p>
        </w:tc>
        <w:tc>
          <w:tcPr>
            <w:tcW w:w="1116" w:type="dxa"/>
          </w:tcPr>
          <w:p w14:paraId="03A35A40" w14:textId="77777777" w:rsidR="00FF42B6" w:rsidRDefault="00FF42B6" w:rsidP="00DD4C0D">
            <w:pPr>
              <w:pStyle w:val="cTableHeader"/>
              <w:spacing w:before="0" w:after="0"/>
            </w:pPr>
            <w:r>
              <w:t>Cost</w:t>
            </w:r>
          </w:p>
        </w:tc>
      </w:tr>
      <w:tr w:rsidR="00FF42B6" w14:paraId="16B3A1AD" w14:textId="77777777" w:rsidTr="00322275">
        <w:tc>
          <w:tcPr>
            <w:tcW w:w="1258" w:type="dxa"/>
          </w:tcPr>
          <w:p w14:paraId="5D588D13" w14:textId="77777777" w:rsidR="00FF42B6" w:rsidRDefault="00FF42B6" w:rsidP="00DD4C0D">
            <w:pPr>
              <w:pStyle w:val="cTableBody"/>
              <w:spacing w:before="0"/>
            </w:pPr>
            <w:r>
              <w:t>11A</w:t>
            </w:r>
          </w:p>
        </w:tc>
        <w:tc>
          <w:tcPr>
            <w:tcW w:w="7484" w:type="dxa"/>
          </w:tcPr>
          <w:p w14:paraId="2929013F" w14:textId="77777777" w:rsidR="00FF42B6" w:rsidRDefault="00FF42B6" w:rsidP="00DD4C0D">
            <w:pPr>
              <w:pStyle w:val="cTableBody"/>
              <w:spacing w:before="0"/>
            </w:pPr>
            <w:r>
              <w:t>Program office, procurement and configuration control</w:t>
            </w:r>
          </w:p>
        </w:tc>
        <w:tc>
          <w:tcPr>
            <w:tcW w:w="1116" w:type="dxa"/>
          </w:tcPr>
          <w:p w14:paraId="2521A495" w14:textId="77777777" w:rsidR="00FF42B6" w:rsidRDefault="00FF42B6" w:rsidP="00DD4C0D">
            <w:pPr>
              <w:pStyle w:val="cTableBody"/>
              <w:spacing w:before="0"/>
            </w:pPr>
            <w:r>
              <w:t>$6M</w:t>
            </w:r>
          </w:p>
        </w:tc>
      </w:tr>
      <w:tr w:rsidR="00FF42B6" w14:paraId="4E55DA21" w14:textId="77777777" w:rsidTr="00322275">
        <w:tc>
          <w:tcPr>
            <w:tcW w:w="1258" w:type="dxa"/>
          </w:tcPr>
          <w:p w14:paraId="044E3082" w14:textId="77777777" w:rsidR="00FF42B6" w:rsidRDefault="00FF42B6" w:rsidP="00DD4C0D">
            <w:pPr>
              <w:pStyle w:val="cTableBody"/>
              <w:spacing w:before="0"/>
            </w:pPr>
            <w:r>
              <w:t>11B</w:t>
            </w:r>
          </w:p>
        </w:tc>
        <w:tc>
          <w:tcPr>
            <w:tcW w:w="7484" w:type="dxa"/>
          </w:tcPr>
          <w:p w14:paraId="46A7A9B7" w14:textId="77777777" w:rsidR="00FF42B6" w:rsidRDefault="00FF42B6" w:rsidP="00DD4C0D">
            <w:pPr>
              <w:pStyle w:val="cTableBody"/>
              <w:spacing w:before="0"/>
            </w:pPr>
            <w:r>
              <w:t>HAZOP, functional safety, environmental and marine safety oversight</w:t>
            </w:r>
          </w:p>
        </w:tc>
        <w:tc>
          <w:tcPr>
            <w:tcW w:w="1116" w:type="dxa"/>
          </w:tcPr>
          <w:p w14:paraId="2926BE0E" w14:textId="77777777" w:rsidR="00FF42B6" w:rsidRDefault="00FF42B6" w:rsidP="00DD4C0D">
            <w:pPr>
              <w:pStyle w:val="cTableBody"/>
              <w:spacing w:before="0"/>
            </w:pPr>
            <w:r>
              <w:t>$5M</w:t>
            </w:r>
          </w:p>
        </w:tc>
      </w:tr>
      <w:tr w:rsidR="00FF42B6" w14:paraId="53921E87" w14:textId="77777777" w:rsidTr="00322275">
        <w:tc>
          <w:tcPr>
            <w:tcW w:w="1258" w:type="dxa"/>
          </w:tcPr>
          <w:p w14:paraId="4E9E02EC" w14:textId="77777777" w:rsidR="00FF42B6" w:rsidRDefault="00FF42B6" w:rsidP="00DD4C0D">
            <w:pPr>
              <w:pStyle w:val="cTableBody"/>
              <w:spacing w:before="0"/>
            </w:pPr>
            <w:r>
              <w:t>11C</w:t>
            </w:r>
          </w:p>
        </w:tc>
        <w:tc>
          <w:tcPr>
            <w:tcW w:w="7484" w:type="dxa"/>
          </w:tcPr>
          <w:p w14:paraId="1EE2F6E5" w14:textId="77777777" w:rsidR="00FF42B6" w:rsidRDefault="00FF42B6" w:rsidP="00DD4C0D">
            <w:pPr>
              <w:pStyle w:val="cTableBody"/>
              <w:spacing w:before="0"/>
            </w:pPr>
            <w:r>
              <w:t>Techno-economics, lifecycle emissions, logistics and fossil benchmarks</w:t>
            </w:r>
          </w:p>
        </w:tc>
        <w:tc>
          <w:tcPr>
            <w:tcW w:w="1116" w:type="dxa"/>
          </w:tcPr>
          <w:p w14:paraId="04267CE5" w14:textId="77777777" w:rsidR="00FF42B6" w:rsidRDefault="00FF42B6" w:rsidP="00DD4C0D">
            <w:pPr>
              <w:pStyle w:val="cTableBody"/>
              <w:spacing w:before="0"/>
            </w:pPr>
            <w:r>
              <w:t>$5M</w:t>
            </w:r>
          </w:p>
        </w:tc>
      </w:tr>
      <w:tr w:rsidR="00FF42B6" w14:paraId="5C645A91" w14:textId="77777777" w:rsidTr="00322275">
        <w:tc>
          <w:tcPr>
            <w:tcW w:w="1258" w:type="dxa"/>
          </w:tcPr>
          <w:p w14:paraId="27AA09DF" w14:textId="77777777" w:rsidR="00FF42B6" w:rsidRDefault="00FF42B6" w:rsidP="00DD4C0D">
            <w:pPr>
              <w:pStyle w:val="cTableBody"/>
              <w:spacing w:before="0"/>
            </w:pPr>
            <w:r>
              <w:t>11D</w:t>
            </w:r>
          </w:p>
        </w:tc>
        <w:tc>
          <w:tcPr>
            <w:tcW w:w="7484" w:type="dxa"/>
          </w:tcPr>
          <w:p w14:paraId="414967E9" w14:textId="77777777" w:rsidR="00FF42B6" w:rsidRDefault="00FF42B6" w:rsidP="00DD4C0D">
            <w:pPr>
              <w:pStyle w:val="cTableBody"/>
              <w:spacing w:before="0"/>
            </w:pPr>
            <w:r>
              <w:t>Independent technical/cost audits and replication</w:t>
            </w:r>
          </w:p>
        </w:tc>
        <w:tc>
          <w:tcPr>
            <w:tcW w:w="1116" w:type="dxa"/>
          </w:tcPr>
          <w:p w14:paraId="38241C74" w14:textId="77777777" w:rsidR="00FF42B6" w:rsidRDefault="00FF42B6" w:rsidP="00DD4C0D">
            <w:pPr>
              <w:pStyle w:val="cTableBody"/>
              <w:spacing w:before="0"/>
            </w:pPr>
            <w:r>
              <w:t>$5M</w:t>
            </w:r>
          </w:p>
        </w:tc>
      </w:tr>
      <w:tr w:rsidR="00FF42B6" w14:paraId="568C9891" w14:textId="77777777" w:rsidTr="00322275">
        <w:tc>
          <w:tcPr>
            <w:tcW w:w="1258" w:type="dxa"/>
          </w:tcPr>
          <w:p w14:paraId="10F35102" w14:textId="77777777" w:rsidR="00FF42B6" w:rsidRDefault="00FF42B6" w:rsidP="00DD4C0D">
            <w:pPr>
              <w:pStyle w:val="cTableBody"/>
              <w:spacing w:before="0"/>
            </w:pPr>
            <w:r>
              <w:t>11E</w:t>
            </w:r>
          </w:p>
        </w:tc>
        <w:tc>
          <w:tcPr>
            <w:tcW w:w="7484" w:type="dxa"/>
          </w:tcPr>
          <w:p w14:paraId="61777585" w14:textId="77777777" w:rsidR="00FF42B6" w:rsidRDefault="00FF42B6" w:rsidP="00DD4C0D">
            <w:pPr>
              <w:pStyle w:val="cTableBody"/>
              <w:spacing w:before="0"/>
            </w:pPr>
            <w:r>
              <w:t>Final Phase-II decision packages and public data release</w:t>
            </w:r>
          </w:p>
        </w:tc>
        <w:tc>
          <w:tcPr>
            <w:tcW w:w="1116" w:type="dxa"/>
          </w:tcPr>
          <w:p w14:paraId="3EE44735" w14:textId="77777777" w:rsidR="00FF42B6" w:rsidRDefault="00FF42B6" w:rsidP="00DD4C0D">
            <w:pPr>
              <w:pStyle w:val="cTableBody"/>
              <w:spacing w:before="0"/>
            </w:pPr>
            <w:r>
              <w:t>$4M</w:t>
            </w:r>
          </w:p>
        </w:tc>
      </w:tr>
    </w:tbl>
    <w:p w14:paraId="6AC5C41F" w14:textId="77777777" w:rsidR="00FF42B6" w:rsidRDefault="00FF42B6" w:rsidP="00FF42B6">
      <w:pPr>
        <w:pStyle w:val="cSubject"/>
      </w:pPr>
      <w:r>
        <w:t>Work-package hold point</w:t>
      </w:r>
    </w:p>
    <w:p w14:paraId="4001C41C" w14:textId="77777777" w:rsidR="00FF42B6" w:rsidRDefault="00FF42B6" w:rsidP="00FF42B6">
      <w:pPr>
        <w:spacing w:before="280" w:after="280"/>
      </w:pPr>
      <w:r>
        <w:lastRenderedPageBreak/>
        <w:t>Release public performance/cost claims only after independent replication of key data and explicit separation of measured results from scenario assumptions.</w:t>
      </w:r>
    </w:p>
    <w:p w14:paraId="1ECD40EA" w14:textId="77777777" w:rsidR="00FF42B6" w:rsidRDefault="00FF42B6" w:rsidP="00FF42B6">
      <w:pPr>
        <w:pStyle w:val="Heading2"/>
        <w:spacing w:before="0" w:after="0"/>
      </w:pPr>
      <w:r>
        <w:t>Central contingency and risk reserve - $200M</w:t>
      </w:r>
    </w:p>
    <w:tbl>
      <w:tblPr>
        <w:tblStyle w:val="gswTableStyle"/>
        <w:tblW w:w="9768" w:type="dxa"/>
        <w:tblLayout w:type="fixed"/>
        <w:tblLook w:val="04A0" w:firstRow="1" w:lastRow="0" w:firstColumn="1" w:lastColumn="0" w:noHBand="0" w:noVBand="1"/>
      </w:tblPr>
      <w:tblGrid>
        <w:gridCol w:w="2582"/>
        <w:gridCol w:w="1123"/>
        <w:gridCol w:w="6063"/>
      </w:tblGrid>
      <w:tr w:rsidR="00FF42B6" w14:paraId="7410DE92" w14:textId="77777777" w:rsidTr="00322275">
        <w:trPr>
          <w:cnfStyle w:val="100000000000" w:firstRow="1" w:lastRow="0" w:firstColumn="0" w:lastColumn="0" w:oddVBand="0" w:evenVBand="0" w:oddHBand="0" w:evenHBand="0" w:firstRowFirstColumn="0" w:firstRowLastColumn="0" w:lastRowFirstColumn="0" w:lastRowLastColumn="0"/>
        </w:trPr>
        <w:tc>
          <w:tcPr>
            <w:tcW w:w="2582" w:type="dxa"/>
          </w:tcPr>
          <w:p w14:paraId="43400336" w14:textId="77777777" w:rsidR="00FF42B6" w:rsidRDefault="00FF42B6" w:rsidP="00DD4C0D">
            <w:pPr>
              <w:pStyle w:val="cTableHeader"/>
              <w:spacing w:before="0" w:after="0"/>
            </w:pPr>
            <w:r>
              <w:t>Reserve stage</w:t>
            </w:r>
          </w:p>
        </w:tc>
        <w:tc>
          <w:tcPr>
            <w:tcW w:w="1123" w:type="dxa"/>
          </w:tcPr>
          <w:p w14:paraId="09C7FCEC" w14:textId="77777777" w:rsidR="00FF42B6" w:rsidRDefault="00FF42B6" w:rsidP="00DD4C0D">
            <w:pPr>
              <w:pStyle w:val="cTableHeader"/>
              <w:spacing w:before="0" w:after="0"/>
            </w:pPr>
            <w:r>
              <w:t>Maximum</w:t>
            </w:r>
          </w:p>
        </w:tc>
        <w:tc>
          <w:tcPr>
            <w:tcW w:w="6063" w:type="dxa"/>
          </w:tcPr>
          <w:p w14:paraId="583E9617" w14:textId="77777777" w:rsidR="00FF42B6" w:rsidRDefault="00FF42B6" w:rsidP="00DD4C0D">
            <w:pPr>
              <w:pStyle w:val="cTableHeader"/>
              <w:spacing w:before="0" w:after="0"/>
            </w:pPr>
            <w:r>
              <w:t>Examples</w:t>
            </w:r>
          </w:p>
        </w:tc>
      </w:tr>
      <w:tr w:rsidR="00FF42B6" w14:paraId="1A1527AB" w14:textId="77777777" w:rsidTr="00322275">
        <w:tc>
          <w:tcPr>
            <w:tcW w:w="2582" w:type="dxa"/>
          </w:tcPr>
          <w:p w14:paraId="46378EA9" w14:textId="77777777" w:rsidR="00FF42B6" w:rsidRDefault="00FF42B6" w:rsidP="00DD4C0D">
            <w:pPr>
              <w:pStyle w:val="cTableBody"/>
              <w:spacing w:before="0"/>
            </w:pPr>
            <w:r>
              <w:t>Requirements / architecture</w:t>
            </w:r>
          </w:p>
        </w:tc>
        <w:tc>
          <w:tcPr>
            <w:tcW w:w="1123" w:type="dxa"/>
          </w:tcPr>
          <w:p w14:paraId="5C68BA8A" w14:textId="77777777" w:rsidR="00FF42B6" w:rsidRDefault="00FF42B6" w:rsidP="00DD4C0D">
            <w:pPr>
              <w:pStyle w:val="cTableBody"/>
              <w:spacing w:before="0"/>
            </w:pPr>
            <w:r>
              <w:t>$25M</w:t>
            </w:r>
          </w:p>
        </w:tc>
        <w:tc>
          <w:tcPr>
            <w:tcW w:w="6063" w:type="dxa"/>
          </w:tcPr>
          <w:p w14:paraId="38C93579" w14:textId="77777777" w:rsidR="00FF42B6" w:rsidRDefault="00FF42B6" w:rsidP="00DD4C0D">
            <w:pPr>
              <w:pStyle w:val="cTableBody"/>
              <w:spacing w:before="0"/>
            </w:pPr>
            <w:r>
              <w:t>Design-data limits, alternative platform geometry, site/port constraints, standards gaps.</w:t>
            </w:r>
          </w:p>
        </w:tc>
      </w:tr>
      <w:tr w:rsidR="00FF42B6" w14:paraId="4973C730" w14:textId="77777777" w:rsidTr="00322275">
        <w:tc>
          <w:tcPr>
            <w:tcW w:w="2582" w:type="dxa"/>
          </w:tcPr>
          <w:p w14:paraId="389F9440" w14:textId="77777777" w:rsidR="00FF42B6" w:rsidRDefault="00FF42B6" w:rsidP="00DD4C0D">
            <w:pPr>
              <w:pStyle w:val="cTableBody"/>
              <w:spacing w:before="0"/>
            </w:pPr>
            <w:r>
              <w:t>Prototype design</w:t>
            </w:r>
          </w:p>
        </w:tc>
        <w:tc>
          <w:tcPr>
            <w:tcW w:w="1123" w:type="dxa"/>
          </w:tcPr>
          <w:p w14:paraId="5D073FE1" w14:textId="77777777" w:rsidR="00FF42B6" w:rsidRDefault="00FF42B6" w:rsidP="00DD4C0D">
            <w:pPr>
              <w:pStyle w:val="cTableBody"/>
              <w:spacing w:before="0"/>
            </w:pPr>
            <w:r>
              <w:t>$40M</w:t>
            </w:r>
          </w:p>
        </w:tc>
        <w:tc>
          <w:tcPr>
            <w:tcW w:w="6063" w:type="dxa"/>
          </w:tcPr>
          <w:p w14:paraId="7A2A7267" w14:textId="77777777" w:rsidR="00FF42B6" w:rsidRDefault="00FF42B6" w:rsidP="00DD4C0D">
            <w:pPr>
              <w:pStyle w:val="cTableBody"/>
              <w:spacing w:before="0"/>
            </w:pPr>
            <w:r>
              <w:t>Failed stack, catalyst, heat exchanger, transport, rail, tank, welding, materials or safety tests.</w:t>
            </w:r>
          </w:p>
        </w:tc>
      </w:tr>
      <w:tr w:rsidR="00FF42B6" w14:paraId="44954DF0" w14:textId="77777777" w:rsidTr="00322275">
        <w:tc>
          <w:tcPr>
            <w:tcW w:w="2582" w:type="dxa"/>
          </w:tcPr>
          <w:p w14:paraId="79AD5A52" w14:textId="77777777" w:rsidR="00FF42B6" w:rsidRDefault="00FF42B6" w:rsidP="00DD4C0D">
            <w:pPr>
              <w:pStyle w:val="cTableBody"/>
              <w:spacing w:before="0"/>
            </w:pPr>
            <w:r>
              <w:t>Fabrication / campus</w:t>
            </w:r>
          </w:p>
        </w:tc>
        <w:tc>
          <w:tcPr>
            <w:tcW w:w="1123" w:type="dxa"/>
          </w:tcPr>
          <w:p w14:paraId="0A6EEC7C" w14:textId="77777777" w:rsidR="00FF42B6" w:rsidRDefault="00FF42B6" w:rsidP="00DD4C0D">
            <w:pPr>
              <w:pStyle w:val="cTableBody"/>
              <w:spacing w:before="0"/>
            </w:pPr>
            <w:r>
              <w:t>$55M</w:t>
            </w:r>
          </w:p>
        </w:tc>
        <w:tc>
          <w:tcPr>
            <w:tcW w:w="6063" w:type="dxa"/>
          </w:tcPr>
          <w:p w14:paraId="5C730BB7" w14:textId="77777777" w:rsidR="00FF42B6" w:rsidRDefault="00FF42B6" w:rsidP="00DD4C0D">
            <w:pPr>
              <w:pStyle w:val="cTableBody"/>
              <w:spacing w:before="0"/>
            </w:pPr>
            <w:r>
              <w:t>Supplier failure, long-lead equipment, rework, test-site changes, replacement prototypes.</w:t>
            </w:r>
          </w:p>
        </w:tc>
      </w:tr>
      <w:tr w:rsidR="00FF42B6" w14:paraId="2A96A414" w14:textId="77777777" w:rsidTr="00322275">
        <w:tc>
          <w:tcPr>
            <w:tcW w:w="2582" w:type="dxa"/>
          </w:tcPr>
          <w:p w14:paraId="2EDBBD97" w14:textId="77777777" w:rsidR="00FF42B6" w:rsidRDefault="00FF42B6" w:rsidP="00DD4C0D">
            <w:pPr>
              <w:pStyle w:val="cTableBody"/>
              <w:spacing w:before="0"/>
            </w:pPr>
            <w:r>
              <w:t>Integration / endurance</w:t>
            </w:r>
          </w:p>
        </w:tc>
        <w:tc>
          <w:tcPr>
            <w:tcW w:w="1123" w:type="dxa"/>
          </w:tcPr>
          <w:p w14:paraId="3F0515AF" w14:textId="77777777" w:rsidR="00FF42B6" w:rsidRDefault="00FF42B6" w:rsidP="00DD4C0D">
            <w:pPr>
              <w:pStyle w:val="cTableBody"/>
              <w:spacing w:before="0"/>
            </w:pPr>
            <w:r>
              <w:t>$60M</w:t>
            </w:r>
          </w:p>
        </w:tc>
        <w:tc>
          <w:tcPr>
            <w:tcW w:w="6063" w:type="dxa"/>
          </w:tcPr>
          <w:p w14:paraId="411DAD85" w14:textId="77777777" w:rsidR="00FF42B6" w:rsidRDefault="00FF42B6" w:rsidP="00DD4C0D">
            <w:pPr>
              <w:pStyle w:val="cTableBody"/>
              <w:spacing w:before="0"/>
            </w:pPr>
            <w:r>
              <w:t>Damaged hardware, accelerated degradation, additional campaigns, redesign after long-duration failures.</w:t>
            </w:r>
          </w:p>
        </w:tc>
      </w:tr>
      <w:tr w:rsidR="00FF42B6" w14:paraId="7BA5C7BE" w14:textId="77777777" w:rsidTr="00322275">
        <w:tc>
          <w:tcPr>
            <w:tcW w:w="2582" w:type="dxa"/>
          </w:tcPr>
          <w:p w14:paraId="70216828" w14:textId="77777777" w:rsidR="00FF42B6" w:rsidRDefault="00FF42B6" w:rsidP="00DD4C0D">
            <w:pPr>
              <w:pStyle w:val="cTableBody"/>
              <w:spacing w:before="0"/>
            </w:pPr>
            <w:r>
              <w:t>Final readiness</w:t>
            </w:r>
          </w:p>
        </w:tc>
        <w:tc>
          <w:tcPr>
            <w:tcW w:w="1123" w:type="dxa"/>
          </w:tcPr>
          <w:p w14:paraId="4CA5BF04" w14:textId="77777777" w:rsidR="00FF42B6" w:rsidRDefault="00FF42B6" w:rsidP="00DD4C0D">
            <w:pPr>
              <w:pStyle w:val="cTableBody"/>
              <w:spacing w:before="0"/>
            </w:pPr>
            <w:r>
              <w:t>$20M</w:t>
            </w:r>
          </w:p>
        </w:tc>
        <w:tc>
          <w:tcPr>
            <w:tcW w:w="6063" w:type="dxa"/>
          </w:tcPr>
          <w:p w14:paraId="0D9DD94B" w14:textId="77777777" w:rsidR="00FF42B6" w:rsidRDefault="00FF42B6" w:rsidP="00DD4C0D">
            <w:pPr>
              <w:pStyle w:val="cTableBody"/>
              <w:spacing w:before="0"/>
            </w:pPr>
            <w:r>
              <w:t>Additional reliability runs, conformance tests, standards work, model replication and deficiency closure.</w:t>
            </w:r>
          </w:p>
        </w:tc>
      </w:tr>
    </w:tbl>
    <w:p w14:paraId="21ECB864" w14:textId="77777777" w:rsidR="00FF5FB9" w:rsidRDefault="00FF5FB9" w:rsidP="00FF5FB9">
      <w:pPr>
        <w:pStyle w:val="Heading1"/>
        <w:spacing w:before="0" w:after="0"/>
      </w:pPr>
      <w:bookmarkStart w:id="25" w:name="_Toc237471104"/>
      <w:bookmarkStart w:id="26" w:name="_Toc238129759"/>
      <w:bookmarkStart w:id="27" w:name="_Toc238205546"/>
      <w:bookmarkEnd w:id="24"/>
      <w:r>
        <w:lastRenderedPageBreak/>
        <w:t>Nuclear Energy Cost Assumptions</w:t>
      </w:r>
      <w:bookmarkEnd w:id="25"/>
      <w:bookmarkEnd w:id="26"/>
      <w:bookmarkEnd w:id="27"/>
    </w:p>
    <w:p w14:paraId="116A8B41" w14:textId="77777777" w:rsidR="00FF5FB9" w:rsidRDefault="00FF5FB9" w:rsidP="00FF5FB9">
      <w:pPr>
        <w:pStyle w:val="cUserPromptText"/>
        <w:spacing w:before="280" w:after="280"/>
      </w:pPr>
      <w:r>
        <w:rPr>
          <w:b/>
        </w:rPr>
        <w:t xml:space="preserve">Prompt to AI: </w:t>
      </w:r>
      <w:r>
        <w:t>Use the enclosed “cmp_fission_automate_site_construction,v2j.docx” as the cost basis for Automated China PWR and Automated China HTR-PM electricity and heat. Summarize the ranges and central planning values used by this industrial-processing initiative.</w:t>
      </w:r>
    </w:p>
    <w:p w14:paraId="3F6CF58F" w14:textId="77777777" w:rsidR="00FF5FB9" w:rsidRDefault="00FF5FB9" w:rsidP="00FF5FB9">
      <w:pPr>
        <w:spacing w:before="280" w:after="280"/>
      </w:pPr>
      <w:r>
        <w:rPr>
          <w:b/>
          <w:color w:val="4F81BD"/>
          <w:u w:val="single"/>
        </w:rPr>
        <w:t>Response From AI:</w:t>
      </w:r>
    </w:p>
    <w:p w14:paraId="52154A96" w14:textId="77777777" w:rsidR="00FF5FB9" w:rsidRDefault="00FF5FB9" w:rsidP="00FF5FB9">
      <w:r>
        <w:t>The industrial-processing proposal adopts the enclosed nuclear site-construction initiative values as planning scenarios. They are not demonstrated market prices. They allow the platform program to compare which industrial heat routes are worth testing and to determine how much platform/logistics cost can be tolerated before a fossil incumbent becomes cheaper.</w:t>
      </w:r>
    </w:p>
    <w:tbl>
      <w:tblPr>
        <w:tblStyle w:val="gswTableStyle"/>
        <w:tblW w:w="10063" w:type="dxa"/>
        <w:tblLayout w:type="fixed"/>
        <w:tblLook w:val="04A0" w:firstRow="1" w:lastRow="0" w:firstColumn="1" w:lastColumn="0" w:noHBand="0" w:noVBand="1"/>
      </w:tblPr>
      <w:tblGrid>
        <w:gridCol w:w="1459"/>
        <w:gridCol w:w="1043"/>
        <w:gridCol w:w="1408"/>
        <w:gridCol w:w="1207"/>
        <w:gridCol w:w="1301"/>
        <w:gridCol w:w="1286"/>
        <w:gridCol w:w="2359"/>
      </w:tblGrid>
      <w:tr w:rsidR="00FF5FB9" w14:paraId="7483FACA" w14:textId="77777777" w:rsidTr="00322275">
        <w:trPr>
          <w:cnfStyle w:val="100000000000" w:firstRow="1" w:lastRow="0" w:firstColumn="0" w:lastColumn="0" w:oddVBand="0" w:evenVBand="0" w:oddHBand="0" w:evenHBand="0" w:firstRowFirstColumn="0" w:firstRowLastColumn="0" w:lastRowFirstColumn="0" w:lastRowLastColumn="0"/>
        </w:trPr>
        <w:tc>
          <w:tcPr>
            <w:tcW w:w="1459" w:type="dxa"/>
          </w:tcPr>
          <w:p w14:paraId="15DB3BF4" w14:textId="77777777" w:rsidR="00FF5FB9" w:rsidRDefault="00FF5FB9" w:rsidP="00803B8D">
            <w:pPr>
              <w:pStyle w:val="cTableHeader"/>
              <w:spacing w:before="0" w:after="0"/>
            </w:pPr>
            <w:r>
              <w:t>China nuclear case</w:t>
            </w:r>
          </w:p>
        </w:tc>
        <w:tc>
          <w:tcPr>
            <w:tcW w:w="1043" w:type="dxa"/>
          </w:tcPr>
          <w:p w14:paraId="1697C2DB" w14:textId="77777777" w:rsidR="00FF5FB9" w:rsidRDefault="00FF5FB9" w:rsidP="00803B8D">
            <w:pPr>
              <w:pStyle w:val="cTableHeader"/>
              <w:spacing w:before="0" w:after="0"/>
            </w:pPr>
            <w:r>
              <w:t>Build time</w:t>
            </w:r>
          </w:p>
        </w:tc>
        <w:tc>
          <w:tcPr>
            <w:tcW w:w="1408" w:type="dxa"/>
          </w:tcPr>
          <w:p w14:paraId="571AFC69" w14:textId="77777777" w:rsidR="00FF5FB9" w:rsidRDefault="00FF5FB9" w:rsidP="00803B8D">
            <w:pPr>
              <w:pStyle w:val="cTableHeader"/>
              <w:spacing w:before="0" w:after="0"/>
            </w:pPr>
            <w:r>
              <w:t>Overnight CAPEX</w:t>
            </w:r>
            <w:r>
              <w:br/>
              <w:t>($/W</w:t>
            </w:r>
            <w:r w:rsidRPr="001C0A71">
              <w:rPr>
                <w:rFonts w:ascii="Cambria Math" w:hAnsi="Cambria Math" w:cs="Cambria Math"/>
                <w:vertAlign w:val="subscript"/>
              </w:rPr>
              <w:t>e</w:t>
            </w:r>
            <w:r>
              <w:rPr>
                <w:rFonts w:ascii="Cambria Math" w:hAnsi="Cambria Math" w:cs="Cambria Math"/>
              </w:rPr>
              <w:t>)</w:t>
            </w:r>
          </w:p>
        </w:tc>
        <w:tc>
          <w:tcPr>
            <w:tcW w:w="1207" w:type="dxa"/>
          </w:tcPr>
          <w:p w14:paraId="41523278" w14:textId="77777777" w:rsidR="00FF5FB9" w:rsidRDefault="00FF5FB9" w:rsidP="00803B8D">
            <w:pPr>
              <w:pStyle w:val="cTableHeader"/>
              <w:spacing w:before="0" w:after="0"/>
              <w:rPr>
                <w:b/>
              </w:rPr>
            </w:pPr>
            <w:r>
              <w:t>Electricity LCOE</w:t>
            </w:r>
          </w:p>
          <w:p w14:paraId="0966F5C5" w14:textId="77777777" w:rsidR="00FF5FB9" w:rsidRDefault="00FF5FB9" w:rsidP="00803B8D">
            <w:pPr>
              <w:pStyle w:val="cTableHeader"/>
              <w:spacing w:before="0" w:after="0"/>
            </w:pPr>
            <w:r>
              <w:t>($/MWh</w:t>
            </w:r>
            <w:r w:rsidRPr="001C0A71">
              <w:rPr>
                <w:rFonts w:ascii="Cambria Math" w:hAnsi="Cambria Math" w:cs="Cambria Math"/>
                <w:vertAlign w:val="subscript"/>
              </w:rPr>
              <w:t>e</w:t>
            </w:r>
            <w:r>
              <w:rPr>
                <w:rFonts w:ascii="Cambria Math" w:hAnsi="Cambria Math" w:cs="Cambria Math"/>
              </w:rPr>
              <w:t>)</w:t>
            </w:r>
          </w:p>
        </w:tc>
        <w:tc>
          <w:tcPr>
            <w:tcW w:w="1301" w:type="dxa"/>
          </w:tcPr>
          <w:p w14:paraId="4DEF47AE" w14:textId="77777777" w:rsidR="00FF5FB9" w:rsidRDefault="00FF5FB9" w:rsidP="00803B8D">
            <w:pPr>
              <w:pStyle w:val="cTableHeader"/>
              <w:spacing w:before="0" w:after="0"/>
            </w:pPr>
            <w:r>
              <w:t>Heat LCOE</w:t>
            </w:r>
            <w:r>
              <w:br/>
              <w:t>($/MWh</w:t>
            </w:r>
            <w:r>
              <w:rPr>
                <w:rFonts w:ascii="Cambria Math" w:hAnsi="Cambria Math" w:cs="Cambria Math"/>
              </w:rPr>
              <w:t>ₜₕ)</w:t>
            </w:r>
          </w:p>
        </w:tc>
        <w:tc>
          <w:tcPr>
            <w:tcW w:w="1286" w:type="dxa"/>
          </w:tcPr>
          <w:p w14:paraId="6F9DB221" w14:textId="77777777" w:rsidR="00FF5FB9" w:rsidRDefault="00FF5FB9" w:rsidP="00803B8D">
            <w:pPr>
              <w:pStyle w:val="cTableHeader"/>
              <w:spacing w:before="0" w:after="0"/>
            </w:pPr>
            <w:r>
              <w:t>Central planning value</w:t>
            </w:r>
          </w:p>
        </w:tc>
        <w:tc>
          <w:tcPr>
            <w:tcW w:w="2359" w:type="dxa"/>
          </w:tcPr>
          <w:p w14:paraId="0FC7869D" w14:textId="77777777" w:rsidR="00FF5FB9" w:rsidRDefault="00FF5FB9" w:rsidP="00803B8D">
            <w:pPr>
              <w:pStyle w:val="cTableHeader"/>
              <w:spacing w:before="0" w:after="0"/>
            </w:pPr>
            <w:r>
              <w:t>Heat-quality implication</w:t>
            </w:r>
          </w:p>
        </w:tc>
      </w:tr>
      <w:tr w:rsidR="00FF5FB9" w14:paraId="6270EDA9" w14:textId="77777777" w:rsidTr="00322275">
        <w:tc>
          <w:tcPr>
            <w:tcW w:w="1459" w:type="dxa"/>
          </w:tcPr>
          <w:p w14:paraId="06391BB6" w14:textId="77777777" w:rsidR="00FF5FB9" w:rsidRDefault="00FF5FB9" w:rsidP="00803B8D">
            <w:pPr>
              <w:pStyle w:val="cTableBody"/>
              <w:spacing w:before="0"/>
              <w:jc w:val="center"/>
            </w:pPr>
            <w:r>
              <w:t>Automated China HTR-PM</w:t>
            </w:r>
          </w:p>
        </w:tc>
        <w:tc>
          <w:tcPr>
            <w:tcW w:w="1043" w:type="dxa"/>
          </w:tcPr>
          <w:p w14:paraId="57E8C033" w14:textId="77777777" w:rsidR="00FF5FB9" w:rsidRDefault="00FF5FB9" w:rsidP="00803B8D">
            <w:pPr>
              <w:pStyle w:val="cTableBody"/>
              <w:spacing w:before="0"/>
              <w:jc w:val="center"/>
            </w:pPr>
            <w:r>
              <w:t>3–4 yr</w:t>
            </w:r>
          </w:p>
        </w:tc>
        <w:tc>
          <w:tcPr>
            <w:tcW w:w="1408" w:type="dxa"/>
          </w:tcPr>
          <w:p w14:paraId="17224F61" w14:textId="77777777" w:rsidR="00FF5FB9" w:rsidRDefault="00FF5FB9" w:rsidP="00803B8D">
            <w:pPr>
              <w:pStyle w:val="cTableBody"/>
              <w:spacing w:before="0"/>
              <w:jc w:val="center"/>
            </w:pPr>
            <w:r>
              <w:t>$1.70 – $2.10</w:t>
            </w:r>
          </w:p>
        </w:tc>
        <w:tc>
          <w:tcPr>
            <w:tcW w:w="1207" w:type="dxa"/>
          </w:tcPr>
          <w:p w14:paraId="1A4BF077" w14:textId="77777777" w:rsidR="00FF5FB9" w:rsidRDefault="00FF5FB9" w:rsidP="00803B8D">
            <w:pPr>
              <w:pStyle w:val="cTableBody"/>
              <w:spacing w:before="0"/>
              <w:jc w:val="center"/>
            </w:pPr>
            <w:r>
              <w:t>$32 – $41</w:t>
            </w:r>
          </w:p>
        </w:tc>
        <w:tc>
          <w:tcPr>
            <w:tcW w:w="1301" w:type="dxa"/>
          </w:tcPr>
          <w:p w14:paraId="6E54CFDB" w14:textId="77777777" w:rsidR="00FF5FB9" w:rsidRDefault="00FF5FB9" w:rsidP="00803B8D">
            <w:pPr>
              <w:pStyle w:val="cTableBody"/>
              <w:spacing w:before="0"/>
              <w:jc w:val="center"/>
            </w:pPr>
            <w:r>
              <w:t>~$13 – $17</w:t>
            </w:r>
          </w:p>
        </w:tc>
        <w:tc>
          <w:tcPr>
            <w:tcW w:w="1286" w:type="dxa"/>
          </w:tcPr>
          <w:p w14:paraId="46B70177" w14:textId="77777777" w:rsidR="00FF5FB9" w:rsidRDefault="00FF5FB9" w:rsidP="00803B8D">
            <w:pPr>
              <w:pStyle w:val="cTableBody"/>
              <w:spacing w:before="0"/>
            </w:pPr>
            <w:r>
              <w:t>~$37/MWhₑ; ~$15/MWh</w:t>
            </w:r>
            <w:r>
              <w:rPr>
                <w:rFonts w:ascii="Cambria Math" w:hAnsi="Cambria Math" w:cs="Cambria Math"/>
              </w:rPr>
              <w:t>ₜₕ</w:t>
            </w:r>
          </w:p>
        </w:tc>
        <w:tc>
          <w:tcPr>
            <w:tcW w:w="2359" w:type="dxa"/>
          </w:tcPr>
          <w:p w14:paraId="75C00446" w14:textId="77777777" w:rsidR="00FF5FB9" w:rsidRDefault="00FF5FB9" w:rsidP="00803B8D">
            <w:pPr>
              <w:pStyle w:val="cTableBody"/>
              <w:spacing w:before="0"/>
            </w:pPr>
            <w:r>
              <w:t>~520–567°C steam; strongest for 300–500°C process heat</w:t>
            </w:r>
          </w:p>
        </w:tc>
      </w:tr>
      <w:tr w:rsidR="00FF5FB9" w14:paraId="4D2931DE" w14:textId="77777777" w:rsidTr="00322275">
        <w:tc>
          <w:tcPr>
            <w:tcW w:w="1459" w:type="dxa"/>
          </w:tcPr>
          <w:p w14:paraId="215A4C88" w14:textId="77777777" w:rsidR="00FF5FB9" w:rsidRDefault="00FF5FB9" w:rsidP="00803B8D">
            <w:pPr>
              <w:pStyle w:val="cTableBody"/>
              <w:spacing w:before="0"/>
              <w:jc w:val="center"/>
            </w:pPr>
            <w:r>
              <w:t>Automated China PWR</w:t>
            </w:r>
          </w:p>
        </w:tc>
        <w:tc>
          <w:tcPr>
            <w:tcW w:w="1043" w:type="dxa"/>
          </w:tcPr>
          <w:p w14:paraId="2036B29C" w14:textId="77777777" w:rsidR="00FF5FB9" w:rsidRDefault="00FF5FB9" w:rsidP="00803B8D">
            <w:pPr>
              <w:pStyle w:val="cTableBody"/>
              <w:spacing w:before="0"/>
              <w:jc w:val="center"/>
            </w:pPr>
            <w:r>
              <w:t>3.5–4.5 yr</w:t>
            </w:r>
          </w:p>
        </w:tc>
        <w:tc>
          <w:tcPr>
            <w:tcW w:w="1408" w:type="dxa"/>
          </w:tcPr>
          <w:p w14:paraId="6D6EBCCC" w14:textId="77777777" w:rsidR="00FF5FB9" w:rsidRDefault="00FF5FB9" w:rsidP="00803B8D">
            <w:pPr>
              <w:pStyle w:val="cTableBody"/>
              <w:spacing w:before="0"/>
              <w:jc w:val="center"/>
            </w:pPr>
            <w:r>
              <w:t>$1.45 – $1.75</w:t>
            </w:r>
          </w:p>
        </w:tc>
        <w:tc>
          <w:tcPr>
            <w:tcW w:w="1207" w:type="dxa"/>
          </w:tcPr>
          <w:p w14:paraId="4C4DCBCE" w14:textId="77777777" w:rsidR="00FF5FB9" w:rsidRDefault="00FF5FB9" w:rsidP="00803B8D">
            <w:pPr>
              <w:pStyle w:val="cTableBody"/>
              <w:spacing w:before="0"/>
              <w:jc w:val="center"/>
            </w:pPr>
            <w:r>
              <w:t>$27 – $34</w:t>
            </w:r>
          </w:p>
        </w:tc>
        <w:tc>
          <w:tcPr>
            <w:tcW w:w="1301" w:type="dxa"/>
          </w:tcPr>
          <w:p w14:paraId="5F9074AD" w14:textId="77777777" w:rsidR="00FF5FB9" w:rsidRDefault="00FF5FB9" w:rsidP="00803B8D">
            <w:pPr>
              <w:pStyle w:val="cTableBody"/>
              <w:spacing w:before="0"/>
              <w:jc w:val="center"/>
            </w:pPr>
            <w:r>
              <w:t>~$9 – $11</w:t>
            </w:r>
          </w:p>
        </w:tc>
        <w:tc>
          <w:tcPr>
            <w:tcW w:w="1286" w:type="dxa"/>
          </w:tcPr>
          <w:p w14:paraId="43D8FEB1" w14:textId="77777777" w:rsidR="00FF5FB9" w:rsidRDefault="00FF5FB9" w:rsidP="00803B8D">
            <w:pPr>
              <w:pStyle w:val="cTableBody"/>
              <w:spacing w:before="0"/>
            </w:pPr>
            <w:r>
              <w:t>~$31/MWhₑ; ~$10/MWh</w:t>
            </w:r>
            <w:r>
              <w:rPr>
                <w:rFonts w:ascii="Cambria Math" w:hAnsi="Cambria Math" w:cs="Cambria Math"/>
              </w:rPr>
              <w:t>ₜₕ</w:t>
            </w:r>
          </w:p>
        </w:tc>
        <w:tc>
          <w:tcPr>
            <w:tcW w:w="2359" w:type="dxa"/>
          </w:tcPr>
          <w:p w14:paraId="76AFB114" w14:textId="77777777" w:rsidR="00FF5FB9" w:rsidRDefault="00FF5FB9" w:rsidP="00803B8D">
            <w:pPr>
              <w:pStyle w:val="cTableBody"/>
              <w:spacing w:before="0"/>
            </w:pPr>
            <w:r>
              <w:t>&lt;300°C steam; strongest for low/med. heat &amp; heat-pump/MVR electricity</w:t>
            </w:r>
          </w:p>
        </w:tc>
      </w:tr>
      <w:tr w:rsidR="00FF5FB9" w14:paraId="226E71BE" w14:textId="77777777" w:rsidTr="00322275">
        <w:tc>
          <w:tcPr>
            <w:tcW w:w="1459" w:type="dxa"/>
          </w:tcPr>
          <w:p w14:paraId="406AF72D" w14:textId="77777777" w:rsidR="00FF5FB9" w:rsidRDefault="00FF5FB9" w:rsidP="00803B8D">
            <w:pPr>
              <w:pStyle w:val="cTableBody"/>
              <w:spacing w:before="0"/>
              <w:jc w:val="center"/>
            </w:pPr>
            <w:r>
              <w:t>Conventional China PWR</w:t>
            </w:r>
          </w:p>
        </w:tc>
        <w:tc>
          <w:tcPr>
            <w:tcW w:w="1043" w:type="dxa"/>
          </w:tcPr>
          <w:p w14:paraId="629957E8" w14:textId="77777777" w:rsidR="00FF5FB9" w:rsidRDefault="00FF5FB9" w:rsidP="00803B8D">
            <w:pPr>
              <w:pStyle w:val="cTableBody"/>
              <w:spacing w:before="0"/>
              <w:jc w:val="center"/>
            </w:pPr>
            <w:r>
              <w:t>5–7 yr</w:t>
            </w:r>
          </w:p>
        </w:tc>
        <w:tc>
          <w:tcPr>
            <w:tcW w:w="1408" w:type="dxa"/>
          </w:tcPr>
          <w:p w14:paraId="2FCE41F7" w14:textId="77777777" w:rsidR="00FF5FB9" w:rsidRDefault="00FF5FB9" w:rsidP="00803B8D">
            <w:pPr>
              <w:pStyle w:val="cTableBody"/>
              <w:spacing w:before="0"/>
              <w:jc w:val="center"/>
            </w:pPr>
            <w:r>
              <w:t>$2.00 – $2.50</w:t>
            </w:r>
          </w:p>
        </w:tc>
        <w:tc>
          <w:tcPr>
            <w:tcW w:w="1207" w:type="dxa"/>
          </w:tcPr>
          <w:p w14:paraId="16C55CAD" w14:textId="77777777" w:rsidR="00FF5FB9" w:rsidRDefault="00FF5FB9" w:rsidP="00803B8D">
            <w:pPr>
              <w:pStyle w:val="cTableBody"/>
              <w:spacing w:before="0"/>
              <w:jc w:val="center"/>
            </w:pPr>
            <w:r>
              <w:t>$34 – $45</w:t>
            </w:r>
          </w:p>
        </w:tc>
        <w:tc>
          <w:tcPr>
            <w:tcW w:w="1301" w:type="dxa"/>
          </w:tcPr>
          <w:p w14:paraId="2C811850" w14:textId="77777777" w:rsidR="00FF5FB9" w:rsidRDefault="00FF5FB9" w:rsidP="00803B8D">
            <w:pPr>
              <w:pStyle w:val="cTableBody"/>
              <w:spacing w:before="0"/>
              <w:jc w:val="center"/>
            </w:pPr>
            <w:r>
              <w:t>~$11 – $14</w:t>
            </w:r>
          </w:p>
        </w:tc>
        <w:tc>
          <w:tcPr>
            <w:tcW w:w="1286" w:type="dxa"/>
          </w:tcPr>
          <w:p w14:paraId="6F8E8921" w14:textId="77777777" w:rsidR="00FF5FB9" w:rsidRDefault="00FF5FB9" w:rsidP="00803B8D">
            <w:pPr>
              <w:pStyle w:val="cTableBody"/>
              <w:spacing w:before="0"/>
            </w:pPr>
            <w:r>
              <w:t>~$40/MWhₑ; ~$13/MWh</w:t>
            </w:r>
            <w:r>
              <w:rPr>
                <w:rFonts w:ascii="Cambria Math" w:hAnsi="Cambria Math" w:cs="Cambria Math"/>
              </w:rPr>
              <w:t>ₜₕ</w:t>
            </w:r>
          </w:p>
        </w:tc>
        <w:tc>
          <w:tcPr>
            <w:tcW w:w="2359" w:type="dxa"/>
          </w:tcPr>
          <w:p w14:paraId="4A2FAF8C" w14:textId="77777777" w:rsidR="00FF5FB9" w:rsidRDefault="00FF5FB9" w:rsidP="00803B8D">
            <w:pPr>
              <w:pStyle w:val="cTableBody"/>
              <w:spacing w:before="0"/>
            </w:pPr>
            <w:r>
              <w:t>Reference incumbent nuclear construction</w:t>
            </w:r>
            <w:r>
              <w:br/>
            </w:r>
          </w:p>
        </w:tc>
      </w:tr>
    </w:tbl>
    <w:p w14:paraId="020E3E60" w14:textId="77777777" w:rsidR="00FF5FB9" w:rsidRDefault="00FF5FB9" w:rsidP="00FF5FB9">
      <w:pPr>
        <w:spacing w:before="280" w:after="280"/>
      </w:pPr>
      <w:r>
        <w:t>Costs are summarized as follows:</w:t>
      </w:r>
    </w:p>
    <w:tbl>
      <w:tblPr>
        <w:tblStyle w:val="gswTableStyle"/>
        <w:tblW w:w="9893" w:type="dxa"/>
        <w:tblLayout w:type="fixed"/>
        <w:tblLook w:val="04A0" w:firstRow="1" w:lastRow="0" w:firstColumn="1" w:lastColumn="0" w:noHBand="0" w:noVBand="1"/>
      </w:tblPr>
      <w:tblGrid>
        <w:gridCol w:w="4055"/>
        <w:gridCol w:w="1818"/>
        <w:gridCol w:w="2071"/>
        <w:gridCol w:w="1949"/>
      </w:tblGrid>
      <w:tr w:rsidR="00FF5FB9" w:rsidRPr="00491635" w14:paraId="5A6F93BF" w14:textId="77777777" w:rsidTr="00322275">
        <w:trPr>
          <w:cnfStyle w:val="100000000000" w:firstRow="1" w:lastRow="0" w:firstColumn="0" w:lastColumn="0" w:oddVBand="0" w:evenVBand="0" w:oddHBand="0" w:evenHBand="0" w:firstRowFirstColumn="0" w:firstRowLastColumn="0" w:lastRowFirstColumn="0" w:lastRowLastColumn="0"/>
        </w:trPr>
        <w:tc>
          <w:tcPr>
            <w:tcW w:w="4055" w:type="dxa"/>
          </w:tcPr>
          <w:p w14:paraId="777B8CC3" w14:textId="77777777" w:rsidR="00FF5FB9" w:rsidRPr="00491635" w:rsidRDefault="00FF5FB9" w:rsidP="00FF5FB9">
            <w:pPr>
              <w:pStyle w:val="cTableHeader"/>
              <w:spacing w:before="0" w:after="0"/>
              <w:rPr>
                <w:sz w:val="24"/>
                <w:szCs w:val="24"/>
              </w:rPr>
            </w:pPr>
            <w:r w:rsidRPr="00491635">
              <w:rPr>
                <w:sz w:val="24"/>
                <w:szCs w:val="24"/>
              </w:rPr>
              <w:t>China planning benchmark</w:t>
            </w:r>
          </w:p>
        </w:tc>
        <w:tc>
          <w:tcPr>
            <w:tcW w:w="1818" w:type="dxa"/>
          </w:tcPr>
          <w:p w14:paraId="59D41545" w14:textId="77777777" w:rsidR="00FF5FB9" w:rsidRPr="00491635" w:rsidRDefault="00FF5FB9" w:rsidP="00FF5FB9">
            <w:pPr>
              <w:pStyle w:val="cTableHeader"/>
              <w:spacing w:before="0" w:after="0"/>
              <w:rPr>
                <w:sz w:val="24"/>
                <w:szCs w:val="24"/>
              </w:rPr>
            </w:pPr>
            <w:r>
              <w:rPr>
                <w:sz w:val="24"/>
                <w:szCs w:val="24"/>
              </w:rPr>
              <w:t>Source</w:t>
            </w:r>
          </w:p>
        </w:tc>
        <w:tc>
          <w:tcPr>
            <w:tcW w:w="2071" w:type="dxa"/>
          </w:tcPr>
          <w:p w14:paraId="3840CF5C" w14:textId="77777777" w:rsidR="00FF5FB9" w:rsidRPr="00491635" w:rsidRDefault="00FF5FB9" w:rsidP="00FF5FB9">
            <w:pPr>
              <w:pStyle w:val="cTableHeader"/>
              <w:spacing w:before="0" w:after="0"/>
              <w:rPr>
                <w:sz w:val="24"/>
                <w:szCs w:val="24"/>
              </w:rPr>
            </w:pPr>
            <w:r>
              <w:rPr>
                <w:sz w:val="24"/>
                <w:szCs w:val="24"/>
              </w:rPr>
              <w:t>E</w:t>
            </w:r>
            <w:r w:rsidRPr="00491635">
              <w:rPr>
                <w:sz w:val="24"/>
                <w:szCs w:val="24"/>
              </w:rPr>
              <w:t>lectricity</w:t>
            </w:r>
            <w:r>
              <w:rPr>
                <w:sz w:val="24"/>
                <w:szCs w:val="24"/>
              </w:rPr>
              <w:t xml:space="preserve"> cost</w:t>
            </w:r>
          </w:p>
        </w:tc>
        <w:tc>
          <w:tcPr>
            <w:tcW w:w="1949" w:type="dxa"/>
          </w:tcPr>
          <w:p w14:paraId="295FC75A" w14:textId="77777777" w:rsidR="00FF5FB9" w:rsidRPr="00491635" w:rsidRDefault="00FF5FB9" w:rsidP="00FF5FB9">
            <w:pPr>
              <w:pStyle w:val="cTableHeader"/>
              <w:spacing w:before="0" w:after="0"/>
              <w:rPr>
                <w:sz w:val="24"/>
                <w:szCs w:val="24"/>
              </w:rPr>
            </w:pPr>
            <w:r>
              <w:rPr>
                <w:sz w:val="24"/>
                <w:szCs w:val="24"/>
              </w:rPr>
              <w:t>U</w:t>
            </w:r>
            <w:r w:rsidRPr="00491635">
              <w:rPr>
                <w:sz w:val="24"/>
                <w:szCs w:val="24"/>
              </w:rPr>
              <w:t>seful heat cost</w:t>
            </w:r>
          </w:p>
        </w:tc>
      </w:tr>
      <w:tr w:rsidR="00FF5FB9" w:rsidRPr="001C0A71" w14:paraId="1BF3060E" w14:textId="77777777" w:rsidTr="00322275">
        <w:tc>
          <w:tcPr>
            <w:tcW w:w="4055" w:type="dxa"/>
          </w:tcPr>
          <w:p w14:paraId="0583EE3E" w14:textId="77777777" w:rsidR="00FF5FB9" w:rsidRPr="001C0A71" w:rsidRDefault="00FF5FB9" w:rsidP="00FF5FB9">
            <w:pPr>
              <w:pStyle w:val="cTableBody"/>
              <w:spacing w:before="0" w:beforeAutospacing="0" w:afterAutospacing="0"/>
              <w:rPr>
                <w:sz w:val="22"/>
                <w:szCs w:val="24"/>
              </w:rPr>
            </w:pPr>
            <w:r w:rsidRPr="001C0A71">
              <w:rPr>
                <w:sz w:val="22"/>
                <w:szCs w:val="24"/>
              </w:rPr>
              <w:t>New Automated China HTR-PM</w:t>
            </w:r>
            <w:r>
              <w:rPr>
                <w:sz w:val="22"/>
                <w:szCs w:val="24"/>
              </w:rPr>
              <w:t xml:space="preserve"> (LCOE)</w:t>
            </w:r>
          </w:p>
        </w:tc>
        <w:tc>
          <w:tcPr>
            <w:tcW w:w="1818" w:type="dxa"/>
          </w:tcPr>
          <w:p w14:paraId="31576A8F" w14:textId="77777777" w:rsidR="00FF5FB9" w:rsidRPr="001C0A71" w:rsidRDefault="00FF5FB9" w:rsidP="00FF5FB9">
            <w:pPr>
              <w:pStyle w:val="cTableBody"/>
              <w:spacing w:before="0" w:beforeAutospacing="0" w:afterAutospacing="0"/>
              <w:jc w:val="center"/>
              <w:rPr>
                <w:sz w:val="22"/>
                <w:szCs w:val="24"/>
              </w:rPr>
            </w:pPr>
            <w:r>
              <w:rPr>
                <w:sz w:val="22"/>
                <w:szCs w:val="24"/>
              </w:rPr>
              <w:t>Nuclear (“green”)</w:t>
            </w:r>
          </w:p>
        </w:tc>
        <w:tc>
          <w:tcPr>
            <w:tcW w:w="2071" w:type="dxa"/>
          </w:tcPr>
          <w:p w14:paraId="019FC5F9" w14:textId="77777777" w:rsidR="00FF5FB9" w:rsidRPr="001C0A71" w:rsidRDefault="00FF5FB9" w:rsidP="00FF5FB9">
            <w:pPr>
              <w:pStyle w:val="cTableBody"/>
              <w:spacing w:before="0" w:beforeAutospacing="0" w:afterAutospacing="0"/>
              <w:jc w:val="center"/>
              <w:rPr>
                <w:sz w:val="22"/>
                <w:szCs w:val="24"/>
              </w:rPr>
            </w:pPr>
            <w:r w:rsidRPr="001C0A71">
              <w:rPr>
                <w:sz w:val="22"/>
                <w:szCs w:val="24"/>
              </w:rPr>
              <w:t>$37/MWhₑ</w:t>
            </w:r>
          </w:p>
        </w:tc>
        <w:tc>
          <w:tcPr>
            <w:tcW w:w="1949" w:type="dxa"/>
          </w:tcPr>
          <w:p w14:paraId="697A82A6" w14:textId="77777777" w:rsidR="00FF5FB9" w:rsidRPr="001C0A71" w:rsidRDefault="00FF5FB9" w:rsidP="00FF5FB9">
            <w:pPr>
              <w:pStyle w:val="cTableBody"/>
              <w:spacing w:before="0" w:beforeAutospacing="0" w:afterAutospacing="0"/>
              <w:jc w:val="center"/>
              <w:rPr>
                <w:sz w:val="22"/>
                <w:szCs w:val="24"/>
              </w:rPr>
            </w:pPr>
            <w:r w:rsidRPr="001C0A71">
              <w:rPr>
                <w:sz w:val="22"/>
                <w:szCs w:val="24"/>
              </w:rPr>
              <w:t>$15/MWh</w:t>
            </w:r>
            <w:r w:rsidRPr="001C0A71">
              <w:rPr>
                <w:rFonts w:ascii="Cambria Math" w:hAnsi="Cambria Math" w:cs="Cambria Math"/>
                <w:sz w:val="22"/>
                <w:szCs w:val="24"/>
              </w:rPr>
              <w:t>ₜₕ</w:t>
            </w:r>
          </w:p>
        </w:tc>
      </w:tr>
      <w:tr w:rsidR="00FF5FB9" w:rsidRPr="001C0A71" w14:paraId="0C52555C" w14:textId="77777777" w:rsidTr="00322275">
        <w:tc>
          <w:tcPr>
            <w:tcW w:w="4055" w:type="dxa"/>
          </w:tcPr>
          <w:p w14:paraId="553C0DAB" w14:textId="77777777" w:rsidR="00FF5FB9" w:rsidRPr="001C0A71" w:rsidRDefault="00FF5FB9" w:rsidP="00FF5FB9">
            <w:pPr>
              <w:pStyle w:val="cTableBody"/>
              <w:spacing w:before="0" w:beforeAutospacing="0" w:afterAutospacing="0"/>
              <w:rPr>
                <w:sz w:val="22"/>
                <w:szCs w:val="24"/>
              </w:rPr>
            </w:pPr>
            <w:r w:rsidRPr="001C0A71">
              <w:rPr>
                <w:sz w:val="22"/>
                <w:szCs w:val="24"/>
              </w:rPr>
              <w:t>New Automated China PWR</w:t>
            </w:r>
            <w:r>
              <w:rPr>
                <w:sz w:val="22"/>
                <w:szCs w:val="24"/>
              </w:rPr>
              <w:t xml:space="preserve"> (LCOE)</w:t>
            </w:r>
          </w:p>
        </w:tc>
        <w:tc>
          <w:tcPr>
            <w:tcW w:w="1818" w:type="dxa"/>
          </w:tcPr>
          <w:p w14:paraId="7BE53701" w14:textId="77777777" w:rsidR="00FF5FB9" w:rsidRPr="001C0A71" w:rsidRDefault="00FF5FB9" w:rsidP="00FF5FB9">
            <w:pPr>
              <w:pStyle w:val="cTableBody"/>
              <w:spacing w:before="0" w:beforeAutospacing="0" w:afterAutospacing="0"/>
              <w:jc w:val="center"/>
              <w:rPr>
                <w:sz w:val="22"/>
                <w:szCs w:val="24"/>
              </w:rPr>
            </w:pPr>
            <w:r>
              <w:rPr>
                <w:sz w:val="22"/>
                <w:szCs w:val="24"/>
              </w:rPr>
              <w:t>Nuclear (“green”)</w:t>
            </w:r>
          </w:p>
        </w:tc>
        <w:tc>
          <w:tcPr>
            <w:tcW w:w="2071" w:type="dxa"/>
          </w:tcPr>
          <w:p w14:paraId="237C120F" w14:textId="77777777" w:rsidR="00FF5FB9" w:rsidRPr="001C0A71" w:rsidRDefault="00FF5FB9" w:rsidP="00FF5FB9">
            <w:pPr>
              <w:pStyle w:val="cTableBody"/>
              <w:spacing w:before="0" w:beforeAutospacing="0" w:afterAutospacing="0"/>
              <w:jc w:val="center"/>
              <w:rPr>
                <w:sz w:val="22"/>
                <w:szCs w:val="24"/>
              </w:rPr>
            </w:pPr>
            <w:r w:rsidRPr="001C0A71">
              <w:rPr>
                <w:sz w:val="22"/>
                <w:szCs w:val="24"/>
              </w:rPr>
              <w:t>$31/MWhₑ</w:t>
            </w:r>
          </w:p>
        </w:tc>
        <w:tc>
          <w:tcPr>
            <w:tcW w:w="1949" w:type="dxa"/>
          </w:tcPr>
          <w:p w14:paraId="69CD841E" w14:textId="77777777" w:rsidR="00FF5FB9" w:rsidRPr="001C0A71" w:rsidRDefault="00FF5FB9" w:rsidP="00FF5FB9">
            <w:pPr>
              <w:pStyle w:val="cTableBody"/>
              <w:spacing w:before="0" w:beforeAutospacing="0" w:afterAutospacing="0"/>
              <w:jc w:val="center"/>
              <w:rPr>
                <w:sz w:val="22"/>
                <w:szCs w:val="24"/>
              </w:rPr>
            </w:pPr>
            <w:r w:rsidRPr="001C0A71">
              <w:rPr>
                <w:sz w:val="22"/>
                <w:szCs w:val="24"/>
              </w:rPr>
              <w:t>$10/MWh</w:t>
            </w:r>
            <w:r w:rsidRPr="001C0A71">
              <w:rPr>
                <w:rFonts w:ascii="Cambria Math" w:hAnsi="Cambria Math" w:cs="Cambria Math"/>
                <w:sz w:val="22"/>
                <w:szCs w:val="24"/>
              </w:rPr>
              <w:t>ₜₕ</w:t>
            </w:r>
          </w:p>
        </w:tc>
      </w:tr>
      <w:tr w:rsidR="00FF5FB9" w:rsidRPr="001C0A71" w14:paraId="614DDA5E" w14:textId="77777777" w:rsidTr="00322275">
        <w:tc>
          <w:tcPr>
            <w:tcW w:w="4055" w:type="dxa"/>
          </w:tcPr>
          <w:p w14:paraId="4DA15176" w14:textId="77777777" w:rsidR="00FF5FB9" w:rsidRPr="001C0A71" w:rsidRDefault="00FF5FB9" w:rsidP="00FF5FB9">
            <w:pPr>
              <w:pStyle w:val="cTableBody"/>
              <w:spacing w:before="0" w:beforeAutospacing="0" w:afterAutospacing="0"/>
              <w:rPr>
                <w:sz w:val="22"/>
                <w:szCs w:val="24"/>
              </w:rPr>
            </w:pPr>
            <w:r w:rsidRPr="001C0A71">
              <w:rPr>
                <w:sz w:val="22"/>
                <w:szCs w:val="24"/>
              </w:rPr>
              <w:t>New coal — ultra-supercritical</w:t>
            </w:r>
            <w:r>
              <w:rPr>
                <w:sz w:val="22"/>
                <w:szCs w:val="24"/>
              </w:rPr>
              <w:t xml:space="preserve"> (LCOE)</w:t>
            </w:r>
          </w:p>
        </w:tc>
        <w:tc>
          <w:tcPr>
            <w:tcW w:w="1818" w:type="dxa"/>
          </w:tcPr>
          <w:p w14:paraId="40BEE7B2" w14:textId="77777777" w:rsidR="00FF5FB9" w:rsidRPr="001C0A71" w:rsidRDefault="00FF5FB9" w:rsidP="00FF5FB9">
            <w:pPr>
              <w:pStyle w:val="cTableBody"/>
              <w:spacing w:before="0" w:beforeAutospacing="0" w:afterAutospacing="0"/>
              <w:jc w:val="center"/>
              <w:rPr>
                <w:sz w:val="22"/>
                <w:szCs w:val="24"/>
              </w:rPr>
            </w:pPr>
            <w:r>
              <w:rPr>
                <w:sz w:val="22"/>
                <w:szCs w:val="24"/>
              </w:rPr>
              <w:t>Fossil Fuel</w:t>
            </w:r>
          </w:p>
        </w:tc>
        <w:tc>
          <w:tcPr>
            <w:tcW w:w="2071" w:type="dxa"/>
          </w:tcPr>
          <w:p w14:paraId="76CB6A9B" w14:textId="77777777" w:rsidR="00FF5FB9" w:rsidRPr="001C0A71" w:rsidRDefault="00FF5FB9" w:rsidP="00FF5FB9">
            <w:pPr>
              <w:pStyle w:val="cTableBody"/>
              <w:spacing w:before="0" w:beforeAutospacing="0" w:afterAutospacing="0"/>
              <w:jc w:val="center"/>
              <w:rPr>
                <w:sz w:val="22"/>
                <w:szCs w:val="24"/>
              </w:rPr>
            </w:pPr>
            <w:r w:rsidRPr="001C0A71">
              <w:rPr>
                <w:sz w:val="22"/>
                <w:szCs w:val="24"/>
              </w:rPr>
              <w:t>$51/MWhₑ</w:t>
            </w:r>
          </w:p>
        </w:tc>
        <w:tc>
          <w:tcPr>
            <w:tcW w:w="1949" w:type="dxa"/>
          </w:tcPr>
          <w:p w14:paraId="74C5BF6E" w14:textId="77777777" w:rsidR="00FF5FB9" w:rsidRPr="001C0A71" w:rsidRDefault="00FF5FB9" w:rsidP="00FF5FB9">
            <w:pPr>
              <w:pStyle w:val="cTableBody"/>
              <w:spacing w:before="0" w:beforeAutospacing="0" w:afterAutospacing="0"/>
              <w:jc w:val="center"/>
              <w:rPr>
                <w:sz w:val="22"/>
                <w:szCs w:val="24"/>
              </w:rPr>
            </w:pPr>
            <w:r w:rsidRPr="001C0A71">
              <w:rPr>
                <w:sz w:val="22"/>
                <w:szCs w:val="24"/>
              </w:rPr>
              <w:t>$21/MWh</w:t>
            </w:r>
            <w:r w:rsidRPr="001C0A71">
              <w:rPr>
                <w:rFonts w:ascii="Cambria Math" w:hAnsi="Cambria Math" w:cs="Cambria Math"/>
                <w:sz w:val="22"/>
                <w:szCs w:val="24"/>
              </w:rPr>
              <w:t>ₜₕ</w:t>
            </w:r>
          </w:p>
        </w:tc>
      </w:tr>
      <w:tr w:rsidR="00FF5FB9" w:rsidRPr="001C0A71" w14:paraId="6B64FC8A" w14:textId="77777777" w:rsidTr="00322275">
        <w:tc>
          <w:tcPr>
            <w:tcW w:w="4055" w:type="dxa"/>
          </w:tcPr>
          <w:p w14:paraId="02BF2849" w14:textId="77777777" w:rsidR="00FF5FB9" w:rsidRPr="001C0A71" w:rsidRDefault="00FF5FB9" w:rsidP="00FF5FB9">
            <w:pPr>
              <w:pStyle w:val="cTableBody"/>
              <w:spacing w:before="0" w:beforeAutospacing="0" w:afterAutospacing="0"/>
              <w:rPr>
                <w:sz w:val="22"/>
                <w:szCs w:val="24"/>
              </w:rPr>
            </w:pPr>
            <w:r w:rsidRPr="001C0A71">
              <w:rPr>
                <w:sz w:val="22"/>
                <w:szCs w:val="24"/>
              </w:rPr>
              <w:t>Existing coal — marginal</w:t>
            </w:r>
            <w:r>
              <w:rPr>
                <w:sz w:val="22"/>
                <w:szCs w:val="24"/>
              </w:rPr>
              <w:t xml:space="preserve"> cost</w:t>
            </w:r>
          </w:p>
        </w:tc>
        <w:tc>
          <w:tcPr>
            <w:tcW w:w="1818" w:type="dxa"/>
          </w:tcPr>
          <w:p w14:paraId="7A792DB7" w14:textId="77777777" w:rsidR="00FF5FB9" w:rsidRPr="001C0A71" w:rsidRDefault="00FF5FB9" w:rsidP="00FF5FB9">
            <w:pPr>
              <w:pStyle w:val="cTableBody"/>
              <w:spacing w:before="0" w:beforeAutospacing="0" w:afterAutospacing="0"/>
              <w:jc w:val="center"/>
              <w:rPr>
                <w:sz w:val="22"/>
                <w:szCs w:val="24"/>
              </w:rPr>
            </w:pPr>
            <w:r>
              <w:rPr>
                <w:sz w:val="22"/>
                <w:szCs w:val="24"/>
              </w:rPr>
              <w:t>Fossil Fuel</w:t>
            </w:r>
          </w:p>
        </w:tc>
        <w:tc>
          <w:tcPr>
            <w:tcW w:w="2071" w:type="dxa"/>
          </w:tcPr>
          <w:p w14:paraId="15DBC457" w14:textId="77777777" w:rsidR="00FF5FB9" w:rsidRPr="001C0A71" w:rsidRDefault="00FF5FB9" w:rsidP="00FF5FB9">
            <w:pPr>
              <w:pStyle w:val="cTableBody"/>
              <w:spacing w:before="0" w:beforeAutospacing="0" w:afterAutospacing="0"/>
              <w:jc w:val="center"/>
              <w:rPr>
                <w:sz w:val="22"/>
                <w:szCs w:val="24"/>
              </w:rPr>
            </w:pPr>
            <w:r w:rsidRPr="001C0A71">
              <w:rPr>
                <w:sz w:val="22"/>
                <w:szCs w:val="24"/>
              </w:rPr>
              <w:t>$40/MWhₑ</w:t>
            </w:r>
          </w:p>
        </w:tc>
        <w:tc>
          <w:tcPr>
            <w:tcW w:w="1949" w:type="dxa"/>
          </w:tcPr>
          <w:p w14:paraId="2B07F594" w14:textId="77777777" w:rsidR="00FF5FB9" w:rsidRPr="001C0A71" w:rsidRDefault="00FF5FB9" w:rsidP="00FF5FB9">
            <w:pPr>
              <w:pStyle w:val="cTableBody"/>
              <w:spacing w:before="0" w:beforeAutospacing="0" w:afterAutospacing="0"/>
              <w:jc w:val="center"/>
              <w:rPr>
                <w:sz w:val="22"/>
                <w:szCs w:val="24"/>
              </w:rPr>
            </w:pPr>
            <w:r w:rsidRPr="001C0A71">
              <w:rPr>
                <w:sz w:val="22"/>
                <w:szCs w:val="24"/>
              </w:rPr>
              <w:t>$18/MWh</w:t>
            </w:r>
            <w:r w:rsidRPr="001C0A71">
              <w:rPr>
                <w:rFonts w:ascii="Cambria Math" w:hAnsi="Cambria Math" w:cs="Cambria Math"/>
                <w:sz w:val="22"/>
                <w:szCs w:val="24"/>
              </w:rPr>
              <w:t>ₜₕ</w:t>
            </w:r>
          </w:p>
        </w:tc>
      </w:tr>
    </w:tbl>
    <w:p w14:paraId="1C3928CE" w14:textId="77777777" w:rsidR="00FF5FB9" w:rsidRDefault="00FF5FB9" w:rsidP="00FF5FB9">
      <w:pPr>
        <w:spacing w:before="280" w:after="280"/>
      </w:pPr>
      <w:r>
        <w:rPr>
          <w:b/>
        </w:rPr>
        <w:t xml:space="preserve">Clarification on existing-coal marginal heat. </w:t>
      </w:r>
      <w:r>
        <w:t xml:space="preserve">The $18/MWhₜₕ planning value is intended to include coal fuel plus variable pollution-control/filtration cost; it is not a fuel-only number. It excludes sunk </w:t>
      </w:r>
      <w:r>
        <w:lastRenderedPageBreak/>
        <w:t>plant/boiler capital and fixed O&amp;M. When this document compares new nuclear with an existing coal site, that is the marginal-cost definition being used.</w:t>
      </w:r>
    </w:p>
    <w:p w14:paraId="57DF2540" w14:textId="77777777" w:rsidR="00FF5FB9" w:rsidRDefault="00FF5FB9" w:rsidP="00FF5FB9">
      <w:r>
        <w:t>These values explain why the discussion prioritizes PWR electricity plus heat pumps/MVR below roughly 160–200°C, direct PWR heat at intermediate temperatures, and HTR-PM direct heat where the process genuinely needs roughly 300–500°C. The program should test the entire delivered product cost, not only the reactor energy term.</w:t>
      </w:r>
    </w:p>
    <w:p w14:paraId="26A4EDDB" w14:textId="77777777" w:rsidR="00FF5FB9" w:rsidRDefault="00FF5FB9" w:rsidP="00FF5FB9">
      <w:pPr>
        <w:pStyle w:val="Heading1"/>
        <w:spacing w:before="0" w:after="0"/>
        <w:rPr>
          <w:rFonts w:cstheme="majorHAnsi"/>
        </w:rPr>
      </w:pPr>
      <w:bookmarkStart w:id="28" w:name="_Toc238205547"/>
      <w:r>
        <w:rPr>
          <w:rFonts w:cstheme="majorHAnsi"/>
        </w:rPr>
        <w:lastRenderedPageBreak/>
        <w:t>Industrial Processing to Reduce CO</w:t>
      </w:r>
      <w:r w:rsidRPr="00496F64">
        <w:rPr>
          <w:rFonts w:cstheme="majorHAnsi"/>
          <w:vertAlign w:val="subscript"/>
        </w:rPr>
        <w:t>2</w:t>
      </w:r>
      <w:r>
        <w:rPr>
          <w:rFonts w:cstheme="majorHAnsi"/>
        </w:rPr>
        <w:t xml:space="preserve"> Emissions</w:t>
      </w:r>
      <w:bookmarkEnd w:id="28"/>
    </w:p>
    <w:p w14:paraId="2045A9BA" w14:textId="77777777" w:rsidR="00FF5FB9" w:rsidRDefault="00FF5FB9" w:rsidP="00FF5FB9">
      <w:pPr>
        <w:pStyle w:val="cUserPromptText"/>
        <w:spacing w:before="280" w:after="280"/>
        <w:rPr>
          <w:rFonts w:asciiTheme="majorHAnsi" w:hAnsiTheme="majorHAnsi" w:cstheme="majorHAnsi"/>
        </w:rPr>
      </w:pPr>
      <w:r>
        <w:rPr>
          <w:rStyle w:val="UserPromptHeadingChar"/>
        </w:rPr>
        <w:t xml:space="preserve">Prompt to AI: </w:t>
      </w:r>
      <w:r>
        <w:rPr>
          <w:rFonts w:cstheme="majorHAnsi"/>
        </w:rPr>
        <w:t>What things can we do with Automated China PWR and HTR-PM, and platforms of chemical processing equipment, to reduce CO</w:t>
      </w:r>
      <w:r w:rsidRPr="00496F64">
        <w:rPr>
          <w:rFonts w:cstheme="majorHAnsi"/>
          <w:vertAlign w:val="subscript"/>
        </w:rPr>
        <w:t>2</w:t>
      </w:r>
      <w:r>
        <w:rPr>
          <w:rFonts w:cstheme="majorHAnsi"/>
        </w:rPr>
        <w:t xml:space="preserve"> emissions where the green nuclear method cost less than the traditional fossil fuel-based method? In other words, where can Automated China PWR/HTR-PM supply </w:t>
      </w:r>
      <w:r>
        <w:rPr>
          <w:rFonts w:cstheme="majorHAnsi"/>
          <w:b/>
          <w:bCs/>
        </w:rPr>
        <w:t>direct nuclear heat, nuclear-powered heat pumps, or nuclear-electric furnace heat</w:t>
      </w:r>
      <w:r>
        <w:rPr>
          <w:rFonts w:cstheme="majorHAnsi"/>
        </w:rPr>
        <w:t xml:space="preserve"> more cheaply than burning coal, natural gas, oil, or other fossil fuels at the industrial process itself?</w:t>
      </w:r>
    </w:p>
    <w:p w14:paraId="2B8CFCC5" w14:textId="77777777" w:rsidR="00FF5FB9" w:rsidRDefault="00FF5FB9" w:rsidP="00FF5FB9">
      <w:pPr>
        <w:spacing w:before="280" w:after="280"/>
      </w:pPr>
      <w:r>
        <w:rPr>
          <w:b/>
          <w:color w:val="4F81BD"/>
          <w:u w:val="single"/>
        </w:rPr>
        <w:t>Response From AI:</w:t>
      </w:r>
    </w:p>
    <w:p w14:paraId="5AC9CDE2"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I think the biggest opportunities are </w:t>
      </w:r>
      <w:r>
        <w:rPr>
          <w:rFonts w:eastAsia="Times New Roman" w:cstheme="majorHAnsi"/>
          <w:b/>
          <w:bCs/>
          <w:szCs w:val="24"/>
        </w:rPr>
        <w:t>low- and medium-temperature industrial heat</w:t>
      </w:r>
      <w:r>
        <w:rPr>
          <w:rFonts w:eastAsia="Times New Roman" w:cstheme="majorHAnsi"/>
          <w:szCs w:val="24"/>
        </w:rPr>
        <w:t>, followed by a smaller but potentially important set of high-temperature hybrid processes.</w:t>
      </w:r>
    </w:p>
    <w:p w14:paraId="0AEC3969" w14:textId="77777777" w:rsidR="00FF5FB9" w:rsidRDefault="00FF5FB9" w:rsidP="00FF5FB9">
      <w:pPr>
        <w:spacing w:before="280" w:after="280"/>
        <w:rPr>
          <w:rFonts w:asciiTheme="majorHAnsi" w:eastAsia="Times New Roman" w:hAnsiTheme="majorHAnsi" w:cstheme="majorHAnsi"/>
          <w:szCs w:val="24"/>
        </w:rPr>
      </w:pPr>
      <w:r>
        <w:t xml:space="preserve">Your the current companion site-construction proposal assumptions are unusually favorable: Automated China PWR at about $31/MWh-electric and $10/MWh-thermal, and Automated HTR-PM at $37/MWh-electric and $15/MWh-thermal. PWR steam is below roughly 300°C, while HTR-PM can supply roughly 520°C-class steam. </w:t>
      </w:r>
    </w:p>
    <w:p w14:paraId="2363309C"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Your earlier China fossil-heat calculation put coal at roughly </w:t>
      </w:r>
      <w:r>
        <w:rPr>
          <w:rFonts w:eastAsia="Times New Roman" w:cstheme="majorHAnsi"/>
          <w:b/>
          <w:bCs/>
          <w:szCs w:val="24"/>
        </w:rPr>
        <w:t>$16–23/MWh of useful heat</w:t>
      </w:r>
      <w:r>
        <w:rPr>
          <w:rFonts w:eastAsia="Times New Roman" w:cstheme="majorHAnsi"/>
          <w:szCs w:val="24"/>
        </w:rPr>
        <w:t xml:space="preserve"> and natural gas at roughly </w:t>
      </w:r>
      <w:r>
        <w:rPr>
          <w:rFonts w:eastAsia="Times New Roman" w:cstheme="majorHAnsi"/>
          <w:b/>
          <w:bCs/>
          <w:szCs w:val="24"/>
        </w:rPr>
        <w:t>$59–90/MWh of useful heat</w:t>
      </w:r>
      <w:r>
        <w:rPr>
          <w:rFonts w:eastAsia="Times New Roman" w:cstheme="majorHAnsi"/>
          <w:szCs w:val="24"/>
        </w:rPr>
        <w:t xml:space="preserve">, before some coal-handling, ash and pollution-control costs. </w:t>
      </w:r>
    </w:p>
    <w:p w14:paraId="2F4CA4BE" w14:textId="77777777" w:rsidR="00FF5FB9" w:rsidRDefault="00FF5FB9" w:rsidP="00FF5FB9">
      <w:pPr>
        <w:rPr>
          <w:rFonts w:asciiTheme="majorHAnsi" w:eastAsia="Times New Roman" w:hAnsiTheme="majorHAnsi" w:cstheme="majorHAnsi"/>
          <w:szCs w:val="24"/>
        </w:rPr>
      </w:pPr>
      <w:r>
        <w:rPr>
          <w:rFonts w:eastAsia="Times New Roman" w:cstheme="majorHAnsi"/>
          <w:szCs w:val="24"/>
        </w:rPr>
        <w:t>That gives us the basic economics.</w:t>
      </w:r>
    </w:p>
    <w:tbl>
      <w:tblPr>
        <w:tblStyle w:val="gswTableStyle"/>
        <w:tblW w:w="10219" w:type="dxa"/>
        <w:tblLayout w:type="fixed"/>
        <w:tblLook w:val="04A0" w:firstRow="1" w:lastRow="0" w:firstColumn="1" w:lastColumn="0" w:noHBand="0" w:noVBand="1"/>
      </w:tblPr>
      <w:tblGrid>
        <w:gridCol w:w="2032"/>
        <w:gridCol w:w="2952"/>
        <w:gridCol w:w="1892"/>
        <w:gridCol w:w="1778"/>
        <w:gridCol w:w="1565"/>
      </w:tblGrid>
      <w:tr w:rsidR="00FF5FB9" w14:paraId="09AB5339" w14:textId="77777777" w:rsidTr="00322275">
        <w:trPr>
          <w:cnfStyle w:val="100000000000" w:firstRow="1" w:lastRow="0" w:firstColumn="0" w:lastColumn="0" w:oddVBand="0" w:evenVBand="0" w:oddHBand="0" w:evenHBand="0" w:firstRowFirstColumn="0" w:firstRowLastColumn="0" w:lastRowFirstColumn="0" w:lastRowLastColumn="0"/>
        </w:trPr>
        <w:tc>
          <w:tcPr>
            <w:tcW w:w="2032" w:type="dxa"/>
          </w:tcPr>
          <w:p w14:paraId="2A58DF39" w14:textId="77777777" w:rsidR="00FF5FB9" w:rsidRDefault="00FF5FB9" w:rsidP="009B38DB">
            <w:pPr>
              <w:pStyle w:val="cTableHeader"/>
              <w:spacing w:before="0" w:after="0"/>
            </w:pPr>
            <w:r>
              <w:t>Way of supplying process heat</w:t>
            </w:r>
          </w:p>
        </w:tc>
        <w:tc>
          <w:tcPr>
            <w:tcW w:w="2952" w:type="dxa"/>
          </w:tcPr>
          <w:p w14:paraId="2E784B26" w14:textId="77777777" w:rsidR="00FF5FB9" w:rsidRDefault="00FF5FB9" w:rsidP="009B38DB">
            <w:pPr>
              <w:pStyle w:val="cTableHeader"/>
              <w:spacing w:before="0" w:after="0"/>
            </w:pPr>
            <w:r>
              <w:t>Nuclear energy cost before process equipment</w:t>
            </w:r>
          </w:p>
        </w:tc>
        <w:tc>
          <w:tcPr>
            <w:tcW w:w="1892" w:type="dxa"/>
          </w:tcPr>
          <w:p w14:paraId="57E7C88B" w14:textId="77777777" w:rsidR="00FF5FB9" w:rsidRDefault="00FF5FB9" w:rsidP="009B38DB">
            <w:pPr>
              <w:pStyle w:val="cTableHeader"/>
              <w:spacing w:before="0" w:after="0"/>
            </w:pPr>
            <w:r>
              <w:t>Approx. useful temperature</w:t>
            </w:r>
          </w:p>
        </w:tc>
        <w:tc>
          <w:tcPr>
            <w:tcW w:w="1778" w:type="dxa"/>
          </w:tcPr>
          <w:p w14:paraId="7205713B" w14:textId="77777777" w:rsidR="00FF5FB9" w:rsidRDefault="00FF5FB9" w:rsidP="009B38DB">
            <w:pPr>
              <w:pStyle w:val="cTableHeader"/>
              <w:spacing w:before="0" w:after="0"/>
            </w:pPr>
            <w:r>
              <w:t>Versus Chinese coal heat</w:t>
            </w:r>
          </w:p>
        </w:tc>
        <w:tc>
          <w:tcPr>
            <w:tcW w:w="1565" w:type="dxa"/>
          </w:tcPr>
          <w:p w14:paraId="55D5E47C" w14:textId="77777777" w:rsidR="00FF5FB9" w:rsidRDefault="00FF5FB9" w:rsidP="009B38DB">
            <w:pPr>
              <w:pStyle w:val="cTableHeader"/>
              <w:spacing w:before="0" w:after="0"/>
            </w:pPr>
            <w:r>
              <w:t>Versus Chinese gas heat</w:t>
            </w:r>
          </w:p>
        </w:tc>
      </w:tr>
      <w:tr w:rsidR="00FF5FB9" w14:paraId="377FA216" w14:textId="77777777" w:rsidTr="00322275">
        <w:tc>
          <w:tcPr>
            <w:tcW w:w="2032" w:type="dxa"/>
          </w:tcPr>
          <w:p w14:paraId="0CA473F2" w14:textId="77777777" w:rsidR="00FF5FB9" w:rsidRDefault="00FF5FB9" w:rsidP="009B38DB">
            <w:pPr>
              <w:pStyle w:val="cTableBody"/>
              <w:spacing w:before="0"/>
            </w:pPr>
            <w:r>
              <w:t>Direct Automated PWR heat</w:t>
            </w:r>
          </w:p>
        </w:tc>
        <w:tc>
          <w:tcPr>
            <w:tcW w:w="2952" w:type="dxa"/>
          </w:tcPr>
          <w:p w14:paraId="1C00D445" w14:textId="77777777" w:rsidR="00FF5FB9" w:rsidRDefault="00FF5FB9" w:rsidP="009B38DB">
            <w:pPr>
              <w:pStyle w:val="cTableBody"/>
              <w:spacing w:before="0"/>
            </w:pPr>
            <w:r>
              <w:t>~$10/MWh</w:t>
            </w:r>
            <w:r>
              <w:rPr>
                <w:rFonts w:ascii="Cambria Math" w:hAnsi="Cambria Math" w:cs="Cambria Math"/>
              </w:rPr>
              <w:t>ₜₕ</w:t>
            </w:r>
          </w:p>
        </w:tc>
        <w:tc>
          <w:tcPr>
            <w:tcW w:w="1892" w:type="dxa"/>
          </w:tcPr>
          <w:p w14:paraId="66DC2E3C" w14:textId="52DA3F6D" w:rsidR="00FF5FB9" w:rsidRDefault="00FF5FB9" w:rsidP="009B38DB">
            <w:pPr>
              <w:pStyle w:val="cTableBody"/>
              <w:spacing w:before="0"/>
            </w:pPr>
            <w:r>
              <w:t>&lt;</w:t>
            </w:r>
            <w:r w:rsidR="006C09B4">
              <w:t xml:space="preserve"> </w:t>
            </w:r>
            <w:r>
              <w:t>~300°C</w:t>
            </w:r>
          </w:p>
        </w:tc>
        <w:tc>
          <w:tcPr>
            <w:tcW w:w="1778" w:type="dxa"/>
          </w:tcPr>
          <w:p w14:paraId="27E6A577" w14:textId="77777777" w:rsidR="00FF5FB9" w:rsidRDefault="00FF5FB9" w:rsidP="009B38DB">
            <w:pPr>
              <w:pStyle w:val="cTableBody"/>
              <w:spacing w:before="0"/>
            </w:pPr>
            <w:r>
              <w:t>Likely cheaper</w:t>
            </w:r>
          </w:p>
        </w:tc>
        <w:tc>
          <w:tcPr>
            <w:tcW w:w="1565" w:type="dxa"/>
          </w:tcPr>
          <w:p w14:paraId="56668EC3" w14:textId="77777777" w:rsidR="00FF5FB9" w:rsidRDefault="00FF5FB9" w:rsidP="009B38DB">
            <w:pPr>
              <w:pStyle w:val="cTableBody"/>
              <w:spacing w:before="0"/>
            </w:pPr>
            <w:r>
              <w:t>Much cheaper</w:t>
            </w:r>
          </w:p>
        </w:tc>
      </w:tr>
      <w:tr w:rsidR="00FF5FB9" w14:paraId="4DC3BAD0" w14:textId="77777777" w:rsidTr="00322275">
        <w:tc>
          <w:tcPr>
            <w:tcW w:w="2032" w:type="dxa"/>
          </w:tcPr>
          <w:p w14:paraId="3679F844" w14:textId="77777777" w:rsidR="00FF5FB9" w:rsidRDefault="00FF5FB9" w:rsidP="009B38DB">
            <w:pPr>
              <w:pStyle w:val="cTableBody"/>
              <w:spacing w:before="0"/>
            </w:pPr>
            <w:r>
              <w:t>Direct Automated HTR-PM heat</w:t>
            </w:r>
          </w:p>
        </w:tc>
        <w:tc>
          <w:tcPr>
            <w:tcW w:w="2952" w:type="dxa"/>
          </w:tcPr>
          <w:p w14:paraId="00360D1E" w14:textId="77777777" w:rsidR="00FF5FB9" w:rsidRDefault="00FF5FB9" w:rsidP="009B38DB">
            <w:pPr>
              <w:pStyle w:val="cTableBody"/>
              <w:spacing w:before="0"/>
            </w:pPr>
            <w:r>
              <w:t>~$15/MWh</w:t>
            </w:r>
            <w:r>
              <w:rPr>
                <w:rFonts w:ascii="Cambria Math" w:hAnsi="Cambria Math" w:cs="Cambria Math"/>
              </w:rPr>
              <w:t>ₜₕ</w:t>
            </w:r>
          </w:p>
        </w:tc>
        <w:tc>
          <w:tcPr>
            <w:tcW w:w="1892" w:type="dxa"/>
          </w:tcPr>
          <w:p w14:paraId="34A1E528" w14:textId="77777777" w:rsidR="00FF5FB9" w:rsidRDefault="00FF5FB9" w:rsidP="009B38DB">
            <w:pPr>
              <w:pStyle w:val="cTableBody"/>
              <w:spacing w:before="0"/>
            </w:pPr>
            <w:r>
              <w:t>up to ~500°C useful interface range</w:t>
            </w:r>
          </w:p>
        </w:tc>
        <w:tc>
          <w:tcPr>
            <w:tcW w:w="1778" w:type="dxa"/>
          </w:tcPr>
          <w:p w14:paraId="41E0FE48" w14:textId="77777777" w:rsidR="00FF5FB9" w:rsidRDefault="00FF5FB9" w:rsidP="009B38DB">
            <w:pPr>
              <w:pStyle w:val="cTableBody"/>
              <w:spacing w:before="0"/>
            </w:pPr>
            <w:r>
              <w:t>Competitive / possibly cheaper</w:t>
            </w:r>
          </w:p>
        </w:tc>
        <w:tc>
          <w:tcPr>
            <w:tcW w:w="1565" w:type="dxa"/>
          </w:tcPr>
          <w:p w14:paraId="6F87F4B5" w14:textId="77777777" w:rsidR="00FF5FB9" w:rsidRDefault="00FF5FB9" w:rsidP="009B38DB">
            <w:pPr>
              <w:pStyle w:val="cTableBody"/>
              <w:spacing w:before="0"/>
            </w:pPr>
            <w:r>
              <w:t>Much cheaper</w:t>
            </w:r>
          </w:p>
        </w:tc>
      </w:tr>
      <w:tr w:rsidR="00FF5FB9" w14:paraId="7DF3EB3B" w14:textId="77777777" w:rsidTr="00322275">
        <w:tc>
          <w:tcPr>
            <w:tcW w:w="2032" w:type="dxa"/>
          </w:tcPr>
          <w:p w14:paraId="68E2AF87" w14:textId="77777777" w:rsidR="00FF5FB9" w:rsidRDefault="00FF5FB9" w:rsidP="009B38DB">
            <w:pPr>
              <w:pStyle w:val="cTableBody"/>
              <w:spacing w:before="0"/>
            </w:pPr>
            <w:r>
              <w:t>PWR electricity + heat pump, COP 3.5</w:t>
            </w:r>
          </w:p>
        </w:tc>
        <w:tc>
          <w:tcPr>
            <w:tcW w:w="2952" w:type="dxa"/>
          </w:tcPr>
          <w:p w14:paraId="5B74B272" w14:textId="77777777" w:rsidR="00FF5FB9" w:rsidRDefault="00FF5FB9" w:rsidP="009B38DB">
            <w:pPr>
              <w:pStyle w:val="cTableBody"/>
              <w:spacing w:before="0"/>
            </w:pPr>
            <w:r>
              <w:t>~$9/MWh useful heat electricity component</w:t>
            </w:r>
          </w:p>
        </w:tc>
        <w:tc>
          <w:tcPr>
            <w:tcW w:w="1892" w:type="dxa"/>
          </w:tcPr>
          <w:p w14:paraId="26EEA88A" w14:textId="77777777" w:rsidR="00FF5FB9" w:rsidRDefault="00FF5FB9" w:rsidP="009B38DB">
            <w:pPr>
              <w:pStyle w:val="cTableBody"/>
              <w:spacing w:before="0"/>
            </w:pPr>
            <w:r>
              <w:t>typically &lt;~200°C</w:t>
            </w:r>
          </w:p>
        </w:tc>
        <w:tc>
          <w:tcPr>
            <w:tcW w:w="1778" w:type="dxa"/>
          </w:tcPr>
          <w:p w14:paraId="2CC489E7" w14:textId="77777777" w:rsidR="00FF5FB9" w:rsidRDefault="00FF5FB9" w:rsidP="009B38DB">
            <w:pPr>
              <w:pStyle w:val="cTableBody"/>
              <w:spacing w:before="0"/>
            </w:pPr>
            <w:r>
              <w:t>Potentially much cheaper</w:t>
            </w:r>
          </w:p>
        </w:tc>
        <w:tc>
          <w:tcPr>
            <w:tcW w:w="1565" w:type="dxa"/>
          </w:tcPr>
          <w:p w14:paraId="0AEB3F9C" w14:textId="77777777" w:rsidR="00FF5FB9" w:rsidRDefault="00FF5FB9" w:rsidP="009B38DB">
            <w:pPr>
              <w:pStyle w:val="cTableBody"/>
              <w:spacing w:before="0"/>
            </w:pPr>
            <w:r>
              <w:t>Much cheaper</w:t>
            </w:r>
          </w:p>
        </w:tc>
      </w:tr>
      <w:tr w:rsidR="00FF5FB9" w14:paraId="517D5DB2" w14:textId="77777777" w:rsidTr="00322275">
        <w:tc>
          <w:tcPr>
            <w:tcW w:w="2032" w:type="dxa"/>
          </w:tcPr>
          <w:p w14:paraId="1194330B" w14:textId="77777777" w:rsidR="00FF5FB9" w:rsidRDefault="00FF5FB9" w:rsidP="009B38DB">
            <w:pPr>
              <w:pStyle w:val="cTableBody"/>
              <w:spacing w:before="0"/>
            </w:pPr>
            <w:r>
              <w:t>HTR-PM electricity + heat pump, COP 3.5</w:t>
            </w:r>
          </w:p>
        </w:tc>
        <w:tc>
          <w:tcPr>
            <w:tcW w:w="2952" w:type="dxa"/>
          </w:tcPr>
          <w:p w14:paraId="7D76E32A" w14:textId="77777777" w:rsidR="00FF5FB9" w:rsidRDefault="00FF5FB9" w:rsidP="009B38DB">
            <w:pPr>
              <w:pStyle w:val="cTableBody"/>
              <w:spacing w:before="0"/>
            </w:pPr>
            <w:r>
              <w:t>~$11/MWh</w:t>
            </w:r>
          </w:p>
        </w:tc>
        <w:tc>
          <w:tcPr>
            <w:tcW w:w="1892" w:type="dxa"/>
          </w:tcPr>
          <w:p w14:paraId="54F5CEF9" w14:textId="77777777" w:rsidR="00FF5FB9" w:rsidRDefault="00FF5FB9" w:rsidP="009B38DB">
            <w:pPr>
              <w:pStyle w:val="cTableBody"/>
              <w:spacing w:before="0"/>
            </w:pPr>
            <w:r>
              <w:t>typically &lt;~200°C</w:t>
            </w:r>
          </w:p>
        </w:tc>
        <w:tc>
          <w:tcPr>
            <w:tcW w:w="1778" w:type="dxa"/>
          </w:tcPr>
          <w:p w14:paraId="75120517" w14:textId="77777777" w:rsidR="00FF5FB9" w:rsidRDefault="00FF5FB9" w:rsidP="009B38DB">
            <w:pPr>
              <w:pStyle w:val="cTableBody"/>
              <w:spacing w:before="0"/>
            </w:pPr>
            <w:r>
              <w:t>Potentially cheaper</w:t>
            </w:r>
          </w:p>
        </w:tc>
        <w:tc>
          <w:tcPr>
            <w:tcW w:w="1565" w:type="dxa"/>
          </w:tcPr>
          <w:p w14:paraId="4F5A2D01" w14:textId="77777777" w:rsidR="00FF5FB9" w:rsidRDefault="00FF5FB9" w:rsidP="009B38DB">
            <w:pPr>
              <w:pStyle w:val="cTableBody"/>
              <w:spacing w:before="0"/>
            </w:pPr>
            <w:r>
              <w:t>Much cheaper</w:t>
            </w:r>
          </w:p>
        </w:tc>
      </w:tr>
      <w:tr w:rsidR="00FF5FB9" w14:paraId="1A6C0798" w14:textId="77777777" w:rsidTr="00322275">
        <w:tc>
          <w:tcPr>
            <w:tcW w:w="2032" w:type="dxa"/>
          </w:tcPr>
          <w:p w14:paraId="518069CD" w14:textId="77777777" w:rsidR="00FF5FB9" w:rsidRDefault="00FF5FB9" w:rsidP="009B38DB">
            <w:pPr>
              <w:pStyle w:val="cTableBody"/>
              <w:spacing w:before="0"/>
            </w:pPr>
            <w:r>
              <w:t>PWR electricity + resistance furnace</w:t>
            </w:r>
          </w:p>
        </w:tc>
        <w:tc>
          <w:tcPr>
            <w:tcW w:w="2952" w:type="dxa"/>
          </w:tcPr>
          <w:p w14:paraId="4667CC24" w14:textId="77777777" w:rsidR="00FF5FB9" w:rsidRDefault="00FF5FB9" w:rsidP="009B38DB">
            <w:pPr>
              <w:pStyle w:val="cTableBody"/>
              <w:spacing w:before="0"/>
            </w:pPr>
            <w:r>
              <w:t>~$32/MWh</w:t>
            </w:r>
          </w:p>
        </w:tc>
        <w:tc>
          <w:tcPr>
            <w:tcW w:w="1892" w:type="dxa"/>
          </w:tcPr>
          <w:p w14:paraId="170F65C9" w14:textId="77777777" w:rsidR="00FF5FB9" w:rsidRDefault="00FF5FB9" w:rsidP="009B38DB">
            <w:pPr>
              <w:pStyle w:val="cTableBody"/>
              <w:spacing w:before="0"/>
            </w:pPr>
            <w:r>
              <w:t>potentially &gt;1,000°C</w:t>
            </w:r>
          </w:p>
        </w:tc>
        <w:tc>
          <w:tcPr>
            <w:tcW w:w="1778" w:type="dxa"/>
          </w:tcPr>
          <w:p w14:paraId="44C0884A" w14:textId="77777777" w:rsidR="00FF5FB9" w:rsidRDefault="00FF5FB9" w:rsidP="009B38DB">
            <w:pPr>
              <w:pStyle w:val="cTableBody"/>
              <w:spacing w:before="0"/>
            </w:pPr>
            <w:r>
              <w:t>Usually more expensive</w:t>
            </w:r>
          </w:p>
        </w:tc>
        <w:tc>
          <w:tcPr>
            <w:tcW w:w="1565" w:type="dxa"/>
          </w:tcPr>
          <w:p w14:paraId="29396889" w14:textId="77777777" w:rsidR="00FF5FB9" w:rsidRDefault="00FF5FB9" w:rsidP="009B38DB">
            <w:pPr>
              <w:pStyle w:val="cTableBody"/>
              <w:spacing w:before="0"/>
            </w:pPr>
            <w:r>
              <w:t>Potentially cheaper</w:t>
            </w:r>
          </w:p>
        </w:tc>
      </w:tr>
      <w:tr w:rsidR="00FF5FB9" w14:paraId="25FDE624" w14:textId="77777777" w:rsidTr="00322275">
        <w:tc>
          <w:tcPr>
            <w:tcW w:w="2032" w:type="dxa"/>
          </w:tcPr>
          <w:p w14:paraId="3D6C120F" w14:textId="77777777" w:rsidR="00FF5FB9" w:rsidRDefault="00FF5FB9" w:rsidP="009B38DB">
            <w:pPr>
              <w:pStyle w:val="cTableBody"/>
              <w:spacing w:before="0"/>
            </w:pPr>
            <w:r>
              <w:t>HTR-PM heat + electric topping</w:t>
            </w:r>
          </w:p>
        </w:tc>
        <w:tc>
          <w:tcPr>
            <w:tcW w:w="2952" w:type="dxa"/>
          </w:tcPr>
          <w:p w14:paraId="75FD99FF" w14:textId="77777777" w:rsidR="00FF5FB9" w:rsidRDefault="00FF5FB9" w:rsidP="009B38DB">
            <w:pPr>
              <w:pStyle w:val="cTableBody"/>
              <w:spacing w:before="0"/>
            </w:pPr>
            <w:r>
              <w:t>roughly $20–30/MWh energy component, process-dependent</w:t>
            </w:r>
          </w:p>
        </w:tc>
        <w:tc>
          <w:tcPr>
            <w:tcW w:w="1892" w:type="dxa"/>
          </w:tcPr>
          <w:p w14:paraId="1D09AF98" w14:textId="77777777" w:rsidR="00FF5FB9" w:rsidRDefault="00FF5FB9" w:rsidP="009B38DB">
            <w:pPr>
              <w:pStyle w:val="cTableBody"/>
              <w:spacing w:before="0"/>
            </w:pPr>
            <w:r>
              <w:t>~500–1,000+°C</w:t>
            </w:r>
          </w:p>
        </w:tc>
        <w:tc>
          <w:tcPr>
            <w:tcW w:w="1778" w:type="dxa"/>
          </w:tcPr>
          <w:p w14:paraId="17A219B0" w14:textId="77777777" w:rsidR="00FF5FB9" w:rsidRDefault="00FF5FB9" w:rsidP="009B38DB">
            <w:pPr>
              <w:pStyle w:val="cTableBody"/>
              <w:spacing w:before="0"/>
            </w:pPr>
            <w:r>
              <w:t>Uncertain</w:t>
            </w:r>
          </w:p>
        </w:tc>
        <w:tc>
          <w:tcPr>
            <w:tcW w:w="1565" w:type="dxa"/>
          </w:tcPr>
          <w:p w14:paraId="40C022A5" w14:textId="77777777" w:rsidR="00FF5FB9" w:rsidRDefault="00FF5FB9" w:rsidP="009B38DB">
            <w:pPr>
              <w:pStyle w:val="cTableBody"/>
              <w:spacing w:before="0"/>
            </w:pPr>
            <w:r>
              <w:t>Potentially much cheaper</w:t>
            </w:r>
          </w:p>
        </w:tc>
      </w:tr>
    </w:tbl>
    <w:p w14:paraId="1872B086" w14:textId="77777777" w:rsidR="00FF5FB9" w:rsidRDefault="00FF5FB9" w:rsidP="00FF5FB9">
      <w:pPr>
        <w:rPr>
          <w:rFonts w:asciiTheme="majorHAnsi" w:eastAsia="Times New Roman" w:hAnsiTheme="majorHAnsi" w:cstheme="majorHAnsi"/>
          <w:szCs w:val="24"/>
        </w:rPr>
      </w:pPr>
      <w:r>
        <w:rPr>
          <w:rFonts w:eastAsia="Times New Roman" w:cstheme="majorHAnsi"/>
          <w:szCs w:val="24"/>
        </w:rPr>
        <w:lastRenderedPageBreak/>
        <w:t xml:space="preserve">The heat-pump result deserves emphasis. IEA uses a representative industrial heat-pump COP of </w:t>
      </w:r>
      <w:r>
        <w:rPr>
          <w:rFonts w:eastAsia="Times New Roman" w:cstheme="majorHAnsi"/>
          <w:b/>
          <w:bCs/>
          <w:szCs w:val="24"/>
        </w:rPr>
        <w:t>3.5</w:t>
      </w:r>
      <w:r>
        <w:rPr>
          <w:rFonts w:eastAsia="Times New Roman" w:cstheme="majorHAnsi"/>
          <w:szCs w:val="24"/>
        </w:rPr>
        <w:t xml:space="preserve"> and reports that industrial heat pumps in China are already nearly cost-competitive with coal boilers and substantially better than gas boilers using conventional Chinese energy prices. Your assumed $31/MWh nuclear electricity is much cheaper than the industrial electricity prices in that analysis, so the economics should improve substantially. </w:t>
      </w:r>
    </w:p>
    <w:p w14:paraId="02EAB610" w14:textId="77777777" w:rsidR="00B41F9C" w:rsidRDefault="00994197">
      <w:pPr>
        <w:pStyle w:val="Heading2"/>
      </w:pPr>
      <w:r>
        <w:t>Program-wide economic screening rule</w:t>
      </w:r>
    </w:p>
    <w:p w14:paraId="01572BD4" w14:textId="77777777" w:rsidR="00B41F9C" w:rsidRDefault="00994197">
      <w:r>
        <w:t>The program should screen every platform against the same delivered-energy benchmark before committing major prototype money. Using the central China planning values in this document—$21/MWhₜₕ for new coal, $18/MWhₜₕ for existing-coal marginal heat, $10/MWhₜₕ for Automated PWR heat, $15/MWhₜₕ for Automated HTR-PM heat, and $31/MWhₑ for Automated PWR electricity—the energy-only headroom is:</w:t>
      </w:r>
    </w:p>
    <w:tbl>
      <w:tblPr>
        <w:tblStyle w:val="gswTableStyle"/>
        <w:tblW w:w="0" w:type="auto"/>
        <w:tblLook w:val="04A0" w:firstRow="1" w:lastRow="0" w:firstColumn="1" w:lastColumn="0" w:noHBand="0" w:noVBand="1"/>
      </w:tblPr>
      <w:tblGrid>
        <w:gridCol w:w="2002"/>
        <w:gridCol w:w="2002"/>
        <w:gridCol w:w="2002"/>
        <w:gridCol w:w="2002"/>
        <w:gridCol w:w="2002"/>
      </w:tblGrid>
      <w:tr w:rsidR="00B41F9C" w14:paraId="3CB99D8D" w14:textId="77777777" w:rsidTr="00322275">
        <w:trPr>
          <w:cnfStyle w:val="100000000000" w:firstRow="1" w:lastRow="0" w:firstColumn="0" w:lastColumn="0" w:oddVBand="0" w:evenVBand="0" w:oddHBand="0" w:evenHBand="0" w:firstRowFirstColumn="0" w:firstRowLastColumn="0" w:lastRowFirstColumn="0" w:lastRowLastColumn="0"/>
        </w:trPr>
        <w:tc>
          <w:tcPr>
            <w:tcW w:w="2002" w:type="dxa"/>
          </w:tcPr>
          <w:p w14:paraId="08391759" w14:textId="77777777" w:rsidR="00B41F9C" w:rsidRDefault="00994197">
            <w:pPr>
              <w:pStyle w:val="cTableHeader"/>
              <w:spacing w:before="0" w:after="0"/>
            </w:pPr>
            <w:r>
              <w:t>Nuclear route</w:t>
            </w:r>
          </w:p>
        </w:tc>
        <w:tc>
          <w:tcPr>
            <w:tcW w:w="2002" w:type="dxa"/>
          </w:tcPr>
          <w:p w14:paraId="114165B4" w14:textId="77777777" w:rsidR="00B41F9C" w:rsidRDefault="00994197">
            <w:pPr>
              <w:pStyle w:val="cTableHeader"/>
              <w:spacing w:before="0" w:after="0"/>
            </w:pPr>
            <w:r>
              <w:t>Energy component before platform CAPEX</w:t>
            </w:r>
          </w:p>
        </w:tc>
        <w:tc>
          <w:tcPr>
            <w:tcW w:w="2002" w:type="dxa"/>
          </w:tcPr>
          <w:p w14:paraId="14E76FD5" w14:textId="77777777" w:rsidR="00B41F9C" w:rsidRDefault="00994197">
            <w:pPr>
              <w:pStyle w:val="cTableHeader"/>
              <w:spacing w:before="0" w:after="0"/>
            </w:pPr>
            <w:r>
              <w:t>Headroom vs new coal ($21/MWh</w:t>
            </w:r>
            <w:r>
              <w:rPr>
                <w:rFonts w:ascii="Cambria Math" w:hAnsi="Cambria Math" w:cs="Cambria Math"/>
              </w:rPr>
              <w:t>ₜₕ</w:t>
            </w:r>
            <w:r>
              <w:t>)</w:t>
            </w:r>
          </w:p>
        </w:tc>
        <w:tc>
          <w:tcPr>
            <w:tcW w:w="2002" w:type="dxa"/>
          </w:tcPr>
          <w:p w14:paraId="0DBA0851" w14:textId="77777777" w:rsidR="00B41F9C" w:rsidRDefault="00994197">
            <w:pPr>
              <w:pStyle w:val="cTableHeader"/>
              <w:spacing w:before="0" w:after="0"/>
            </w:pPr>
            <w:r>
              <w:t>Headroom vs existing coal ($18/MWh</w:t>
            </w:r>
            <w:r>
              <w:rPr>
                <w:rFonts w:ascii="Cambria Math" w:hAnsi="Cambria Math" w:cs="Cambria Math"/>
              </w:rPr>
              <w:t>ₜₕ</w:t>
            </w:r>
            <w:r>
              <w:t>)</w:t>
            </w:r>
          </w:p>
        </w:tc>
        <w:tc>
          <w:tcPr>
            <w:tcW w:w="2002" w:type="dxa"/>
          </w:tcPr>
          <w:p w14:paraId="34DDD177" w14:textId="77777777" w:rsidR="00B41F9C" w:rsidRDefault="00994197">
            <w:pPr>
              <w:pStyle w:val="cTableHeader"/>
              <w:spacing w:before="0" w:after="0"/>
            </w:pPr>
            <w:r>
              <w:t>Screening interpretation</w:t>
            </w:r>
          </w:p>
        </w:tc>
      </w:tr>
      <w:tr w:rsidR="00B41F9C" w14:paraId="270F49C9" w14:textId="77777777" w:rsidTr="00322275">
        <w:tc>
          <w:tcPr>
            <w:tcW w:w="2002" w:type="dxa"/>
          </w:tcPr>
          <w:p w14:paraId="37DDF5AD" w14:textId="77777777" w:rsidR="00B41F9C" w:rsidRDefault="00994197">
            <w:pPr>
              <w:pStyle w:val="cTableBody"/>
              <w:spacing w:before="0"/>
            </w:pPr>
            <w:r>
              <w:t>Direct Automated PWR heat</w:t>
            </w:r>
          </w:p>
        </w:tc>
        <w:tc>
          <w:tcPr>
            <w:tcW w:w="2002" w:type="dxa"/>
          </w:tcPr>
          <w:p w14:paraId="5926C450" w14:textId="77777777" w:rsidR="00B41F9C" w:rsidRDefault="00994197">
            <w:pPr>
              <w:pStyle w:val="cTableBody"/>
              <w:spacing w:before="0"/>
            </w:pPr>
            <w:r>
              <w:t>$10/MWh</w:t>
            </w:r>
            <w:r>
              <w:rPr>
                <w:rFonts w:ascii="Cambria Math" w:hAnsi="Cambria Math" w:cs="Cambria Math"/>
              </w:rPr>
              <w:t>ₜₕ</w:t>
            </w:r>
          </w:p>
        </w:tc>
        <w:tc>
          <w:tcPr>
            <w:tcW w:w="2002" w:type="dxa"/>
          </w:tcPr>
          <w:p w14:paraId="3F46226E" w14:textId="77777777" w:rsidR="00B41F9C" w:rsidRDefault="00994197">
            <w:pPr>
              <w:pStyle w:val="cTableBody"/>
              <w:spacing w:before="0"/>
            </w:pPr>
            <w:r>
              <w:t>+$11/MWh</w:t>
            </w:r>
            <w:r>
              <w:rPr>
                <w:rFonts w:ascii="Cambria Math" w:hAnsi="Cambria Math" w:cs="Cambria Math"/>
              </w:rPr>
              <w:t>ₜₕ</w:t>
            </w:r>
          </w:p>
        </w:tc>
        <w:tc>
          <w:tcPr>
            <w:tcW w:w="2002" w:type="dxa"/>
          </w:tcPr>
          <w:p w14:paraId="00A3A8FC" w14:textId="77777777" w:rsidR="00B41F9C" w:rsidRDefault="00994197">
            <w:pPr>
              <w:pStyle w:val="cTableBody"/>
              <w:spacing w:before="0"/>
            </w:pPr>
            <w:r>
              <w:t>+$8/MWh</w:t>
            </w:r>
            <w:r>
              <w:rPr>
                <w:rFonts w:ascii="Cambria Math" w:hAnsi="Cambria Math" w:cs="Cambria Math"/>
              </w:rPr>
              <w:t>ₜₕ</w:t>
            </w:r>
          </w:p>
        </w:tc>
        <w:tc>
          <w:tcPr>
            <w:tcW w:w="2002" w:type="dxa"/>
          </w:tcPr>
          <w:p w14:paraId="219688EA" w14:textId="77777777" w:rsidR="00B41F9C" w:rsidRDefault="00994197">
            <w:pPr>
              <w:pStyle w:val="cTableBody"/>
              <w:spacing w:before="0"/>
            </w:pPr>
            <w:r>
              <w:t>Strong starting point for low/medium-temperature heat.</w:t>
            </w:r>
          </w:p>
        </w:tc>
      </w:tr>
      <w:tr w:rsidR="00B41F9C" w14:paraId="5A04EFD5" w14:textId="77777777" w:rsidTr="00322275">
        <w:tc>
          <w:tcPr>
            <w:tcW w:w="2002" w:type="dxa"/>
          </w:tcPr>
          <w:p w14:paraId="108E5BA8" w14:textId="77777777" w:rsidR="00B41F9C" w:rsidRDefault="00994197">
            <w:pPr>
              <w:pStyle w:val="cTableBody"/>
              <w:spacing w:before="0"/>
            </w:pPr>
            <w:r>
              <w:t>Direct Automated HTR-PM heat</w:t>
            </w:r>
          </w:p>
        </w:tc>
        <w:tc>
          <w:tcPr>
            <w:tcW w:w="2002" w:type="dxa"/>
          </w:tcPr>
          <w:p w14:paraId="405EFDA2" w14:textId="77777777" w:rsidR="00B41F9C" w:rsidRDefault="00994197">
            <w:pPr>
              <w:pStyle w:val="cTableBody"/>
              <w:spacing w:before="0"/>
            </w:pPr>
            <w:r>
              <w:t>$15/MWh</w:t>
            </w:r>
            <w:r>
              <w:rPr>
                <w:rFonts w:ascii="Cambria Math" w:hAnsi="Cambria Math" w:cs="Cambria Math"/>
              </w:rPr>
              <w:t>ₜₕ</w:t>
            </w:r>
          </w:p>
        </w:tc>
        <w:tc>
          <w:tcPr>
            <w:tcW w:w="2002" w:type="dxa"/>
          </w:tcPr>
          <w:p w14:paraId="1734F786" w14:textId="77777777" w:rsidR="00B41F9C" w:rsidRDefault="00994197">
            <w:pPr>
              <w:pStyle w:val="cTableBody"/>
              <w:spacing w:before="0"/>
            </w:pPr>
            <w:r>
              <w:t>+$6/MWh</w:t>
            </w:r>
            <w:r>
              <w:rPr>
                <w:rFonts w:ascii="Cambria Math" w:hAnsi="Cambria Math" w:cs="Cambria Math"/>
              </w:rPr>
              <w:t>ₜₕ</w:t>
            </w:r>
          </w:p>
        </w:tc>
        <w:tc>
          <w:tcPr>
            <w:tcW w:w="2002" w:type="dxa"/>
          </w:tcPr>
          <w:p w14:paraId="66088C5F" w14:textId="77777777" w:rsidR="00B41F9C" w:rsidRDefault="00994197">
            <w:pPr>
              <w:pStyle w:val="cTableBody"/>
              <w:spacing w:before="0"/>
            </w:pPr>
            <w:r>
              <w:t>+$3/MWh</w:t>
            </w:r>
            <w:r>
              <w:rPr>
                <w:rFonts w:ascii="Cambria Math" w:hAnsi="Cambria Math" w:cs="Cambria Math"/>
              </w:rPr>
              <w:t>ₜₕ</w:t>
            </w:r>
          </w:p>
        </w:tc>
        <w:tc>
          <w:tcPr>
            <w:tcW w:w="2002" w:type="dxa"/>
          </w:tcPr>
          <w:p w14:paraId="70FDF74B" w14:textId="77777777" w:rsidR="00B41F9C" w:rsidRDefault="00994197">
            <w:pPr>
              <w:pStyle w:val="cTableBody"/>
              <w:spacing w:before="0"/>
            </w:pPr>
            <w:r>
              <w:t>Use where 300–500°C heat has real process value.</w:t>
            </w:r>
          </w:p>
        </w:tc>
      </w:tr>
      <w:tr w:rsidR="00B41F9C" w14:paraId="6D9969B6" w14:textId="77777777" w:rsidTr="00322275">
        <w:tc>
          <w:tcPr>
            <w:tcW w:w="2002" w:type="dxa"/>
          </w:tcPr>
          <w:p w14:paraId="0A719453" w14:textId="77777777" w:rsidR="00B41F9C" w:rsidRDefault="00994197">
            <w:pPr>
              <w:pStyle w:val="cTableBody"/>
              <w:spacing w:before="0"/>
            </w:pPr>
            <w:r>
              <w:t>PWR electricity + heat pump, COP 3.5</w:t>
            </w:r>
          </w:p>
        </w:tc>
        <w:tc>
          <w:tcPr>
            <w:tcW w:w="2002" w:type="dxa"/>
          </w:tcPr>
          <w:p w14:paraId="4253F4BE" w14:textId="77777777" w:rsidR="00B41F9C" w:rsidRDefault="00994197">
            <w:pPr>
              <w:pStyle w:val="cTableBody"/>
              <w:spacing w:before="0"/>
            </w:pPr>
            <w:r>
              <w:t>$8.86/MWh</w:t>
            </w:r>
            <w:r>
              <w:rPr>
                <w:rFonts w:ascii="Cambria Math" w:hAnsi="Cambria Math" w:cs="Cambria Math"/>
              </w:rPr>
              <w:t>ₜₕ</w:t>
            </w:r>
            <w:r>
              <w:t xml:space="preserve"> electricity component</w:t>
            </w:r>
          </w:p>
        </w:tc>
        <w:tc>
          <w:tcPr>
            <w:tcW w:w="2002" w:type="dxa"/>
          </w:tcPr>
          <w:p w14:paraId="29E0E688" w14:textId="77777777" w:rsidR="00B41F9C" w:rsidRDefault="00994197">
            <w:pPr>
              <w:pStyle w:val="cTableBody"/>
              <w:spacing w:before="0"/>
            </w:pPr>
            <w:r>
              <w:t>+$12.14/MWh</w:t>
            </w:r>
            <w:r>
              <w:rPr>
                <w:rFonts w:ascii="Cambria Math" w:hAnsi="Cambria Math" w:cs="Cambria Math"/>
              </w:rPr>
              <w:t>ₜₕ</w:t>
            </w:r>
          </w:p>
        </w:tc>
        <w:tc>
          <w:tcPr>
            <w:tcW w:w="2002" w:type="dxa"/>
          </w:tcPr>
          <w:p w14:paraId="33F8AA27" w14:textId="77777777" w:rsidR="00B41F9C" w:rsidRDefault="00994197">
            <w:pPr>
              <w:pStyle w:val="cTableBody"/>
              <w:spacing w:before="0"/>
            </w:pPr>
            <w:r>
              <w:t>+$9.14/MWh</w:t>
            </w:r>
            <w:r>
              <w:rPr>
                <w:rFonts w:ascii="Cambria Math" w:hAnsi="Cambria Math" w:cs="Cambria Math"/>
              </w:rPr>
              <w:t>ₜₕ</w:t>
            </w:r>
          </w:p>
        </w:tc>
        <w:tc>
          <w:tcPr>
            <w:tcW w:w="2002" w:type="dxa"/>
          </w:tcPr>
          <w:p w14:paraId="65A45D3A" w14:textId="77777777" w:rsidR="00B41F9C" w:rsidRDefault="00994197">
            <w:pPr>
              <w:pStyle w:val="cTableBody"/>
              <w:spacing w:before="0"/>
            </w:pPr>
            <w:r>
              <w:t>Large headroom before heat-pump capital and O&amp;M.</w:t>
            </w:r>
          </w:p>
        </w:tc>
      </w:tr>
      <w:tr w:rsidR="00B41F9C" w14:paraId="273DCE51" w14:textId="77777777" w:rsidTr="00322275">
        <w:tc>
          <w:tcPr>
            <w:tcW w:w="2002" w:type="dxa"/>
          </w:tcPr>
          <w:p w14:paraId="31795DAF" w14:textId="77777777" w:rsidR="00B41F9C" w:rsidRDefault="00994197">
            <w:pPr>
              <w:pStyle w:val="cTableBody"/>
              <w:spacing w:before="0"/>
            </w:pPr>
            <w:r>
              <w:t>PWR electricity + heat pump, COP 4</w:t>
            </w:r>
          </w:p>
        </w:tc>
        <w:tc>
          <w:tcPr>
            <w:tcW w:w="2002" w:type="dxa"/>
          </w:tcPr>
          <w:p w14:paraId="180BD213" w14:textId="77777777" w:rsidR="00B41F9C" w:rsidRDefault="00994197">
            <w:pPr>
              <w:pStyle w:val="cTableBody"/>
              <w:spacing w:before="0"/>
            </w:pPr>
            <w:r>
              <w:t>$7.75/MWh</w:t>
            </w:r>
            <w:r>
              <w:rPr>
                <w:rFonts w:ascii="Cambria Math" w:hAnsi="Cambria Math" w:cs="Cambria Math"/>
              </w:rPr>
              <w:t>ₜₕ</w:t>
            </w:r>
            <w:r>
              <w:t xml:space="preserve"> electricity component</w:t>
            </w:r>
          </w:p>
        </w:tc>
        <w:tc>
          <w:tcPr>
            <w:tcW w:w="2002" w:type="dxa"/>
          </w:tcPr>
          <w:p w14:paraId="1886F208" w14:textId="77777777" w:rsidR="00B41F9C" w:rsidRDefault="00994197">
            <w:pPr>
              <w:pStyle w:val="cTableBody"/>
              <w:spacing w:before="0"/>
            </w:pPr>
            <w:r>
              <w:t>+$13.25/MWh</w:t>
            </w:r>
            <w:r>
              <w:rPr>
                <w:rFonts w:ascii="Cambria Math" w:hAnsi="Cambria Math" w:cs="Cambria Math"/>
              </w:rPr>
              <w:t>ₜₕ</w:t>
            </w:r>
          </w:p>
        </w:tc>
        <w:tc>
          <w:tcPr>
            <w:tcW w:w="2002" w:type="dxa"/>
          </w:tcPr>
          <w:p w14:paraId="0BFFC931" w14:textId="77777777" w:rsidR="00B41F9C" w:rsidRDefault="00994197">
            <w:pPr>
              <w:pStyle w:val="cTableBody"/>
              <w:spacing w:before="0"/>
            </w:pPr>
            <w:r>
              <w:t>+$10.25/MWh</w:t>
            </w:r>
            <w:r>
              <w:rPr>
                <w:rFonts w:ascii="Cambria Math" w:hAnsi="Cambria Math" w:cs="Cambria Math"/>
              </w:rPr>
              <w:t>ₜₕ</w:t>
            </w:r>
          </w:p>
        </w:tc>
        <w:tc>
          <w:tcPr>
            <w:tcW w:w="2002" w:type="dxa"/>
          </w:tcPr>
          <w:p w14:paraId="6ED61DB0" w14:textId="77777777" w:rsidR="00B41F9C" w:rsidRDefault="00994197">
            <w:pPr>
              <w:pStyle w:val="cTableBody"/>
              <w:spacing w:before="0"/>
            </w:pPr>
            <w:r>
              <w:t>Especially attractive when waste heat is recoverable.</w:t>
            </w:r>
          </w:p>
        </w:tc>
      </w:tr>
      <w:tr w:rsidR="00B41F9C" w14:paraId="4761985F" w14:textId="77777777" w:rsidTr="00322275">
        <w:tc>
          <w:tcPr>
            <w:tcW w:w="2002" w:type="dxa"/>
          </w:tcPr>
          <w:p w14:paraId="0920CA21" w14:textId="77777777" w:rsidR="00B41F9C" w:rsidRDefault="00994197">
            <w:pPr>
              <w:pStyle w:val="cTableBody"/>
              <w:spacing w:before="0"/>
            </w:pPr>
            <w:r>
              <w:t>PWR resistance/electric furnace</w:t>
            </w:r>
          </w:p>
        </w:tc>
        <w:tc>
          <w:tcPr>
            <w:tcW w:w="2002" w:type="dxa"/>
          </w:tcPr>
          <w:p w14:paraId="49F6F927" w14:textId="77777777" w:rsidR="00B41F9C" w:rsidRDefault="00994197">
            <w:pPr>
              <w:pStyle w:val="cTableBody"/>
              <w:spacing w:before="0"/>
            </w:pPr>
            <w:r>
              <w:t>$31/MWh</w:t>
            </w:r>
            <w:r>
              <w:rPr>
                <w:rFonts w:ascii="Cambria Math" w:hAnsi="Cambria Math" w:cs="Cambria Math"/>
              </w:rPr>
              <w:t>ₜₕ</w:t>
            </w:r>
            <w:r>
              <w:t xml:space="preserve"> electricity component</w:t>
            </w:r>
          </w:p>
        </w:tc>
        <w:tc>
          <w:tcPr>
            <w:tcW w:w="2002" w:type="dxa"/>
          </w:tcPr>
          <w:p w14:paraId="22C12A9B" w14:textId="77777777" w:rsidR="00B41F9C" w:rsidRDefault="00994197">
            <w:pPr>
              <w:pStyle w:val="cTableBody"/>
              <w:spacing w:before="0"/>
            </w:pPr>
            <w:r>
              <w:t>−</w:t>
            </w:r>
            <w:r>
              <w:t>$10/MWh</w:t>
            </w:r>
            <w:r>
              <w:rPr>
                <w:rFonts w:ascii="Cambria Math" w:hAnsi="Cambria Math" w:cs="Cambria Math"/>
              </w:rPr>
              <w:t>ₜₕ</w:t>
            </w:r>
          </w:p>
        </w:tc>
        <w:tc>
          <w:tcPr>
            <w:tcW w:w="2002" w:type="dxa"/>
          </w:tcPr>
          <w:p w14:paraId="678C4330" w14:textId="77777777" w:rsidR="00B41F9C" w:rsidRDefault="00994197">
            <w:pPr>
              <w:pStyle w:val="cTableBody"/>
              <w:spacing w:before="0"/>
            </w:pPr>
            <w:r>
              <w:t>−</w:t>
            </w:r>
            <w:r>
              <w:t>$13/MWh</w:t>
            </w:r>
            <w:r>
              <w:rPr>
                <w:rFonts w:ascii="Cambria Math" w:hAnsi="Cambria Math" w:cs="Cambria Math"/>
              </w:rPr>
              <w:t>ₜₕ</w:t>
            </w:r>
          </w:p>
        </w:tc>
        <w:tc>
          <w:tcPr>
            <w:tcW w:w="2002" w:type="dxa"/>
          </w:tcPr>
          <w:p w14:paraId="0AFA8233" w14:textId="77777777" w:rsidR="00B41F9C" w:rsidRDefault="00994197">
            <w:pPr>
              <w:pStyle w:val="cTableBody"/>
              <w:spacing w:before="0"/>
            </w:pPr>
            <w:r>
              <w:t>Needs process-efficiency gains or a gas/oil incumbent; not an automatic coal-cost win.</w:t>
            </w:r>
          </w:p>
        </w:tc>
      </w:tr>
      <w:tr w:rsidR="00B41F9C" w14:paraId="5DAD313B" w14:textId="77777777" w:rsidTr="00322275">
        <w:tc>
          <w:tcPr>
            <w:tcW w:w="2002" w:type="dxa"/>
          </w:tcPr>
          <w:p w14:paraId="061F570C" w14:textId="77777777" w:rsidR="00B41F9C" w:rsidRDefault="00994197">
            <w:pPr>
              <w:pStyle w:val="cTableBody"/>
              <w:spacing w:before="0"/>
            </w:pPr>
            <w:r>
              <w:t>50% HTR-PM heat + 50% electric topping</w:t>
            </w:r>
          </w:p>
        </w:tc>
        <w:tc>
          <w:tcPr>
            <w:tcW w:w="2002" w:type="dxa"/>
          </w:tcPr>
          <w:p w14:paraId="7B5B155D" w14:textId="77777777" w:rsidR="00B41F9C" w:rsidRDefault="00994197">
            <w:pPr>
              <w:pStyle w:val="cTableBody"/>
              <w:spacing w:before="0"/>
            </w:pPr>
            <w:r>
              <w:t>$26/MWh</w:t>
            </w:r>
            <w:r>
              <w:rPr>
                <w:rFonts w:ascii="Cambria Math" w:hAnsi="Cambria Math" w:cs="Cambria Math"/>
              </w:rPr>
              <w:t>ₜₕ</w:t>
            </w:r>
            <w:r>
              <w:t xml:space="preserve"> simplified energy component</w:t>
            </w:r>
          </w:p>
        </w:tc>
        <w:tc>
          <w:tcPr>
            <w:tcW w:w="2002" w:type="dxa"/>
          </w:tcPr>
          <w:p w14:paraId="704F7EDA" w14:textId="77777777" w:rsidR="00B41F9C" w:rsidRDefault="00994197">
            <w:pPr>
              <w:pStyle w:val="cTableBody"/>
              <w:spacing w:before="0"/>
            </w:pPr>
            <w:r>
              <w:t>−</w:t>
            </w:r>
            <w:r>
              <w:t>$5/MWh</w:t>
            </w:r>
            <w:r>
              <w:rPr>
                <w:rFonts w:ascii="Cambria Math" w:hAnsi="Cambria Math" w:cs="Cambria Math"/>
              </w:rPr>
              <w:t>ₜₕ</w:t>
            </w:r>
          </w:p>
        </w:tc>
        <w:tc>
          <w:tcPr>
            <w:tcW w:w="2002" w:type="dxa"/>
          </w:tcPr>
          <w:p w14:paraId="34C26AF4" w14:textId="77777777" w:rsidR="00B41F9C" w:rsidRDefault="00994197">
            <w:pPr>
              <w:pStyle w:val="cTableBody"/>
              <w:spacing w:before="0"/>
            </w:pPr>
            <w:r>
              <w:t>−</w:t>
            </w:r>
            <w:r>
              <w:t>$8/MWh</w:t>
            </w:r>
            <w:r>
              <w:rPr>
                <w:rFonts w:ascii="Cambria Math" w:hAnsi="Cambria Math" w:cs="Cambria Math"/>
              </w:rPr>
              <w:t>ₜₕ</w:t>
            </w:r>
          </w:p>
        </w:tc>
        <w:tc>
          <w:tcPr>
            <w:tcW w:w="2002" w:type="dxa"/>
          </w:tcPr>
          <w:p w14:paraId="218DF2ED" w14:textId="77777777" w:rsidR="00B41F9C" w:rsidRDefault="00994197">
            <w:pPr>
              <w:pStyle w:val="cTableBody"/>
              <w:spacing w:before="0"/>
            </w:pPr>
            <w:r>
              <w:t>High-temperature option; economics depend strongly on avoided gas/oil and process efficiency.</w:t>
            </w:r>
          </w:p>
        </w:tc>
      </w:tr>
    </w:tbl>
    <w:p w14:paraId="58469B0B" w14:textId="77777777" w:rsidR="00B41F9C" w:rsidRDefault="00994197">
      <w:r>
        <w:t xml:space="preserve">Positive headroom is not profit; it is the amount available to pay for heat exchangers, piping, heat pumps, platform capital, maintenance, site logistics, financing, and risk before the nuclear route loses </w:t>
      </w:r>
      <w:r>
        <w:lastRenderedPageBreak/>
        <w:t>its energy-cost advantage. Each platform business case should publish this headroom together with expected CO₂ reduction, throughput, capital cost, and sensitivity to fossil-fuel prices.</w:t>
      </w:r>
    </w:p>
    <w:p w14:paraId="27B6E371" w14:textId="77777777" w:rsidR="00FF5FB9" w:rsidRDefault="00FF5FB9" w:rsidP="00FF5FB9">
      <w:pPr>
        <w:pStyle w:val="Heading2"/>
        <w:spacing w:before="280"/>
      </w:pPr>
      <w:r>
        <w:t>Where I would concentrate</w:t>
      </w:r>
    </w:p>
    <w:p w14:paraId="2E4035DA" w14:textId="77777777" w:rsidR="00FF5FB9" w:rsidRDefault="00FF5FB9" w:rsidP="00FF5FB9">
      <w:pPr>
        <w:pStyle w:val="Heading3"/>
        <w:spacing w:before="280" w:after="280"/>
      </w:pPr>
      <w:r>
        <w:t>1. Evaporation, boiling, low-pressure steam and hot water — probably the largest easy opportunity</w:t>
      </w:r>
    </w:p>
    <w:p w14:paraId="705EB0D4"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This is my </w:t>
      </w:r>
      <w:r>
        <w:rPr>
          <w:rFonts w:eastAsia="Times New Roman" w:cstheme="majorHAnsi"/>
          <w:b/>
          <w:bCs/>
          <w:szCs w:val="24"/>
        </w:rPr>
        <w:t>#1 target</w:t>
      </w:r>
      <w:r>
        <w:rPr>
          <w:rFonts w:eastAsia="Times New Roman" w:cstheme="majorHAnsi"/>
          <w:szCs w:val="24"/>
        </w:rPr>
        <w:t>.</w:t>
      </w:r>
    </w:p>
    <w:p w14:paraId="7BB29D8A"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Processes currently burn coal or gas merely to make steam or hot water. Instead:</w:t>
      </w:r>
    </w:p>
    <w:p w14:paraId="0E529FF6" w14:textId="77777777" w:rsidR="00FF5FB9" w:rsidRDefault="00FF5FB9" w:rsidP="005034B9">
      <w:pPr>
        <w:pStyle w:val="bblueindent"/>
      </w:pPr>
      <w:r>
        <w:t>Automated PWR → steam/intermediate loop → factory-made process platform</w:t>
      </w:r>
    </w:p>
    <w:p w14:paraId="12CF5857"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or, where there is a suitable low-temperature waste-heat source:</w:t>
      </w:r>
    </w:p>
    <w:p w14:paraId="377CCF62" w14:textId="77777777" w:rsidR="00FF5FB9" w:rsidRDefault="00FF5FB9" w:rsidP="005034B9">
      <w:pPr>
        <w:pStyle w:val="bblueindent"/>
      </w:pPr>
      <w:r>
        <w:t>Automated PWR electricity → industrial heat pump/MVR → steam</w:t>
      </w:r>
    </w:p>
    <w:p w14:paraId="4A2CAAE8"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Applications include food processing, beverage production, dairies, breweries, sugar/starch plants, pharmaceuticals, fermentation, chemical plants, textiles, pulp and paper.</w:t>
      </w:r>
    </w:p>
    <w:p w14:paraId="2EA56AFC"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IEA reports Chinese industry consumes about </w:t>
      </w:r>
      <w:r>
        <w:rPr>
          <w:rFonts w:eastAsia="Times New Roman" w:cstheme="majorHAnsi"/>
          <w:b/>
          <w:bCs/>
          <w:szCs w:val="24"/>
        </w:rPr>
        <w:t>38 EJ/year of heat</w:t>
      </w:r>
      <w:r>
        <w:rPr>
          <w:rFonts w:eastAsia="Times New Roman" w:cstheme="majorHAnsi"/>
          <w:szCs w:val="24"/>
        </w:rPr>
        <w:t xml:space="preserve">, with nearly </w:t>
      </w:r>
      <w:r>
        <w:rPr>
          <w:rFonts w:eastAsia="Times New Roman" w:cstheme="majorHAnsi"/>
          <w:b/>
          <w:bCs/>
          <w:szCs w:val="24"/>
        </w:rPr>
        <w:t>20% below 200°C</w:t>
      </w:r>
      <w:r>
        <w:rPr>
          <w:rFonts w:eastAsia="Times New Roman" w:cstheme="majorHAnsi"/>
          <w:szCs w:val="24"/>
        </w:rPr>
        <w:t xml:space="preserve">. Light industry, pulp and paper, and chemicals account for more than three-quarters of this sub-200°C heat demand. </w:t>
      </w:r>
    </w:p>
    <w:p w14:paraId="1B06242F"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That means this isn't a niche market—it is several thousand TWh/year in China alone.</w:t>
      </w:r>
    </w:p>
    <w:p w14:paraId="55A6E25C"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For direct PWR heat, even allowing several dollars/MWh for the isolation heat exchanger, piping and platform equipment, there is a reasonable chance of staying below Chinese coal heat and a very large margin versus natural gas.</w:t>
      </w:r>
    </w:p>
    <w:p w14:paraId="7E46C19A" w14:textId="77777777" w:rsidR="00FF5FB9" w:rsidRDefault="00FF5FB9" w:rsidP="00FF5FB9">
      <w:pPr>
        <w:pStyle w:val="Heading3"/>
        <w:spacing w:before="280" w:after="280"/>
      </w:pPr>
      <w:r>
        <w:t>2. Industrial heat pumps + mechanical vapor recompression</w:t>
      </w:r>
    </w:p>
    <w:p w14:paraId="7B7E3D82"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This may actually be </w:t>
      </w:r>
      <w:r>
        <w:rPr>
          <w:rFonts w:eastAsia="Times New Roman" w:cstheme="majorHAnsi"/>
          <w:b/>
          <w:bCs/>
          <w:szCs w:val="24"/>
        </w:rPr>
        <w:t>the strongest economic opportunity of all</w:t>
      </w:r>
      <w:r>
        <w:rPr>
          <w:rFonts w:eastAsia="Times New Roman" w:cstheme="majorHAnsi"/>
          <w:szCs w:val="24"/>
        </w:rPr>
        <w:t>, because you aren't simply replacing one heat source with another—you are reducing the amount of purchased energy dramatically.</w:t>
      </w:r>
    </w:p>
    <w:p w14:paraId="350A9B24"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Suppose the process needs 1 MWh of 120–160°C useful heat.</w:t>
      </w:r>
    </w:p>
    <w:p w14:paraId="72EE71BE"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At COP 3.5:</w:t>
      </w:r>
    </w:p>
    <w:p w14:paraId="408E72AB" w14:textId="77777777" w:rsidR="00FF5FB9" w:rsidRDefault="00FF5FB9" w:rsidP="005034B9">
      <w:pPr>
        <w:pStyle w:val="bblueindent"/>
      </w:pPr>
      <w:r>
        <w:t>31 / 3.5 = $8.86/MWh</w:t>
      </w:r>
      <w:r>
        <w:rPr>
          <w:rFonts w:ascii="Cambria Math" w:hAnsi="Cambria Math" w:cs="Cambria Math"/>
        </w:rPr>
        <w:t>ₜₕ</w:t>
      </w:r>
      <w:r>
        <w:t xml:space="preserve"> for PWR electricity.</w:t>
      </w:r>
    </w:p>
    <w:p w14:paraId="33D1F2A6" w14:textId="77777777" w:rsidR="00FF5FB9" w:rsidRDefault="00FF5FB9" w:rsidP="00FF5FB9">
      <w:pPr>
        <w:spacing w:before="280" w:after="280"/>
        <w:rPr>
          <w:rFonts w:asciiTheme="majorHAnsi" w:eastAsia="Times New Roman" w:hAnsiTheme="majorHAnsi" w:cstheme="majorHAnsi"/>
          <w:szCs w:val="24"/>
        </w:rPr>
      </w:pPr>
      <w:r>
        <w:t>At COP 4: 31 / 4 = $7.75/MWhₜₕ for PWR electricity.</w:t>
      </w:r>
    </w:p>
    <w:p w14:paraId="18568CB2" w14:textId="77777777" w:rsidR="00FF5FB9" w:rsidRDefault="00FF5FB9" w:rsidP="005034B9">
      <w:pPr>
        <w:pStyle w:val="bblueindent"/>
      </w:pPr>
      <w:r>
        <w:lastRenderedPageBreak/>
        <w:t xml:space="preserve">The heat-pump equipment, heat exchangers and maintenance still need to be paid for, so $7.75–8.9 is not the final LCOH. But compare it with </w:t>
      </w:r>
      <w:r>
        <w:rPr>
          <w:b/>
          <w:bCs/>
        </w:rPr>
        <w:t>$16–23/MWh coal fuel cost</w:t>
      </w:r>
      <w:r>
        <w:t xml:space="preserve"> and </w:t>
      </w:r>
      <w:r>
        <w:rPr>
          <w:b/>
          <w:bCs/>
        </w:rPr>
        <w:t>$59–90/MWh natural-gas useful heat</w:t>
      </w:r>
      <w:r>
        <w:t>. There is enough economic headroom to pay for considerable equipment.</w:t>
      </w:r>
    </w:p>
    <w:p w14:paraId="4B603998"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IEA finds commercially available Chinese industrial heat pumps can address substantial demand below 200°C and identifies standardization as a cost problem because systems currently have to be tailored to particular factories. </w:t>
      </w:r>
    </w:p>
    <w:p w14:paraId="458E4726"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That fits your platform concept unusually well.</w:t>
      </w:r>
    </w:p>
    <w:p w14:paraId="7E4C48DA"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I would create standardized factory-built units such as:</w:t>
      </w:r>
    </w:p>
    <w:p w14:paraId="4F93E169" w14:textId="77777777" w:rsidR="00FF5FB9" w:rsidRDefault="00FF5FB9" w:rsidP="005034B9">
      <w:pPr>
        <w:pStyle w:val="bblueindent"/>
      </w:pPr>
      <w:r>
        <w:t>25 MW</w:t>
      </w:r>
      <w:r>
        <w:rPr>
          <w:rFonts w:ascii="Cambria Math" w:hAnsi="Cambria Math" w:cs="Cambria Math"/>
        </w:rPr>
        <w:t>ₜₕ</w:t>
      </w:r>
      <w:r>
        <w:t xml:space="preserve"> heat-pump platform</w:t>
      </w:r>
      <w:r>
        <w:br/>
        <w:t>50 MW</w:t>
      </w:r>
      <w:r>
        <w:rPr>
          <w:rFonts w:ascii="Cambria Math" w:hAnsi="Cambria Math" w:cs="Cambria Math"/>
        </w:rPr>
        <w:t>ₜₕ</w:t>
      </w:r>
      <w:r>
        <w:t xml:space="preserve"> heat-pump platform</w:t>
      </w:r>
      <w:r>
        <w:br/>
        <w:t>100 MW</w:t>
      </w:r>
      <w:r>
        <w:rPr>
          <w:rFonts w:ascii="Cambria Math" w:hAnsi="Cambria Math" w:cs="Cambria Math"/>
        </w:rPr>
        <w:t>ₜₕ</w:t>
      </w:r>
      <w:r>
        <w:t xml:space="preserve"> steam-generation platform</w:t>
      </w:r>
      <w:r>
        <w:br/>
        <w:t>MVR evaporation platform</w:t>
      </w:r>
    </w:p>
    <w:p w14:paraId="773B49B0"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with standardized steam, water, electricity and control interfaces.</w:t>
      </w:r>
    </w:p>
    <w:p w14:paraId="3886EF42" w14:textId="77777777" w:rsidR="00FF5FB9" w:rsidRDefault="00FF5FB9" w:rsidP="00FF5FB9">
      <w:pPr>
        <w:pStyle w:val="Heading3"/>
        <w:spacing w:before="280" w:after="280"/>
      </w:pPr>
      <w:r>
        <w:t>3. Pulp and paper</w:t>
      </w:r>
    </w:p>
    <w:p w14:paraId="2B957671"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This looks particularly strong.</w:t>
      </w:r>
    </w:p>
    <w:p w14:paraId="1FEDA11F"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Much of a paper mill's fossil heat goes into:</w:t>
      </w:r>
    </w:p>
    <w:p w14:paraId="7A4AF474" w14:textId="77777777" w:rsidR="00FF5FB9" w:rsidRDefault="00FF5FB9">
      <w:pPr>
        <w:pStyle w:val="blist-bullets"/>
        <w:numPr>
          <w:ilvl w:val="0"/>
          <w:numId w:val="3"/>
        </w:numPr>
        <w:spacing w:before="0" w:after="0"/>
        <w:rPr>
          <w:rFonts w:asciiTheme="majorHAnsi" w:eastAsia="Times New Roman" w:hAnsiTheme="majorHAnsi" w:cstheme="majorHAnsi"/>
          <w:szCs w:val="24"/>
        </w:rPr>
      </w:pPr>
      <w:r>
        <w:rPr>
          <w:rFonts w:eastAsia="Times New Roman" w:cstheme="majorHAnsi"/>
          <w:szCs w:val="24"/>
        </w:rPr>
        <w:t xml:space="preserve">drying paper; </w:t>
      </w:r>
    </w:p>
    <w:p w14:paraId="2891104F" w14:textId="77777777" w:rsidR="00FF5FB9" w:rsidRDefault="00FF5FB9">
      <w:pPr>
        <w:pStyle w:val="blist-bullets"/>
        <w:numPr>
          <w:ilvl w:val="0"/>
          <w:numId w:val="3"/>
        </w:numPr>
        <w:spacing w:before="0" w:after="0"/>
        <w:rPr>
          <w:rFonts w:asciiTheme="majorHAnsi" w:eastAsia="Times New Roman" w:hAnsiTheme="majorHAnsi" w:cstheme="majorHAnsi"/>
          <w:szCs w:val="24"/>
        </w:rPr>
      </w:pPr>
      <w:r>
        <w:rPr>
          <w:rFonts w:eastAsia="Times New Roman" w:cstheme="majorHAnsi"/>
          <w:szCs w:val="24"/>
        </w:rPr>
        <w:t xml:space="preserve">evaporating black liquor; </w:t>
      </w:r>
    </w:p>
    <w:p w14:paraId="602B7E70" w14:textId="77777777" w:rsidR="00FF5FB9" w:rsidRDefault="00FF5FB9">
      <w:pPr>
        <w:pStyle w:val="blist-bullets"/>
        <w:numPr>
          <w:ilvl w:val="0"/>
          <w:numId w:val="3"/>
        </w:numPr>
        <w:spacing w:before="0" w:after="0"/>
        <w:rPr>
          <w:rFonts w:asciiTheme="majorHAnsi" w:eastAsia="Times New Roman" w:hAnsiTheme="majorHAnsi" w:cstheme="majorHAnsi"/>
          <w:szCs w:val="24"/>
        </w:rPr>
      </w:pPr>
      <w:r>
        <w:rPr>
          <w:rFonts w:eastAsia="Times New Roman" w:cstheme="majorHAnsi"/>
          <w:szCs w:val="24"/>
        </w:rPr>
        <w:t xml:space="preserve">pulp cooking; </w:t>
      </w:r>
    </w:p>
    <w:p w14:paraId="7F9E836C" w14:textId="77777777" w:rsidR="00FF5FB9" w:rsidRDefault="00FF5FB9">
      <w:pPr>
        <w:pStyle w:val="blist-bullets"/>
        <w:numPr>
          <w:ilvl w:val="0"/>
          <w:numId w:val="3"/>
        </w:numPr>
        <w:spacing w:before="0" w:after="0"/>
        <w:rPr>
          <w:rFonts w:asciiTheme="majorHAnsi" w:eastAsia="Times New Roman" w:hAnsiTheme="majorHAnsi" w:cstheme="majorHAnsi"/>
          <w:szCs w:val="24"/>
        </w:rPr>
      </w:pPr>
      <w:r>
        <w:rPr>
          <w:rFonts w:eastAsia="Times New Roman" w:cstheme="majorHAnsi"/>
          <w:szCs w:val="24"/>
        </w:rPr>
        <w:t xml:space="preserve">hot water; </w:t>
      </w:r>
    </w:p>
    <w:p w14:paraId="7F24C649" w14:textId="77777777" w:rsidR="00FF5FB9" w:rsidRDefault="00FF5FB9">
      <w:pPr>
        <w:pStyle w:val="blist-bullets"/>
        <w:numPr>
          <w:ilvl w:val="0"/>
          <w:numId w:val="3"/>
        </w:numPr>
        <w:spacing w:before="0" w:after="280"/>
        <w:rPr>
          <w:rFonts w:asciiTheme="majorHAnsi" w:eastAsia="Times New Roman" w:hAnsiTheme="majorHAnsi" w:cstheme="majorHAnsi"/>
          <w:szCs w:val="24"/>
        </w:rPr>
      </w:pPr>
      <w:r>
        <w:rPr>
          <w:rFonts w:eastAsia="Times New Roman" w:cstheme="majorHAnsi"/>
          <w:szCs w:val="24"/>
        </w:rPr>
        <w:t xml:space="preserve">low- and medium-pressure steam. </w:t>
      </w:r>
    </w:p>
    <w:p w14:paraId="40D7C8B1"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Your earlier document already identifies pulp/paper as an excellent fit for nuclear steam, heat pumps and vapor recompression. </w:t>
      </w:r>
    </w:p>
    <w:p w14:paraId="313B16FA"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A good architecture would be:</w:t>
      </w:r>
    </w:p>
    <w:p w14:paraId="42ED4525" w14:textId="77777777" w:rsidR="00FF5FB9" w:rsidRDefault="00FF5FB9" w:rsidP="005034B9">
      <w:pPr>
        <w:pStyle w:val="bblueindent"/>
      </w:pPr>
      <w:r>
        <w:t>PWR steam → high-temperature steam loads</w:t>
      </w:r>
    </w:p>
    <w:p w14:paraId="23826B7E"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then:</w:t>
      </w:r>
    </w:p>
    <w:p w14:paraId="5D628C73" w14:textId="77777777" w:rsidR="00FF5FB9" w:rsidRDefault="00FF5FB9" w:rsidP="005034B9">
      <w:pPr>
        <w:pStyle w:val="bblueindent"/>
      </w:pPr>
      <w:r>
        <w:t>condensate/waste heat → heat pump → lower-pressure steam</w:t>
      </w:r>
    </w:p>
    <w:p w14:paraId="28B30327"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and:</w:t>
      </w:r>
    </w:p>
    <w:p w14:paraId="768CADCE" w14:textId="77777777" w:rsidR="00FF5FB9" w:rsidRDefault="00FF5FB9" w:rsidP="005034B9">
      <w:pPr>
        <w:pStyle w:val="bblueindent"/>
      </w:pPr>
      <w:r>
        <w:lastRenderedPageBreak/>
        <w:t>evaporators → mechanical vapor recompression</w:t>
      </w:r>
    </w:p>
    <w:p w14:paraId="0DF4B259"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The one qualification is that mills burning </w:t>
      </w:r>
      <w:r>
        <w:rPr>
          <w:rFonts w:eastAsia="Times New Roman" w:cstheme="majorHAnsi"/>
          <w:b/>
          <w:bCs/>
          <w:szCs w:val="24"/>
        </w:rPr>
        <w:t>black liquor, bark or other internal biomass residues</w:t>
      </w:r>
      <w:r>
        <w:rPr>
          <w:rFonts w:eastAsia="Times New Roman" w:cstheme="majorHAnsi"/>
          <w:szCs w:val="24"/>
        </w:rPr>
        <w:t xml:space="preserve"> may already have very cheap heat, so those aren't the first sites I would pursue. </w:t>
      </w:r>
    </w:p>
    <w:p w14:paraId="7F6AB334"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Target mills that currently purchase coal, natural gas or fuel oil.</w:t>
      </w:r>
    </w:p>
    <w:p w14:paraId="3B69DEE8" w14:textId="77777777" w:rsidR="00FF5FB9" w:rsidRDefault="00FF5FB9" w:rsidP="00FF5FB9">
      <w:pPr>
        <w:pStyle w:val="Heading3"/>
        <w:spacing w:before="280" w:after="280"/>
      </w:pPr>
      <w:r>
        <w:t>4. Food, beverage, sugar and starch processing</w:t>
      </w:r>
    </w:p>
    <w:p w14:paraId="67993E6C"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This is another excellent application because temperatures are generally modest and the processes are repetitive enough to standardize.</w:t>
      </w:r>
    </w:p>
    <w:p w14:paraId="7CFCB4C2"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Typical thermal duties include:</w:t>
      </w:r>
    </w:p>
    <w:p w14:paraId="05AF7C87" w14:textId="77777777" w:rsidR="00FF5FB9" w:rsidRDefault="00FF5FB9">
      <w:pPr>
        <w:pStyle w:val="blist-bullets"/>
        <w:numPr>
          <w:ilvl w:val="0"/>
          <w:numId w:val="4"/>
        </w:numPr>
        <w:spacing w:before="0" w:after="0"/>
        <w:rPr>
          <w:rFonts w:asciiTheme="majorHAnsi" w:eastAsia="Times New Roman" w:hAnsiTheme="majorHAnsi" w:cstheme="majorHAnsi"/>
          <w:szCs w:val="24"/>
        </w:rPr>
      </w:pPr>
      <w:r>
        <w:rPr>
          <w:rFonts w:eastAsia="Times New Roman" w:cstheme="majorHAnsi"/>
          <w:szCs w:val="24"/>
        </w:rPr>
        <w:t xml:space="preserve">pasteurization; </w:t>
      </w:r>
    </w:p>
    <w:p w14:paraId="3848F8DF" w14:textId="77777777" w:rsidR="00FF5FB9" w:rsidRDefault="00FF5FB9">
      <w:pPr>
        <w:pStyle w:val="blist-bullets"/>
        <w:numPr>
          <w:ilvl w:val="0"/>
          <w:numId w:val="4"/>
        </w:numPr>
        <w:spacing w:before="0" w:after="0"/>
        <w:rPr>
          <w:rFonts w:asciiTheme="majorHAnsi" w:eastAsia="Times New Roman" w:hAnsiTheme="majorHAnsi" w:cstheme="majorHAnsi"/>
          <w:szCs w:val="24"/>
        </w:rPr>
      </w:pPr>
      <w:r>
        <w:rPr>
          <w:rFonts w:eastAsia="Times New Roman" w:cstheme="majorHAnsi"/>
          <w:szCs w:val="24"/>
        </w:rPr>
        <w:t xml:space="preserve">sterilization; </w:t>
      </w:r>
    </w:p>
    <w:p w14:paraId="628054D5" w14:textId="77777777" w:rsidR="00FF5FB9" w:rsidRDefault="00FF5FB9">
      <w:pPr>
        <w:pStyle w:val="blist-bullets"/>
        <w:numPr>
          <w:ilvl w:val="0"/>
          <w:numId w:val="4"/>
        </w:numPr>
        <w:spacing w:before="0" w:after="0"/>
        <w:rPr>
          <w:rFonts w:asciiTheme="majorHAnsi" w:eastAsia="Times New Roman" w:hAnsiTheme="majorHAnsi" w:cstheme="majorHAnsi"/>
          <w:szCs w:val="24"/>
        </w:rPr>
      </w:pPr>
      <w:r>
        <w:rPr>
          <w:rFonts w:eastAsia="Times New Roman" w:cstheme="majorHAnsi"/>
          <w:szCs w:val="24"/>
        </w:rPr>
        <w:t xml:space="preserve">cooking; </w:t>
      </w:r>
    </w:p>
    <w:p w14:paraId="704356B4" w14:textId="77777777" w:rsidR="00FF5FB9" w:rsidRDefault="00FF5FB9">
      <w:pPr>
        <w:pStyle w:val="blist-bullets"/>
        <w:numPr>
          <w:ilvl w:val="0"/>
          <w:numId w:val="4"/>
        </w:numPr>
        <w:spacing w:before="0" w:after="0"/>
        <w:rPr>
          <w:rFonts w:asciiTheme="majorHAnsi" w:eastAsia="Times New Roman" w:hAnsiTheme="majorHAnsi" w:cstheme="majorHAnsi"/>
          <w:szCs w:val="24"/>
        </w:rPr>
      </w:pPr>
      <w:r>
        <w:rPr>
          <w:rFonts w:eastAsia="Times New Roman" w:cstheme="majorHAnsi"/>
          <w:szCs w:val="24"/>
        </w:rPr>
        <w:t xml:space="preserve">evaporation; </w:t>
      </w:r>
    </w:p>
    <w:p w14:paraId="626223BC" w14:textId="77777777" w:rsidR="00FF5FB9" w:rsidRDefault="00FF5FB9">
      <w:pPr>
        <w:pStyle w:val="blist-bullets"/>
        <w:numPr>
          <w:ilvl w:val="0"/>
          <w:numId w:val="4"/>
        </w:numPr>
        <w:spacing w:before="0" w:after="0"/>
        <w:rPr>
          <w:rFonts w:asciiTheme="majorHAnsi" w:eastAsia="Times New Roman" w:hAnsiTheme="majorHAnsi" w:cstheme="majorHAnsi"/>
          <w:szCs w:val="24"/>
        </w:rPr>
      </w:pPr>
      <w:r>
        <w:rPr>
          <w:rFonts w:eastAsia="Times New Roman" w:cstheme="majorHAnsi"/>
          <w:szCs w:val="24"/>
        </w:rPr>
        <w:t xml:space="preserve">drying; </w:t>
      </w:r>
    </w:p>
    <w:p w14:paraId="6A01D64F" w14:textId="77777777" w:rsidR="00FF5FB9" w:rsidRDefault="00FF5FB9">
      <w:pPr>
        <w:pStyle w:val="blist-bullets"/>
        <w:numPr>
          <w:ilvl w:val="0"/>
          <w:numId w:val="4"/>
        </w:numPr>
        <w:spacing w:before="0" w:after="0"/>
        <w:rPr>
          <w:rFonts w:asciiTheme="majorHAnsi" w:eastAsia="Times New Roman" w:hAnsiTheme="majorHAnsi" w:cstheme="majorHAnsi"/>
          <w:szCs w:val="24"/>
        </w:rPr>
      </w:pPr>
      <w:r>
        <w:rPr>
          <w:rFonts w:eastAsia="Times New Roman" w:cstheme="majorHAnsi"/>
          <w:szCs w:val="24"/>
        </w:rPr>
        <w:t xml:space="preserve">washing; </w:t>
      </w:r>
    </w:p>
    <w:p w14:paraId="63878DEE" w14:textId="77777777" w:rsidR="00FF5FB9" w:rsidRDefault="00FF5FB9">
      <w:pPr>
        <w:pStyle w:val="blist-bullets"/>
        <w:numPr>
          <w:ilvl w:val="0"/>
          <w:numId w:val="4"/>
        </w:numPr>
        <w:spacing w:before="0" w:after="0"/>
        <w:rPr>
          <w:rFonts w:asciiTheme="majorHAnsi" w:eastAsia="Times New Roman" w:hAnsiTheme="majorHAnsi" w:cstheme="majorHAnsi"/>
          <w:szCs w:val="24"/>
        </w:rPr>
      </w:pPr>
      <w:r>
        <w:rPr>
          <w:rFonts w:eastAsia="Times New Roman" w:cstheme="majorHAnsi"/>
          <w:szCs w:val="24"/>
        </w:rPr>
        <w:t xml:space="preserve">hot water; </w:t>
      </w:r>
    </w:p>
    <w:p w14:paraId="625CDF9E" w14:textId="77777777" w:rsidR="00FF5FB9" w:rsidRDefault="00FF5FB9">
      <w:pPr>
        <w:pStyle w:val="blist-bullets"/>
        <w:numPr>
          <w:ilvl w:val="0"/>
          <w:numId w:val="4"/>
        </w:numPr>
        <w:spacing w:before="0" w:after="0"/>
        <w:rPr>
          <w:rFonts w:asciiTheme="majorHAnsi" w:eastAsia="Times New Roman" w:hAnsiTheme="majorHAnsi" w:cstheme="majorHAnsi"/>
          <w:szCs w:val="24"/>
        </w:rPr>
      </w:pPr>
      <w:r>
        <w:rPr>
          <w:rFonts w:eastAsia="Times New Roman" w:cstheme="majorHAnsi"/>
          <w:szCs w:val="24"/>
        </w:rPr>
        <w:t xml:space="preserve">steam. </w:t>
      </w:r>
    </w:p>
    <w:p w14:paraId="1FFB896A"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Globally, IEA identifies food processing and other light industries as a major low-temperature opportunity; roughly 75% of heat in food, textiles and machinery-type light industries is below 200°C. </w:t>
      </w:r>
    </w:p>
    <w:p w14:paraId="0FD37942"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Here I would strongly favor </w:t>
      </w:r>
      <w:r>
        <w:rPr>
          <w:rFonts w:eastAsia="Times New Roman" w:cstheme="majorHAnsi"/>
          <w:b/>
          <w:bCs/>
          <w:szCs w:val="24"/>
        </w:rPr>
        <w:t>PWR + heat pumps + MVR</w:t>
      </w:r>
      <w:r>
        <w:rPr>
          <w:rFonts w:eastAsia="Times New Roman" w:cstheme="majorHAnsi"/>
          <w:szCs w:val="24"/>
        </w:rPr>
        <w:t>, rather than HTR-PM. Paying for 500°C-capable reactor heat to make 120°C steam isn't necessary.</w:t>
      </w:r>
    </w:p>
    <w:p w14:paraId="3EDF92F9" w14:textId="77777777" w:rsidR="00FF5FB9" w:rsidRDefault="00FF5FB9" w:rsidP="00FF5FB9">
      <w:pPr>
        <w:pStyle w:val="Heading3"/>
        <w:spacing w:before="280" w:after="280"/>
      </w:pPr>
      <w:r>
        <w:t>5. Textile dyeing, washing and drying</w:t>
      </w:r>
    </w:p>
    <w:p w14:paraId="22162490"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This is particularly relevant in China because the processes require huge quantities of hot water and steam but generally don't require extreme temperatures.</w:t>
      </w:r>
    </w:p>
    <w:p w14:paraId="46857471"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A standardized textile-energy platform could contain:</w:t>
      </w:r>
    </w:p>
    <w:p w14:paraId="08D0DB83" w14:textId="77777777" w:rsidR="00FF5FB9" w:rsidRDefault="00FF5FB9" w:rsidP="005034B9">
      <w:pPr>
        <w:pStyle w:val="bblueindent"/>
      </w:pPr>
      <w:r>
        <w:t>heat recovery from wastewater</w:t>
      </w:r>
      <w:r>
        <w:br/>
        <w:t>→ heat pump</w:t>
      </w:r>
      <w:r>
        <w:br/>
        <w:t>→ hot-water headers</w:t>
      </w:r>
      <w:r>
        <w:br/>
        <w:t>→ steam generation</w:t>
      </w:r>
      <w:r>
        <w:br/>
        <w:t>→ drying air</w:t>
      </w:r>
      <w:r>
        <w:br/>
        <w:t>→ water recycling</w:t>
      </w:r>
    </w:p>
    <w:p w14:paraId="4F81D681"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lastRenderedPageBreak/>
        <w:t>Here a heat pump does double duty: recovering energy that otherwise goes down the drain while replacing a gas/coal boiler.</w:t>
      </w:r>
    </w:p>
    <w:p w14:paraId="430EE941"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DOE notes that electrified processes such as microwave, RF and other advanced drying techniques can sometimes reduce the amount of thermal energy required rather than merely substituting electricity for combustion. </w:t>
      </w:r>
    </w:p>
    <w:p w14:paraId="2E174D03"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That creates an additional economic advantage.</w:t>
      </w:r>
    </w:p>
    <w:p w14:paraId="4EF2433B" w14:textId="77777777" w:rsidR="00FF5FB9" w:rsidRDefault="00FF5FB9" w:rsidP="00FF5FB9">
      <w:pPr>
        <w:pStyle w:val="Heading3"/>
        <w:spacing w:before="280" w:after="280"/>
      </w:pPr>
      <w:r>
        <w:t>6. Chemical-plant distillation and reboilers</w:t>
      </w:r>
    </w:p>
    <w:p w14:paraId="3F0A11CA"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This could be enormous.</w:t>
      </w:r>
    </w:p>
    <w:p w14:paraId="005946AE"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Chemical plants burn large quantities of fossil fuel to make steam for:</w:t>
      </w:r>
    </w:p>
    <w:p w14:paraId="7BF941F2" w14:textId="77777777" w:rsidR="00FF5FB9" w:rsidRDefault="00FF5FB9">
      <w:pPr>
        <w:pStyle w:val="blist-bullets"/>
        <w:numPr>
          <w:ilvl w:val="0"/>
          <w:numId w:val="5"/>
        </w:numPr>
        <w:spacing w:before="0" w:after="0"/>
        <w:rPr>
          <w:rFonts w:asciiTheme="majorHAnsi" w:eastAsia="Times New Roman" w:hAnsiTheme="majorHAnsi" w:cstheme="majorHAnsi"/>
          <w:szCs w:val="24"/>
        </w:rPr>
      </w:pPr>
      <w:r>
        <w:rPr>
          <w:rFonts w:eastAsia="Times New Roman" w:cstheme="majorHAnsi"/>
          <w:szCs w:val="24"/>
        </w:rPr>
        <w:t xml:space="preserve">distillation-column reboilers; </w:t>
      </w:r>
    </w:p>
    <w:p w14:paraId="2463DEB9" w14:textId="77777777" w:rsidR="00FF5FB9" w:rsidRDefault="00FF5FB9">
      <w:pPr>
        <w:pStyle w:val="blist-bullets"/>
        <w:numPr>
          <w:ilvl w:val="0"/>
          <w:numId w:val="5"/>
        </w:numPr>
        <w:spacing w:before="0" w:after="0"/>
        <w:rPr>
          <w:rFonts w:asciiTheme="majorHAnsi" w:eastAsia="Times New Roman" w:hAnsiTheme="majorHAnsi" w:cstheme="majorHAnsi"/>
          <w:szCs w:val="24"/>
        </w:rPr>
      </w:pPr>
      <w:r>
        <w:rPr>
          <w:rFonts w:eastAsia="Times New Roman" w:cstheme="majorHAnsi"/>
          <w:szCs w:val="24"/>
        </w:rPr>
        <w:t xml:space="preserve">evaporation; </w:t>
      </w:r>
    </w:p>
    <w:p w14:paraId="2664202C" w14:textId="77777777" w:rsidR="00FF5FB9" w:rsidRDefault="00FF5FB9">
      <w:pPr>
        <w:pStyle w:val="blist-bullets"/>
        <w:numPr>
          <w:ilvl w:val="0"/>
          <w:numId w:val="5"/>
        </w:numPr>
        <w:spacing w:before="0" w:after="0"/>
        <w:rPr>
          <w:rFonts w:asciiTheme="majorHAnsi" w:eastAsia="Times New Roman" w:hAnsiTheme="majorHAnsi" w:cstheme="majorHAnsi"/>
          <w:szCs w:val="24"/>
        </w:rPr>
      </w:pPr>
      <w:r>
        <w:rPr>
          <w:rFonts w:eastAsia="Times New Roman" w:cstheme="majorHAnsi"/>
          <w:szCs w:val="24"/>
        </w:rPr>
        <w:t xml:space="preserve">stripping; </w:t>
      </w:r>
    </w:p>
    <w:p w14:paraId="6A32FDF7" w14:textId="77777777" w:rsidR="00FF5FB9" w:rsidRDefault="00FF5FB9">
      <w:pPr>
        <w:pStyle w:val="blist-bullets"/>
        <w:numPr>
          <w:ilvl w:val="0"/>
          <w:numId w:val="5"/>
        </w:numPr>
        <w:spacing w:before="0" w:after="0"/>
        <w:rPr>
          <w:rFonts w:asciiTheme="majorHAnsi" w:eastAsia="Times New Roman" w:hAnsiTheme="majorHAnsi" w:cstheme="majorHAnsi"/>
          <w:szCs w:val="24"/>
        </w:rPr>
      </w:pPr>
      <w:r>
        <w:rPr>
          <w:rFonts w:eastAsia="Times New Roman" w:cstheme="majorHAnsi"/>
          <w:szCs w:val="24"/>
        </w:rPr>
        <w:t xml:space="preserve">solvent recovery; </w:t>
      </w:r>
    </w:p>
    <w:p w14:paraId="4145DF99" w14:textId="77777777" w:rsidR="00FF5FB9" w:rsidRDefault="00FF5FB9">
      <w:pPr>
        <w:pStyle w:val="blist-bullets"/>
        <w:numPr>
          <w:ilvl w:val="0"/>
          <w:numId w:val="5"/>
        </w:numPr>
        <w:spacing w:before="0" w:after="0"/>
        <w:rPr>
          <w:rFonts w:asciiTheme="majorHAnsi" w:eastAsia="Times New Roman" w:hAnsiTheme="majorHAnsi" w:cstheme="majorHAnsi"/>
          <w:szCs w:val="24"/>
        </w:rPr>
      </w:pPr>
      <w:r>
        <w:rPr>
          <w:rFonts w:eastAsia="Times New Roman" w:cstheme="majorHAnsi"/>
          <w:szCs w:val="24"/>
        </w:rPr>
        <w:t xml:space="preserve">reaction heating; </w:t>
      </w:r>
    </w:p>
    <w:p w14:paraId="309FB584" w14:textId="77777777" w:rsidR="00FF5FB9" w:rsidRDefault="00FF5FB9">
      <w:pPr>
        <w:pStyle w:val="blist-bullets"/>
        <w:numPr>
          <w:ilvl w:val="0"/>
          <w:numId w:val="5"/>
        </w:numPr>
        <w:spacing w:before="0" w:after="0"/>
        <w:rPr>
          <w:rFonts w:asciiTheme="majorHAnsi" w:eastAsia="Times New Roman" w:hAnsiTheme="majorHAnsi" w:cstheme="majorHAnsi"/>
          <w:szCs w:val="24"/>
        </w:rPr>
      </w:pPr>
      <w:r>
        <w:rPr>
          <w:rFonts w:eastAsia="Times New Roman" w:cstheme="majorHAnsi"/>
          <w:szCs w:val="24"/>
        </w:rPr>
        <w:t xml:space="preserve">drying. </w:t>
      </w:r>
    </w:p>
    <w:p w14:paraId="7A0366FC"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Different temperatures are devoted to different uses:</w:t>
      </w:r>
    </w:p>
    <w:p w14:paraId="6F92D02C" w14:textId="77777777" w:rsidR="00FF5FB9" w:rsidRDefault="00FF5FB9" w:rsidP="001478EC">
      <w:pPr>
        <w:tabs>
          <w:tab w:val="left" w:pos="3240"/>
        </w:tabs>
        <w:spacing w:before="160" w:beforeAutospacing="0" w:after="160" w:afterAutospacing="0"/>
        <w:ind w:left="360"/>
        <w:rPr>
          <w:rFonts w:asciiTheme="majorHAnsi" w:eastAsia="Times New Roman" w:hAnsiTheme="majorHAnsi" w:cstheme="majorHAnsi"/>
          <w:szCs w:val="24"/>
        </w:rPr>
      </w:pPr>
      <w:r>
        <w:rPr>
          <w:rFonts w:eastAsia="Times New Roman" w:cstheme="majorHAnsi"/>
          <w:b/>
          <w:bCs/>
          <w:szCs w:val="24"/>
        </w:rPr>
        <w:t>For duties below ~200°C:</w:t>
      </w:r>
      <w:r>
        <w:rPr>
          <w:rFonts w:eastAsia="Times New Roman" w:cstheme="majorHAnsi"/>
          <w:szCs w:val="24"/>
        </w:rPr>
        <w:tab/>
        <w:t>PWR electricity + heat pump/MVR is especially attractive.</w:t>
      </w:r>
    </w:p>
    <w:p w14:paraId="6E492749" w14:textId="77777777" w:rsidR="00FF5FB9" w:rsidRDefault="00FF5FB9" w:rsidP="001478EC">
      <w:pPr>
        <w:tabs>
          <w:tab w:val="left" w:pos="3240"/>
        </w:tabs>
        <w:spacing w:before="160" w:beforeAutospacing="0" w:after="160" w:afterAutospacing="0"/>
        <w:ind w:left="360"/>
        <w:rPr>
          <w:rFonts w:asciiTheme="majorHAnsi" w:eastAsia="Times New Roman" w:hAnsiTheme="majorHAnsi" w:cstheme="majorHAnsi"/>
          <w:szCs w:val="24"/>
        </w:rPr>
      </w:pPr>
      <w:r>
        <w:rPr>
          <w:rFonts w:eastAsia="Times New Roman" w:cstheme="majorHAnsi"/>
          <w:b/>
          <w:bCs/>
          <w:szCs w:val="24"/>
        </w:rPr>
        <w:t>For roughly 200–300°C:</w:t>
      </w:r>
      <w:r>
        <w:rPr>
          <w:rFonts w:eastAsia="Times New Roman" w:cstheme="majorHAnsi"/>
          <w:szCs w:val="24"/>
        </w:rPr>
        <w:tab/>
        <w:t>Direct PWR steam becomes attractive.</w:t>
      </w:r>
    </w:p>
    <w:p w14:paraId="07750CBD" w14:textId="77777777" w:rsidR="00FF5FB9" w:rsidRDefault="00FF5FB9" w:rsidP="001478EC">
      <w:pPr>
        <w:tabs>
          <w:tab w:val="left" w:pos="3240"/>
        </w:tabs>
        <w:spacing w:before="160" w:beforeAutospacing="0" w:after="160" w:afterAutospacing="0"/>
        <w:ind w:left="360"/>
        <w:rPr>
          <w:rFonts w:asciiTheme="majorHAnsi" w:eastAsia="Times New Roman" w:hAnsiTheme="majorHAnsi" w:cstheme="majorHAnsi"/>
          <w:szCs w:val="24"/>
        </w:rPr>
      </w:pPr>
      <w:r>
        <w:rPr>
          <w:rFonts w:eastAsia="Times New Roman" w:cstheme="majorHAnsi"/>
          <w:b/>
          <w:bCs/>
          <w:szCs w:val="24"/>
        </w:rPr>
        <w:t>For roughly 300–500°C:</w:t>
      </w:r>
      <w:r>
        <w:rPr>
          <w:rFonts w:eastAsia="Times New Roman" w:cstheme="majorHAnsi"/>
          <w:szCs w:val="24"/>
        </w:rPr>
        <w:tab/>
        <w:t>HTR-PM direct heat becomes the stronger option.</w:t>
      </w:r>
    </w:p>
    <w:p w14:paraId="307673D2"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Your earlier industrial assessment identifies chemicals and petrochemicals as a major selective opportunity for direct steam, nuclear heat pumps and reboilers. </w:t>
      </w:r>
    </w:p>
    <w:p w14:paraId="4B460BDE"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There is an important distinction: we are replacing </w:t>
      </w:r>
      <w:r>
        <w:rPr>
          <w:rFonts w:eastAsia="Times New Roman" w:cstheme="majorHAnsi"/>
          <w:b/>
          <w:bCs/>
          <w:szCs w:val="24"/>
        </w:rPr>
        <w:t>fossil fuel burned for heat</w:t>
      </w:r>
      <w:r>
        <w:rPr>
          <w:rFonts w:eastAsia="Times New Roman" w:cstheme="majorHAnsi"/>
          <w:szCs w:val="24"/>
        </w:rPr>
        <w:t>, not fossil hydrocarbons that are chemical feedstocks.</w:t>
      </w:r>
    </w:p>
    <w:p w14:paraId="59420F8D"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So, a polyethylene plant might still consume petroleum-derived feedstock while its fired heaters, boilers and reboilers become nuclear powered.</w:t>
      </w:r>
    </w:p>
    <w:p w14:paraId="565B6E23" w14:textId="77777777" w:rsidR="00FF5FB9" w:rsidRDefault="00FF5FB9" w:rsidP="00FF5FB9">
      <w:pPr>
        <w:pStyle w:val="Heading3"/>
        <w:spacing w:before="280" w:after="280"/>
      </w:pPr>
      <w:r>
        <w:t>7. Alumina refining — one of the best heavy-industry targets</w:t>
      </w:r>
    </w:p>
    <w:p w14:paraId="0C9D0D5C"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I still think alumina belongs very high on the list, but </w:t>
      </w:r>
      <w:r>
        <w:rPr>
          <w:rFonts w:eastAsia="Times New Roman" w:cstheme="majorHAnsi"/>
          <w:b/>
          <w:bCs/>
          <w:szCs w:val="24"/>
        </w:rPr>
        <w:t>not aluminum smelting</w:t>
      </w:r>
      <w:r>
        <w:rPr>
          <w:rFonts w:eastAsia="Times New Roman" w:cstheme="majorHAnsi"/>
          <w:szCs w:val="24"/>
        </w:rPr>
        <w:t>, under your new definition.</w:t>
      </w:r>
    </w:p>
    <w:p w14:paraId="00163155"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lastRenderedPageBreak/>
        <w:t>The Bayer process uses substantial steam for:</w:t>
      </w:r>
    </w:p>
    <w:p w14:paraId="6E6F321D" w14:textId="77777777" w:rsidR="00FF5FB9" w:rsidRDefault="00FF5FB9" w:rsidP="005034B9">
      <w:pPr>
        <w:pStyle w:val="bblueindent"/>
      </w:pPr>
      <w:r>
        <w:t>bauxite digestion → evaporation → caustic recovery → precipitation-related heating</w:t>
      </w:r>
    </w:p>
    <w:p w14:paraId="3AE27122"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and digestion commonly occurs in approximately the 150–250°C range. Your Discussion document identifies it as highly compatible with nuclear steam. </w:t>
      </w:r>
    </w:p>
    <w:p w14:paraId="1C1AEA83"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That means </w:t>
      </w:r>
      <w:r>
        <w:rPr>
          <w:rFonts w:eastAsia="Times New Roman" w:cstheme="majorHAnsi"/>
          <w:b/>
          <w:bCs/>
          <w:szCs w:val="24"/>
        </w:rPr>
        <w:t>Automated PWR</w:t>
      </w:r>
      <w:r>
        <w:rPr>
          <w:rFonts w:eastAsia="Times New Roman" w:cstheme="majorHAnsi"/>
          <w:szCs w:val="24"/>
        </w:rPr>
        <w:t xml:space="preserve"> is probably the economic winner.</w:t>
      </w:r>
    </w:p>
    <w:p w14:paraId="4FA3702A"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You don't even need the HTR-PM for much of the refinery.</w:t>
      </w:r>
    </w:p>
    <w:p w14:paraId="4C12ED86"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A factory-built alumina platform could combine:</w:t>
      </w:r>
    </w:p>
    <w:p w14:paraId="0D2F0799"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**PWR steam</w:t>
      </w:r>
    </w:p>
    <w:p w14:paraId="60432ADB" w14:textId="77777777" w:rsidR="00FF5FB9" w:rsidRDefault="00FF5FB9" w:rsidP="001478EC">
      <w:pPr>
        <w:pStyle w:val="blist-numbers"/>
        <w:numPr>
          <w:ilvl w:val="0"/>
          <w:numId w:val="6"/>
        </w:numPr>
        <w:spacing w:before="0" w:after="0"/>
        <w:rPr>
          <w:rFonts w:asciiTheme="majorHAnsi" w:hAnsiTheme="majorHAnsi"/>
        </w:rPr>
      </w:pPr>
      <w:r>
        <w:t xml:space="preserve">digestion </w:t>
      </w:r>
    </w:p>
    <w:p w14:paraId="0BD00F32" w14:textId="77777777" w:rsidR="00FF5FB9" w:rsidRDefault="00FF5FB9" w:rsidP="001478EC">
      <w:pPr>
        <w:pStyle w:val="blist-numbers"/>
        <w:numPr>
          <w:ilvl w:val="0"/>
          <w:numId w:val="6"/>
        </w:numPr>
        <w:spacing w:before="0" w:after="0"/>
        <w:rPr>
          <w:rFonts w:asciiTheme="majorHAnsi" w:hAnsiTheme="majorHAnsi"/>
        </w:rPr>
      </w:pPr>
      <w:r>
        <w:t xml:space="preserve">flash-steam recovery </w:t>
      </w:r>
    </w:p>
    <w:p w14:paraId="47E39967" w14:textId="77777777" w:rsidR="00FF5FB9" w:rsidRDefault="00FF5FB9" w:rsidP="001478EC">
      <w:pPr>
        <w:pStyle w:val="blist-numbers"/>
        <w:numPr>
          <w:ilvl w:val="0"/>
          <w:numId w:val="6"/>
        </w:numPr>
        <w:spacing w:before="0" w:after="0"/>
        <w:rPr>
          <w:rFonts w:asciiTheme="majorHAnsi" w:hAnsiTheme="majorHAnsi"/>
        </w:rPr>
      </w:pPr>
      <w:r>
        <w:t xml:space="preserve">evaporation </w:t>
      </w:r>
    </w:p>
    <w:p w14:paraId="0180CCA7" w14:textId="77777777" w:rsidR="00FF5FB9" w:rsidRDefault="00FF5FB9" w:rsidP="001478EC">
      <w:pPr>
        <w:pStyle w:val="blist-numbers"/>
        <w:numPr>
          <w:ilvl w:val="0"/>
          <w:numId w:val="6"/>
        </w:numPr>
        <w:spacing w:before="0" w:after="0"/>
        <w:rPr>
          <w:rFonts w:asciiTheme="majorHAnsi" w:hAnsiTheme="majorHAnsi"/>
        </w:rPr>
      </w:pPr>
      <w:r>
        <w:t xml:space="preserve">MVR </w:t>
      </w:r>
    </w:p>
    <w:p w14:paraId="4537DA0A" w14:textId="77777777" w:rsidR="00FF5FB9" w:rsidRDefault="00FF5FB9" w:rsidP="001478EC">
      <w:pPr>
        <w:pStyle w:val="blist-numbers"/>
        <w:numPr>
          <w:ilvl w:val="0"/>
          <w:numId w:val="6"/>
        </w:numPr>
        <w:spacing w:before="0" w:after="0"/>
        <w:rPr>
          <w:rFonts w:asciiTheme="majorHAnsi" w:hAnsiTheme="majorHAnsi"/>
        </w:rPr>
      </w:pPr>
      <w:r>
        <w:t xml:space="preserve">condensate recovery** </w:t>
      </w:r>
    </w:p>
    <w:p w14:paraId="0AB49465"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and drive the effective energy cost below simply burning coal.</w:t>
      </w:r>
    </w:p>
    <w:p w14:paraId="4CAD8EB4"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The later calcination step needs much higher temperature and should be treated separately.</w:t>
      </w:r>
    </w:p>
    <w:p w14:paraId="39486915" w14:textId="77777777" w:rsidR="00FF5FB9" w:rsidRDefault="00FF5FB9" w:rsidP="00FF5FB9">
      <w:pPr>
        <w:pStyle w:val="Heading3"/>
        <w:spacing w:before="280" w:after="280"/>
      </w:pPr>
      <w:r>
        <w:t>8. Drying — an enormous cross-industry market</w:t>
      </w:r>
    </w:p>
    <w:p w14:paraId="29F40E5E"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"Drying" sounds mundane, but fossil-fired dryers consume enormous amounts of energy.</w:t>
      </w:r>
    </w:p>
    <w:p w14:paraId="12D7E76B"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Examples include:</w:t>
      </w:r>
    </w:p>
    <w:p w14:paraId="7FD5C158" w14:textId="77777777" w:rsidR="00FF5FB9" w:rsidRDefault="00FF5FB9">
      <w:pPr>
        <w:pStyle w:val="blist-bullets"/>
        <w:numPr>
          <w:ilvl w:val="0"/>
          <w:numId w:val="7"/>
        </w:numPr>
        <w:spacing w:before="0" w:after="0"/>
        <w:rPr>
          <w:rFonts w:asciiTheme="majorHAnsi" w:eastAsia="Times New Roman" w:hAnsiTheme="majorHAnsi" w:cstheme="majorHAnsi"/>
          <w:szCs w:val="24"/>
        </w:rPr>
      </w:pPr>
      <w:r>
        <w:rPr>
          <w:rFonts w:eastAsia="Times New Roman" w:cstheme="majorHAnsi"/>
          <w:szCs w:val="24"/>
        </w:rPr>
        <w:t xml:space="preserve">food; </w:t>
      </w:r>
    </w:p>
    <w:p w14:paraId="46674621" w14:textId="77777777" w:rsidR="00FF5FB9" w:rsidRDefault="00FF5FB9">
      <w:pPr>
        <w:pStyle w:val="blist-bullets"/>
        <w:numPr>
          <w:ilvl w:val="0"/>
          <w:numId w:val="7"/>
        </w:numPr>
        <w:spacing w:before="0" w:after="0"/>
        <w:rPr>
          <w:rFonts w:asciiTheme="majorHAnsi" w:eastAsia="Times New Roman" w:hAnsiTheme="majorHAnsi" w:cstheme="majorHAnsi"/>
          <w:szCs w:val="24"/>
        </w:rPr>
      </w:pPr>
      <w:r>
        <w:rPr>
          <w:rFonts w:eastAsia="Times New Roman" w:cstheme="majorHAnsi"/>
          <w:szCs w:val="24"/>
        </w:rPr>
        <w:t xml:space="preserve">grain; </w:t>
      </w:r>
    </w:p>
    <w:p w14:paraId="02FA2EE4" w14:textId="77777777" w:rsidR="00FF5FB9" w:rsidRDefault="00FF5FB9">
      <w:pPr>
        <w:pStyle w:val="blist-bullets"/>
        <w:numPr>
          <w:ilvl w:val="0"/>
          <w:numId w:val="7"/>
        </w:numPr>
        <w:spacing w:before="0" w:after="0"/>
        <w:rPr>
          <w:rFonts w:asciiTheme="majorHAnsi" w:eastAsia="Times New Roman" w:hAnsiTheme="majorHAnsi" w:cstheme="majorHAnsi"/>
          <w:szCs w:val="24"/>
        </w:rPr>
      </w:pPr>
      <w:r>
        <w:rPr>
          <w:rFonts w:eastAsia="Times New Roman" w:cstheme="majorHAnsi"/>
          <w:szCs w:val="24"/>
        </w:rPr>
        <w:t xml:space="preserve">paper; </w:t>
      </w:r>
    </w:p>
    <w:p w14:paraId="52E59E91" w14:textId="77777777" w:rsidR="00FF5FB9" w:rsidRDefault="00FF5FB9">
      <w:pPr>
        <w:pStyle w:val="blist-bullets"/>
        <w:numPr>
          <w:ilvl w:val="0"/>
          <w:numId w:val="7"/>
        </w:numPr>
        <w:spacing w:before="0" w:after="0"/>
        <w:rPr>
          <w:rFonts w:asciiTheme="majorHAnsi" w:eastAsia="Times New Roman" w:hAnsiTheme="majorHAnsi" w:cstheme="majorHAnsi"/>
          <w:szCs w:val="24"/>
        </w:rPr>
      </w:pPr>
      <w:r>
        <w:rPr>
          <w:rFonts w:eastAsia="Times New Roman" w:cstheme="majorHAnsi"/>
          <w:szCs w:val="24"/>
        </w:rPr>
        <w:t xml:space="preserve">chemicals; </w:t>
      </w:r>
    </w:p>
    <w:p w14:paraId="4E01144B" w14:textId="77777777" w:rsidR="00FF5FB9" w:rsidRDefault="00FF5FB9">
      <w:pPr>
        <w:pStyle w:val="blist-bullets"/>
        <w:numPr>
          <w:ilvl w:val="0"/>
          <w:numId w:val="7"/>
        </w:numPr>
        <w:spacing w:before="0" w:after="0"/>
        <w:rPr>
          <w:rFonts w:asciiTheme="majorHAnsi" w:eastAsia="Times New Roman" w:hAnsiTheme="majorHAnsi" w:cstheme="majorHAnsi"/>
          <w:szCs w:val="24"/>
        </w:rPr>
      </w:pPr>
      <w:r>
        <w:rPr>
          <w:rFonts w:eastAsia="Times New Roman" w:cstheme="majorHAnsi"/>
          <w:szCs w:val="24"/>
        </w:rPr>
        <w:t xml:space="preserve">minerals; </w:t>
      </w:r>
    </w:p>
    <w:p w14:paraId="1A745624" w14:textId="77777777" w:rsidR="00FF5FB9" w:rsidRDefault="00FF5FB9">
      <w:pPr>
        <w:pStyle w:val="blist-bullets"/>
        <w:numPr>
          <w:ilvl w:val="0"/>
          <w:numId w:val="7"/>
        </w:numPr>
        <w:spacing w:before="0" w:after="0"/>
        <w:rPr>
          <w:rFonts w:asciiTheme="majorHAnsi" w:eastAsia="Times New Roman" w:hAnsiTheme="majorHAnsi" w:cstheme="majorHAnsi"/>
          <w:szCs w:val="24"/>
        </w:rPr>
      </w:pPr>
      <w:r>
        <w:rPr>
          <w:rFonts w:eastAsia="Times New Roman" w:cstheme="majorHAnsi"/>
          <w:szCs w:val="24"/>
        </w:rPr>
        <w:t xml:space="preserve">ores; </w:t>
      </w:r>
    </w:p>
    <w:p w14:paraId="7C197532" w14:textId="77777777" w:rsidR="00FF5FB9" w:rsidRDefault="00FF5FB9">
      <w:pPr>
        <w:pStyle w:val="blist-bullets"/>
        <w:numPr>
          <w:ilvl w:val="0"/>
          <w:numId w:val="7"/>
        </w:numPr>
        <w:spacing w:before="0" w:after="0"/>
        <w:rPr>
          <w:rFonts w:asciiTheme="majorHAnsi" w:eastAsia="Times New Roman" w:hAnsiTheme="majorHAnsi" w:cstheme="majorHAnsi"/>
          <w:szCs w:val="24"/>
        </w:rPr>
      </w:pPr>
      <w:r>
        <w:rPr>
          <w:rFonts w:eastAsia="Times New Roman" w:cstheme="majorHAnsi"/>
          <w:szCs w:val="24"/>
        </w:rPr>
        <w:t xml:space="preserve">coal itself; </w:t>
      </w:r>
    </w:p>
    <w:p w14:paraId="77B2025C" w14:textId="77777777" w:rsidR="00FF5FB9" w:rsidRDefault="00FF5FB9">
      <w:pPr>
        <w:pStyle w:val="blist-bullets"/>
        <w:numPr>
          <w:ilvl w:val="0"/>
          <w:numId w:val="7"/>
        </w:numPr>
        <w:spacing w:before="0" w:after="0"/>
        <w:rPr>
          <w:rFonts w:asciiTheme="majorHAnsi" w:eastAsia="Times New Roman" w:hAnsiTheme="majorHAnsi" w:cstheme="majorHAnsi"/>
          <w:szCs w:val="24"/>
        </w:rPr>
      </w:pPr>
      <w:r>
        <w:rPr>
          <w:rFonts w:eastAsia="Times New Roman" w:cstheme="majorHAnsi"/>
          <w:szCs w:val="24"/>
        </w:rPr>
        <w:t xml:space="preserve">ceramics; </w:t>
      </w:r>
    </w:p>
    <w:p w14:paraId="031185BA" w14:textId="77777777" w:rsidR="00FF5FB9" w:rsidRDefault="00FF5FB9">
      <w:pPr>
        <w:pStyle w:val="blist-bullets"/>
        <w:numPr>
          <w:ilvl w:val="0"/>
          <w:numId w:val="7"/>
        </w:numPr>
        <w:spacing w:before="0" w:after="0"/>
        <w:rPr>
          <w:rFonts w:asciiTheme="majorHAnsi" w:eastAsia="Times New Roman" w:hAnsiTheme="majorHAnsi" w:cstheme="majorHAnsi"/>
          <w:szCs w:val="24"/>
        </w:rPr>
      </w:pPr>
      <w:r>
        <w:rPr>
          <w:rFonts w:eastAsia="Times New Roman" w:cstheme="majorHAnsi"/>
          <w:szCs w:val="24"/>
        </w:rPr>
        <w:t xml:space="preserve">wood; </w:t>
      </w:r>
    </w:p>
    <w:p w14:paraId="5243DF40" w14:textId="77777777" w:rsidR="00FF5FB9" w:rsidRDefault="00FF5FB9">
      <w:pPr>
        <w:pStyle w:val="blist-bullets"/>
        <w:numPr>
          <w:ilvl w:val="0"/>
          <w:numId w:val="7"/>
        </w:numPr>
        <w:spacing w:before="0" w:after="0"/>
        <w:rPr>
          <w:rFonts w:asciiTheme="majorHAnsi" w:eastAsia="Times New Roman" w:hAnsiTheme="majorHAnsi" w:cstheme="majorHAnsi"/>
          <w:szCs w:val="24"/>
        </w:rPr>
      </w:pPr>
      <w:r>
        <w:rPr>
          <w:rFonts w:eastAsia="Times New Roman" w:cstheme="majorHAnsi"/>
          <w:szCs w:val="24"/>
        </w:rPr>
        <w:t xml:space="preserve">textiles; </w:t>
      </w:r>
    </w:p>
    <w:p w14:paraId="10D87A50" w14:textId="77777777" w:rsidR="00FF5FB9" w:rsidRDefault="00FF5FB9">
      <w:pPr>
        <w:pStyle w:val="blist-bullets"/>
        <w:numPr>
          <w:ilvl w:val="0"/>
          <w:numId w:val="7"/>
        </w:numPr>
        <w:spacing w:before="0" w:after="0"/>
        <w:rPr>
          <w:rFonts w:asciiTheme="majorHAnsi" w:eastAsia="Times New Roman" w:hAnsiTheme="majorHAnsi" w:cstheme="majorHAnsi"/>
          <w:szCs w:val="24"/>
        </w:rPr>
      </w:pPr>
      <w:r>
        <w:rPr>
          <w:rFonts w:eastAsia="Times New Roman" w:cstheme="majorHAnsi"/>
          <w:szCs w:val="24"/>
        </w:rPr>
        <w:t xml:space="preserve">coatings. </w:t>
      </w:r>
    </w:p>
    <w:p w14:paraId="5BD9144B"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lastRenderedPageBreak/>
        <w:t xml:space="preserve">DOE specifically identifies grain, coating, paper, aggregate and metal-scrap drying among industrial process-heating opportunities and notes that microwave and other volumetric heating techniques can reduce thermal demand by heating material differently from conventional combustion. </w:t>
      </w:r>
    </w:p>
    <w:p w14:paraId="31EC7B28"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Depending on temperature:</w:t>
      </w:r>
    </w:p>
    <w:p w14:paraId="583D7550" w14:textId="77777777" w:rsidR="00FF5FB9" w:rsidRDefault="00FF5FB9" w:rsidP="001478EC">
      <w:pPr>
        <w:tabs>
          <w:tab w:val="left" w:pos="2430"/>
        </w:tabs>
        <w:spacing w:before="160" w:beforeAutospacing="0" w:after="160" w:afterAutospacing="0"/>
        <w:ind w:left="720"/>
        <w:rPr>
          <w:rFonts w:asciiTheme="majorHAnsi" w:eastAsia="Times New Roman" w:hAnsiTheme="majorHAnsi" w:cstheme="majorHAnsi"/>
          <w:szCs w:val="24"/>
        </w:rPr>
      </w:pPr>
      <w:r>
        <w:rPr>
          <w:rFonts w:eastAsia="Times New Roman" w:cstheme="majorHAnsi"/>
          <w:b/>
          <w:bCs/>
          <w:szCs w:val="24"/>
        </w:rPr>
        <w:t>&lt;200°C:</w:t>
      </w:r>
      <w:r>
        <w:rPr>
          <w:rFonts w:eastAsia="Times New Roman" w:cstheme="majorHAnsi"/>
          <w:szCs w:val="24"/>
        </w:rPr>
        <w:t xml:space="preserve"> </w:t>
      </w:r>
      <w:r>
        <w:rPr>
          <w:rFonts w:eastAsia="Times New Roman" w:cstheme="majorHAnsi"/>
          <w:szCs w:val="24"/>
        </w:rPr>
        <w:tab/>
        <w:t>PWR heat pump/MVR.</w:t>
      </w:r>
    </w:p>
    <w:p w14:paraId="48CA585A" w14:textId="77777777" w:rsidR="00FF5FB9" w:rsidRDefault="00FF5FB9" w:rsidP="001478EC">
      <w:pPr>
        <w:tabs>
          <w:tab w:val="left" w:pos="2430"/>
        </w:tabs>
        <w:spacing w:before="160" w:beforeAutospacing="0" w:after="160" w:afterAutospacing="0"/>
        <w:ind w:left="720"/>
        <w:rPr>
          <w:rFonts w:asciiTheme="majorHAnsi" w:eastAsia="Times New Roman" w:hAnsiTheme="majorHAnsi" w:cstheme="majorHAnsi"/>
          <w:szCs w:val="24"/>
        </w:rPr>
      </w:pPr>
      <w:r>
        <w:rPr>
          <w:rFonts w:eastAsia="Times New Roman" w:cstheme="majorHAnsi"/>
          <w:b/>
          <w:bCs/>
          <w:szCs w:val="24"/>
        </w:rPr>
        <w:t>200–300°C:</w:t>
      </w:r>
      <w:r>
        <w:rPr>
          <w:rFonts w:eastAsia="Times New Roman" w:cstheme="majorHAnsi"/>
          <w:szCs w:val="24"/>
        </w:rPr>
        <w:t xml:space="preserve"> </w:t>
      </w:r>
      <w:r>
        <w:rPr>
          <w:rFonts w:eastAsia="Times New Roman" w:cstheme="majorHAnsi"/>
          <w:szCs w:val="24"/>
        </w:rPr>
        <w:tab/>
        <w:t>PWR steam/direct heat.</w:t>
      </w:r>
    </w:p>
    <w:p w14:paraId="15AC49D1" w14:textId="77777777" w:rsidR="00FF5FB9" w:rsidRDefault="00FF5FB9" w:rsidP="001478EC">
      <w:pPr>
        <w:tabs>
          <w:tab w:val="left" w:pos="2430"/>
        </w:tabs>
        <w:spacing w:before="160" w:beforeAutospacing="0" w:after="160" w:afterAutospacing="0"/>
        <w:ind w:left="720"/>
        <w:rPr>
          <w:rFonts w:asciiTheme="majorHAnsi" w:eastAsia="Times New Roman" w:hAnsiTheme="majorHAnsi" w:cstheme="majorHAnsi"/>
          <w:szCs w:val="24"/>
        </w:rPr>
      </w:pPr>
      <w:r>
        <w:rPr>
          <w:rFonts w:eastAsia="Times New Roman" w:cstheme="majorHAnsi"/>
          <w:b/>
          <w:bCs/>
          <w:szCs w:val="24"/>
        </w:rPr>
        <w:t>300–500°C:</w:t>
      </w:r>
      <w:r>
        <w:rPr>
          <w:rFonts w:eastAsia="Times New Roman" w:cstheme="majorHAnsi"/>
          <w:szCs w:val="24"/>
        </w:rPr>
        <w:t xml:space="preserve"> </w:t>
      </w:r>
      <w:r>
        <w:rPr>
          <w:rFonts w:eastAsia="Times New Roman" w:cstheme="majorHAnsi"/>
          <w:szCs w:val="24"/>
        </w:rPr>
        <w:tab/>
        <w:t>HTR-PM.</w:t>
      </w:r>
    </w:p>
    <w:p w14:paraId="0D989798" w14:textId="77777777" w:rsidR="00FF5FB9" w:rsidRDefault="00FF5FB9" w:rsidP="001478EC">
      <w:pPr>
        <w:tabs>
          <w:tab w:val="left" w:pos="2430"/>
        </w:tabs>
        <w:spacing w:before="160" w:beforeAutospacing="0" w:after="160" w:afterAutospacing="0"/>
        <w:ind w:left="720"/>
        <w:rPr>
          <w:rFonts w:asciiTheme="majorHAnsi" w:eastAsia="Times New Roman" w:hAnsiTheme="majorHAnsi" w:cstheme="majorHAnsi"/>
          <w:szCs w:val="24"/>
        </w:rPr>
      </w:pPr>
      <w:r>
        <w:rPr>
          <w:rFonts w:eastAsia="Times New Roman" w:cstheme="majorHAnsi"/>
          <w:b/>
          <w:bCs/>
          <w:szCs w:val="24"/>
        </w:rPr>
        <w:t>Higher:</w:t>
      </w:r>
      <w:r>
        <w:rPr>
          <w:rFonts w:eastAsia="Times New Roman" w:cstheme="majorHAnsi"/>
          <w:szCs w:val="24"/>
        </w:rPr>
        <w:t xml:space="preserve"> </w:t>
      </w:r>
      <w:r>
        <w:rPr>
          <w:rFonts w:eastAsia="Times New Roman" w:cstheme="majorHAnsi"/>
          <w:szCs w:val="24"/>
        </w:rPr>
        <w:tab/>
        <w:t>HTR-PM preheat + nuclear-electric topping.</w:t>
      </w:r>
    </w:p>
    <w:p w14:paraId="31FC4C54"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This is exactly the kind of application where multiple standard drying-platform designs could replace hundreds of one-off fossil dryers.</w:t>
      </w:r>
    </w:p>
    <w:p w14:paraId="37090F81" w14:textId="77777777" w:rsidR="00FF5FB9" w:rsidRDefault="00FF5FB9" w:rsidP="00FF5FB9">
      <w:pPr>
        <w:pStyle w:val="Heading2"/>
        <w:spacing w:before="280"/>
      </w:pPr>
      <w:r>
        <w:t>Where HTR-PM becomes particularly valuable: 300–500°C</w:t>
      </w:r>
    </w:p>
    <w:p w14:paraId="71A48B4C"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PWR dominates much of the lower-temperature market because its assumed heat is cheaper.</w:t>
      </w:r>
    </w:p>
    <w:p w14:paraId="5080CEBB"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The economic purpose of the HTR-PM is therefore </w:t>
      </w:r>
      <w:r>
        <w:rPr>
          <w:rFonts w:eastAsia="Times New Roman" w:cstheme="majorHAnsi"/>
          <w:b/>
          <w:bCs/>
          <w:szCs w:val="24"/>
        </w:rPr>
        <w:t>not to compete with the PWR at 120°C</w:t>
      </w:r>
      <w:r>
        <w:rPr>
          <w:rFonts w:eastAsia="Times New Roman" w:cstheme="majorHAnsi"/>
          <w:szCs w:val="24"/>
        </w:rPr>
        <w:t>.</w:t>
      </w:r>
    </w:p>
    <w:p w14:paraId="7887B9F7"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Use the HTR-PM where you genuinely need its temperature.</w:t>
      </w:r>
    </w:p>
    <w:p w14:paraId="09F6375D" w14:textId="77777777" w:rsidR="00FF5FB9" w:rsidRDefault="00FF5FB9" w:rsidP="00FF5FB9">
      <w:pPr>
        <w:spacing w:before="280" w:after="280"/>
        <w:rPr>
          <w:rFonts w:asciiTheme="majorHAnsi" w:eastAsia="Times New Roman" w:hAnsiTheme="majorHAnsi" w:cstheme="majorHAnsi"/>
          <w:szCs w:val="24"/>
        </w:rPr>
      </w:pPr>
      <w:r>
        <w:t xml:space="preserve">Your the current companion site-construction proposal document makes this distinction explicitly: PWR steam is below roughly 300°C while HTR-PM offers roughly 520°C-class steam. </w:t>
      </w:r>
    </w:p>
    <w:p w14:paraId="45B69D5D"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Candidate applications include:</w:t>
      </w:r>
    </w:p>
    <w:p w14:paraId="09BFC391" w14:textId="77777777" w:rsidR="00FF5FB9" w:rsidRDefault="00FF5FB9">
      <w:pPr>
        <w:pStyle w:val="blist-bullets"/>
        <w:numPr>
          <w:ilvl w:val="0"/>
          <w:numId w:val="8"/>
        </w:numPr>
        <w:spacing w:before="0" w:after="0"/>
        <w:rPr>
          <w:rFonts w:asciiTheme="majorHAnsi" w:eastAsia="Times New Roman" w:hAnsiTheme="majorHAnsi" w:cstheme="majorHAnsi"/>
          <w:szCs w:val="24"/>
        </w:rPr>
      </w:pPr>
      <w:r>
        <w:rPr>
          <w:rFonts w:eastAsia="Times New Roman" w:cstheme="majorHAnsi"/>
          <w:szCs w:val="24"/>
        </w:rPr>
        <w:t xml:space="preserve">superheated-steam drying; </w:t>
      </w:r>
    </w:p>
    <w:p w14:paraId="1CBE4FCB" w14:textId="77777777" w:rsidR="00FF5FB9" w:rsidRDefault="00FF5FB9">
      <w:pPr>
        <w:pStyle w:val="blist-bullets"/>
        <w:numPr>
          <w:ilvl w:val="0"/>
          <w:numId w:val="8"/>
        </w:numPr>
        <w:spacing w:before="0" w:after="0"/>
        <w:rPr>
          <w:rFonts w:asciiTheme="majorHAnsi" w:eastAsia="Times New Roman" w:hAnsiTheme="majorHAnsi" w:cstheme="majorHAnsi"/>
          <w:szCs w:val="24"/>
        </w:rPr>
      </w:pPr>
      <w:r>
        <w:rPr>
          <w:rFonts w:eastAsia="Times New Roman" w:cstheme="majorHAnsi"/>
          <w:szCs w:val="24"/>
        </w:rPr>
        <w:t xml:space="preserve">higher-temperature chemical reactors; </w:t>
      </w:r>
    </w:p>
    <w:p w14:paraId="4C07E87A" w14:textId="77777777" w:rsidR="00FF5FB9" w:rsidRDefault="00FF5FB9">
      <w:pPr>
        <w:pStyle w:val="blist-bullets"/>
        <w:numPr>
          <w:ilvl w:val="0"/>
          <w:numId w:val="8"/>
        </w:numPr>
        <w:spacing w:before="0" w:after="0"/>
        <w:rPr>
          <w:rFonts w:asciiTheme="majorHAnsi" w:eastAsia="Times New Roman" w:hAnsiTheme="majorHAnsi" w:cstheme="majorHAnsi"/>
          <w:szCs w:val="24"/>
        </w:rPr>
      </w:pPr>
      <w:r>
        <w:rPr>
          <w:rFonts w:eastAsia="Times New Roman" w:cstheme="majorHAnsi"/>
          <w:szCs w:val="24"/>
        </w:rPr>
        <w:t xml:space="preserve">high-temperature distillation/reboiling; </w:t>
      </w:r>
    </w:p>
    <w:p w14:paraId="666E5FF8" w14:textId="77777777" w:rsidR="00FF5FB9" w:rsidRDefault="00FF5FB9">
      <w:pPr>
        <w:pStyle w:val="blist-bullets"/>
        <w:numPr>
          <w:ilvl w:val="0"/>
          <w:numId w:val="8"/>
        </w:numPr>
        <w:spacing w:before="0" w:after="0"/>
        <w:rPr>
          <w:rFonts w:asciiTheme="majorHAnsi" w:eastAsia="Times New Roman" w:hAnsiTheme="majorHAnsi" w:cstheme="majorHAnsi"/>
          <w:szCs w:val="24"/>
        </w:rPr>
      </w:pPr>
      <w:r>
        <w:rPr>
          <w:rFonts w:eastAsia="Times New Roman" w:cstheme="majorHAnsi"/>
          <w:szCs w:val="24"/>
        </w:rPr>
        <w:t xml:space="preserve">mineral treatment; </w:t>
      </w:r>
    </w:p>
    <w:p w14:paraId="33648A28" w14:textId="77777777" w:rsidR="00FF5FB9" w:rsidRDefault="00FF5FB9">
      <w:pPr>
        <w:pStyle w:val="blist-bullets"/>
        <w:numPr>
          <w:ilvl w:val="0"/>
          <w:numId w:val="8"/>
        </w:numPr>
        <w:spacing w:before="0" w:after="0"/>
        <w:rPr>
          <w:rFonts w:asciiTheme="majorHAnsi" w:eastAsia="Times New Roman" w:hAnsiTheme="majorHAnsi" w:cstheme="majorHAnsi"/>
          <w:szCs w:val="24"/>
        </w:rPr>
      </w:pPr>
      <w:r>
        <w:rPr>
          <w:rFonts w:eastAsia="Times New Roman" w:cstheme="majorHAnsi"/>
          <w:szCs w:val="24"/>
        </w:rPr>
        <w:t xml:space="preserve">feedstock/material preheating; </w:t>
      </w:r>
    </w:p>
    <w:p w14:paraId="3314EAF0" w14:textId="77777777" w:rsidR="00FF5FB9" w:rsidRDefault="00FF5FB9">
      <w:pPr>
        <w:pStyle w:val="blist-bullets"/>
        <w:numPr>
          <w:ilvl w:val="0"/>
          <w:numId w:val="8"/>
        </w:numPr>
        <w:spacing w:before="0" w:after="0"/>
        <w:rPr>
          <w:rFonts w:asciiTheme="majorHAnsi" w:eastAsia="Times New Roman" w:hAnsiTheme="majorHAnsi" w:cstheme="majorHAnsi"/>
          <w:szCs w:val="24"/>
        </w:rPr>
      </w:pPr>
      <w:r>
        <w:rPr>
          <w:rFonts w:eastAsia="Times New Roman" w:cstheme="majorHAnsi"/>
          <w:szCs w:val="24"/>
        </w:rPr>
        <w:t xml:space="preserve">selected calcination duties; </w:t>
      </w:r>
    </w:p>
    <w:p w14:paraId="4485BAD3" w14:textId="77777777" w:rsidR="00FF5FB9" w:rsidRDefault="00FF5FB9">
      <w:pPr>
        <w:pStyle w:val="blist-bullets"/>
        <w:numPr>
          <w:ilvl w:val="0"/>
          <w:numId w:val="8"/>
        </w:numPr>
        <w:spacing w:before="0" w:after="0"/>
        <w:rPr>
          <w:rFonts w:asciiTheme="majorHAnsi" w:eastAsia="Times New Roman" w:hAnsiTheme="majorHAnsi" w:cstheme="majorHAnsi"/>
          <w:szCs w:val="24"/>
        </w:rPr>
      </w:pPr>
      <w:r>
        <w:rPr>
          <w:rFonts w:eastAsia="Times New Roman" w:cstheme="majorHAnsi"/>
          <w:szCs w:val="24"/>
        </w:rPr>
        <w:t xml:space="preserve">high-temperature thermal-fluid loops. </w:t>
      </w:r>
    </w:p>
    <w:p w14:paraId="595D0EFC"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At $15/MWh reactor heat, HTR-PM heat has only a modest energy-cost advantage versus cheap Chinese coal, so </w:t>
      </w:r>
      <w:r>
        <w:rPr>
          <w:rFonts w:eastAsia="Times New Roman" w:cstheme="majorHAnsi"/>
          <w:b/>
          <w:bCs/>
          <w:szCs w:val="24"/>
        </w:rPr>
        <w:t>distance and platform cost matter greatly</w:t>
      </w:r>
      <w:r>
        <w:rPr>
          <w:rFonts w:eastAsia="Times New Roman" w:cstheme="majorHAnsi"/>
          <w:szCs w:val="24"/>
        </w:rPr>
        <w:t>.</w:t>
      </w:r>
    </w:p>
    <w:p w14:paraId="6214CDAF"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The ideal HTR-PM customer is therefore </w:t>
      </w:r>
      <w:r>
        <w:rPr>
          <w:rFonts w:eastAsia="Times New Roman" w:cstheme="majorHAnsi"/>
          <w:b/>
          <w:bCs/>
          <w:szCs w:val="24"/>
        </w:rPr>
        <w:t>co-located</w:t>
      </w:r>
      <w:r>
        <w:rPr>
          <w:rFonts w:eastAsia="Times New Roman" w:cstheme="majorHAnsi"/>
          <w:szCs w:val="24"/>
        </w:rPr>
        <w:t>—perhaps hundreds of meters or a few kilometers away, rather than 30 km away.</w:t>
      </w:r>
    </w:p>
    <w:p w14:paraId="5323A13E"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lastRenderedPageBreak/>
        <w:t>Against natural gas, however, the economic margin is much larger.</w:t>
      </w:r>
    </w:p>
    <w:p w14:paraId="18EDAC3B" w14:textId="77777777" w:rsidR="00FF5FB9" w:rsidRDefault="00FF5FB9" w:rsidP="00FF5FB9">
      <w:pPr>
        <w:pStyle w:val="Heading3"/>
        <w:spacing w:before="280" w:after="280"/>
      </w:pPr>
      <w:r>
        <w:t>9. Hybrid HTR-PM + electric furnace: potentially important above 500°C</w:t>
      </w:r>
    </w:p>
    <w:p w14:paraId="70F50BB4"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There is another architecture that I think deserves much more attention in your proposal.</w:t>
      </w:r>
    </w:p>
    <w:p w14:paraId="03CEE20B"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Suppose a process requires </w:t>
      </w:r>
      <w:r>
        <w:rPr>
          <w:rFonts w:eastAsia="Times New Roman" w:cstheme="majorHAnsi"/>
          <w:b/>
          <w:bCs/>
          <w:szCs w:val="24"/>
        </w:rPr>
        <w:t>900°C</w:t>
      </w:r>
      <w:r>
        <w:rPr>
          <w:rFonts w:eastAsia="Times New Roman" w:cstheme="majorHAnsi"/>
          <w:szCs w:val="24"/>
        </w:rPr>
        <w:t>.</w:t>
      </w:r>
    </w:p>
    <w:p w14:paraId="32C277F8"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Do not necessarily generate electricity from all the reactor heat and then use electricity from room temperature to 900°C.</w:t>
      </w:r>
    </w:p>
    <w:p w14:paraId="698132DE"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Instead:</w:t>
      </w:r>
    </w:p>
    <w:p w14:paraId="1C895D52" w14:textId="77777777" w:rsidR="00FF5FB9" w:rsidRDefault="00FF5FB9" w:rsidP="006D469F">
      <w:pPr>
        <w:pStyle w:val="bblueindent"/>
      </w:pPr>
      <w:r>
        <w:t>HTR-PM direct heat → preheat material/gas to ~500°C</w:t>
      </w:r>
    </w:p>
    <w:p w14:paraId="5CCDD121"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then:</w:t>
      </w:r>
    </w:p>
    <w:p w14:paraId="5EDCBD9F" w14:textId="77777777" w:rsidR="00FF5FB9" w:rsidRDefault="00FF5FB9" w:rsidP="006D469F">
      <w:pPr>
        <w:pStyle w:val="bblueindent"/>
      </w:pPr>
      <w:r>
        <w:t>nuclear electricity → resistance/induction/plasma heating → 900°C</w:t>
      </w:r>
    </w:p>
    <w:p w14:paraId="55636669"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This is potentially much cheaper.</w:t>
      </w:r>
    </w:p>
    <w:p w14:paraId="615CA854"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For a simplified case where half the useful heat can be supplied directly at $15/MWh and half needs $37/MWh electricity:</w:t>
      </w:r>
    </w:p>
    <w:p w14:paraId="3AB284B8" w14:textId="77777777" w:rsidR="00FF5FB9" w:rsidRDefault="00FF5FB9" w:rsidP="006D469F">
      <w:pPr>
        <w:pStyle w:val="bblueindent"/>
      </w:pPr>
      <w:r>
        <w:t>0.5 × $15 + 0.5 × $37 = $26/MWh</w:t>
      </w:r>
      <w:r>
        <w:rPr>
          <w:rFonts w:ascii="Cambria Math" w:hAnsi="Cambria Math" w:cs="Cambria Math"/>
        </w:rPr>
        <w:t>ₜₕ</w:t>
      </w:r>
      <w:r>
        <w:t xml:space="preserve"> before furnace/platform costs.</w:t>
      </w:r>
    </w:p>
    <w:p w14:paraId="6D9A5764"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That is:</w:t>
      </w:r>
    </w:p>
    <w:p w14:paraId="55177B48" w14:textId="77777777" w:rsidR="00FF5FB9" w:rsidRDefault="00FF5FB9" w:rsidP="00E74120">
      <w:pPr>
        <w:pStyle w:val="blist-numbers"/>
        <w:numPr>
          <w:ilvl w:val="0"/>
          <w:numId w:val="9"/>
        </w:numPr>
        <w:rPr>
          <w:rFonts w:asciiTheme="majorHAnsi" w:hAnsiTheme="majorHAnsi"/>
        </w:rPr>
      </w:pPr>
      <w:r>
        <w:t xml:space="preserve">above the $16–23/MWh fuel-only coal benchmark; </w:t>
      </w:r>
    </w:p>
    <w:p w14:paraId="00E15EFD" w14:textId="77777777" w:rsidR="00FF5FB9" w:rsidRDefault="00FF5FB9" w:rsidP="00E74120">
      <w:pPr>
        <w:pStyle w:val="blist-numbers"/>
        <w:numPr>
          <w:ilvl w:val="0"/>
          <w:numId w:val="9"/>
        </w:numPr>
        <w:rPr>
          <w:rFonts w:asciiTheme="majorHAnsi" w:hAnsiTheme="majorHAnsi"/>
        </w:rPr>
      </w:pPr>
      <w:r>
        <w:t xml:space="preserve">but dramatically below the $59–90/MWh Chinese natural-gas heat benchmark. </w:t>
      </w:r>
    </w:p>
    <w:p w14:paraId="6105BD9D"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And electric heating can sometimes be more efficient at actually putting heat into the material than a combustion furnace because it avoids heating large flows of nitrogen-containing flue gas. DOE identifies resistance, induction, microwave, RF, infrared, electric arc and plasma as candidate replacements for combustion process heat and notes potential reductions in energy intensity, heating time and temperature nonuniformity. </w:t>
      </w:r>
    </w:p>
    <w:p w14:paraId="34482899"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That opens another group of applications.</w:t>
      </w:r>
    </w:p>
    <w:p w14:paraId="4F4A3E7D" w14:textId="77777777" w:rsidR="00FF5FB9" w:rsidRDefault="00FF5FB9" w:rsidP="00FF5FB9">
      <w:pPr>
        <w:pStyle w:val="Heading3"/>
        <w:spacing w:before="280" w:after="280"/>
      </w:pPr>
      <w:r>
        <w:t>10. Metal reheating and heat treatment</w:t>
      </w:r>
    </w:p>
    <w:p w14:paraId="6E4C1122"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Not steel reduction—the </w:t>
      </w:r>
      <w:r>
        <w:rPr>
          <w:rFonts w:eastAsia="Times New Roman" w:cstheme="majorHAnsi"/>
          <w:b/>
          <w:bCs/>
          <w:szCs w:val="24"/>
        </w:rPr>
        <w:t>heat</w:t>
      </w:r>
      <w:r>
        <w:rPr>
          <w:rFonts w:eastAsia="Times New Roman" w:cstheme="majorHAnsi"/>
          <w:szCs w:val="24"/>
        </w:rPr>
        <w:t xml:space="preserve"> operations.</w:t>
      </w:r>
    </w:p>
    <w:p w14:paraId="773A2961"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lastRenderedPageBreak/>
        <w:t>Examples:</w:t>
      </w:r>
    </w:p>
    <w:p w14:paraId="0D525AF6" w14:textId="77777777" w:rsidR="00FF5FB9" w:rsidRDefault="00FF5FB9">
      <w:pPr>
        <w:pStyle w:val="blist-bullets"/>
        <w:numPr>
          <w:ilvl w:val="0"/>
          <w:numId w:val="10"/>
        </w:numPr>
        <w:spacing w:before="0" w:after="0"/>
        <w:rPr>
          <w:rFonts w:asciiTheme="majorHAnsi" w:eastAsia="Times New Roman" w:hAnsiTheme="majorHAnsi" w:cstheme="majorHAnsi"/>
          <w:szCs w:val="24"/>
        </w:rPr>
      </w:pPr>
      <w:r>
        <w:rPr>
          <w:rFonts w:eastAsia="Times New Roman" w:cstheme="majorHAnsi"/>
          <w:szCs w:val="24"/>
        </w:rPr>
        <w:t xml:space="preserve">reheating billets; </w:t>
      </w:r>
    </w:p>
    <w:p w14:paraId="2B78586D" w14:textId="77777777" w:rsidR="00FF5FB9" w:rsidRDefault="00FF5FB9">
      <w:pPr>
        <w:pStyle w:val="blist-bullets"/>
        <w:numPr>
          <w:ilvl w:val="0"/>
          <w:numId w:val="10"/>
        </w:numPr>
        <w:spacing w:before="0" w:after="0"/>
        <w:rPr>
          <w:rFonts w:asciiTheme="majorHAnsi" w:eastAsia="Times New Roman" w:hAnsiTheme="majorHAnsi" w:cstheme="majorHAnsi"/>
          <w:szCs w:val="24"/>
        </w:rPr>
      </w:pPr>
      <w:r>
        <w:rPr>
          <w:rFonts w:eastAsia="Times New Roman" w:cstheme="majorHAnsi"/>
          <w:szCs w:val="24"/>
        </w:rPr>
        <w:t xml:space="preserve">forging furnaces; </w:t>
      </w:r>
    </w:p>
    <w:p w14:paraId="42E504E5" w14:textId="77777777" w:rsidR="00FF5FB9" w:rsidRDefault="00FF5FB9">
      <w:pPr>
        <w:pStyle w:val="blist-bullets"/>
        <w:numPr>
          <w:ilvl w:val="0"/>
          <w:numId w:val="10"/>
        </w:numPr>
        <w:spacing w:before="0" w:after="0"/>
        <w:rPr>
          <w:rFonts w:asciiTheme="majorHAnsi" w:eastAsia="Times New Roman" w:hAnsiTheme="majorHAnsi" w:cstheme="majorHAnsi"/>
          <w:szCs w:val="24"/>
        </w:rPr>
      </w:pPr>
      <w:r>
        <w:rPr>
          <w:rFonts w:eastAsia="Times New Roman" w:cstheme="majorHAnsi"/>
          <w:szCs w:val="24"/>
        </w:rPr>
        <w:t xml:space="preserve">annealing; </w:t>
      </w:r>
    </w:p>
    <w:p w14:paraId="66F9A0FA" w14:textId="77777777" w:rsidR="00FF5FB9" w:rsidRDefault="00FF5FB9">
      <w:pPr>
        <w:pStyle w:val="blist-bullets"/>
        <w:numPr>
          <w:ilvl w:val="0"/>
          <w:numId w:val="10"/>
        </w:numPr>
        <w:spacing w:before="0" w:after="0"/>
        <w:rPr>
          <w:rFonts w:asciiTheme="majorHAnsi" w:eastAsia="Times New Roman" w:hAnsiTheme="majorHAnsi" w:cstheme="majorHAnsi"/>
          <w:szCs w:val="24"/>
        </w:rPr>
      </w:pPr>
      <w:r>
        <w:rPr>
          <w:rFonts w:eastAsia="Times New Roman" w:cstheme="majorHAnsi"/>
          <w:szCs w:val="24"/>
        </w:rPr>
        <w:t xml:space="preserve">heat treatment; </w:t>
      </w:r>
    </w:p>
    <w:p w14:paraId="11A18438" w14:textId="77777777" w:rsidR="00FF5FB9" w:rsidRDefault="00FF5FB9">
      <w:pPr>
        <w:pStyle w:val="blist-bullets"/>
        <w:numPr>
          <w:ilvl w:val="0"/>
          <w:numId w:val="10"/>
        </w:numPr>
        <w:spacing w:before="0" w:after="0"/>
        <w:rPr>
          <w:rFonts w:asciiTheme="majorHAnsi" w:eastAsia="Times New Roman" w:hAnsiTheme="majorHAnsi" w:cstheme="majorHAnsi"/>
          <w:szCs w:val="24"/>
        </w:rPr>
      </w:pPr>
      <w:r>
        <w:rPr>
          <w:rFonts w:eastAsia="Times New Roman" w:cstheme="majorHAnsi"/>
          <w:szCs w:val="24"/>
        </w:rPr>
        <w:t xml:space="preserve">preheating; </w:t>
      </w:r>
    </w:p>
    <w:p w14:paraId="7C5A134F" w14:textId="77777777" w:rsidR="00FF5FB9" w:rsidRDefault="00FF5FB9">
      <w:pPr>
        <w:pStyle w:val="blist-bullets"/>
        <w:numPr>
          <w:ilvl w:val="0"/>
          <w:numId w:val="10"/>
        </w:numPr>
        <w:spacing w:before="0" w:after="0"/>
        <w:rPr>
          <w:rFonts w:asciiTheme="majorHAnsi" w:eastAsia="Times New Roman" w:hAnsiTheme="majorHAnsi" w:cstheme="majorHAnsi"/>
          <w:szCs w:val="24"/>
        </w:rPr>
      </w:pPr>
      <w:r>
        <w:rPr>
          <w:rFonts w:eastAsia="Times New Roman" w:cstheme="majorHAnsi"/>
          <w:szCs w:val="24"/>
        </w:rPr>
        <w:t xml:space="preserve">foundry holding furnaces. </w:t>
      </w:r>
    </w:p>
    <w:p w14:paraId="26A3BC08"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These are commonly fossil-fired.</w:t>
      </w:r>
    </w:p>
    <w:p w14:paraId="72713BF8"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Possible platform:</w:t>
      </w:r>
    </w:p>
    <w:p w14:paraId="7D169AB7" w14:textId="77777777" w:rsidR="00FF5FB9" w:rsidRDefault="00FF5FB9" w:rsidP="006D469F">
      <w:pPr>
        <w:pStyle w:val="bblueindent"/>
      </w:pPr>
      <w:r>
        <w:t>HTR-PM preheater → induction/resistance furnace → heat recovery → PWR/HTR steam network</w:t>
      </w:r>
    </w:p>
    <w:p w14:paraId="673A67F9"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DOE specifically identifies hybrid induction plus conventional radiant/convection heating for steel-billet reheating and other electric process-heating technologies. </w:t>
      </w:r>
    </w:p>
    <w:p w14:paraId="46B3A149"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With $31/MWh PWR electricity, a fully electric furnace is probably </w:t>
      </w:r>
      <w:r>
        <w:rPr>
          <w:rFonts w:eastAsia="Times New Roman" w:cstheme="majorHAnsi"/>
          <w:b/>
          <w:bCs/>
          <w:szCs w:val="24"/>
        </w:rPr>
        <w:t>not reliably cheaper than a coal-fired furnace</w:t>
      </w:r>
      <w:r>
        <w:rPr>
          <w:rFonts w:eastAsia="Times New Roman" w:cstheme="majorHAnsi"/>
          <w:szCs w:val="24"/>
        </w:rPr>
        <w:t xml:space="preserve"> purely on energy cost.</w:t>
      </w:r>
    </w:p>
    <w:p w14:paraId="743F4196"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It can, however, plausibly be cheaper than </w:t>
      </w:r>
      <w:r>
        <w:rPr>
          <w:rFonts w:eastAsia="Times New Roman" w:cstheme="majorHAnsi"/>
          <w:b/>
          <w:bCs/>
          <w:szCs w:val="24"/>
        </w:rPr>
        <w:t>natural-gas/LPG/oil heating</w:t>
      </w:r>
      <w:r>
        <w:rPr>
          <w:rFonts w:eastAsia="Times New Roman" w:cstheme="majorHAnsi"/>
          <w:szCs w:val="24"/>
        </w:rPr>
        <w:t>, particularly if induction or direct electrical heating cuts energy consumption per tonne.</w:t>
      </w:r>
    </w:p>
    <w:p w14:paraId="39C4100D"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So, I would pursue gas-fired metal furnaces first.</w:t>
      </w:r>
    </w:p>
    <w:p w14:paraId="31A8A69A" w14:textId="77777777" w:rsidR="00FF5FB9" w:rsidRDefault="00FF5FB9" w:rsidP="00FF5FB9">
      <w:pPr>
        <w:pStyle w:val="Heading3"/>
        <w:spacing w:before="280" w:after="280"/>
      </w:pPr>
      <w:r>
        <w:t>11. Glass melting</w:t>
      </w:r>
    </w:p>
    <w:p w14:paraId="2E0C40A8"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Same argument.</w:t>
      </w:r>
    </w:p>
    <w:p w14:paraId="27193749"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A glass furnace operates far above HTR-PM temperature, so direct reactor heat alone cannot do the job.</w:t>
      </w:r>
    </w:p>
    <w:p w14:paraId="0D6AC596"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But DOE explicitly identifies </w:t>
      </w:r>
      <w:r>
        <w:rPr>
          <w:rFonts w:eastAsia="Times New Roman" w:cstheme="majorHAnsi"/>
          <w:b/>
          <w:bCs/>
          <w:szCs w:val="24"/>
        </w:rPr>
        <w:t>direct-contact electric glass melting</w:t>
      </w:r>
      <w:r>
        <w:rPr>
          <w:rFonts w:eastAsia="Times New Roman" w:cstheme="majorHAnsi"/>
          <w:szCs w:val="24"/>
        </w:rPr>
        <w:t xml:space="preserve"> among industrial electrification technologies. </w:t>
      </w:r>
    </w:p>
    <w:p w14:paraId="542ACBB4"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Potential architecture:</w:t>
      </w:r>
    </w:p>
    <w:p w14:paraId="08D5ABC9"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**HTR-PM → batch/air/material preheat</w:t>
      </w:r>
    </w:p>
    <w:p w14:paraId="082BE702" w14:textId="77777777" w:rsidR="00FF5FB9" w:rsidRDefault="00FF5FB9">
      <w:pPr>
        <w:pStyle w:val="blist-bullets"/>
        <w:numPr>
          <w:ilvl w:val="0"/>
          <w:numId w:val="11"/>
        </w:numPr>
        <w:spacing w:before="280"/>
        <w:rPr>
          <w:rFonts w:asciiTheme="majorHAnsi" w:eastAsia="Times New Roman" w:hAnsiTheme="majorHAnsi" w:cstheme="majorHAnsi"/>
          <w:szCs w:val="24"/>
        </w:rPr>
      </w:pPr>
      <w:r>
        <w:rPr>
          <w:rFonts w:eastAsia="Times New Roman" w:cstheme="majorHAnsi"/>
          <w:szCs w:val="24"/>
        </w:rPr>
        <w:t xml:space="preserve">PWR electricity → electric glass melter </w:t>
      </w:r>
    </w:p>
    <w:p w14:paraId="1749F8EB" w14:textId="77777777" w:rsidR="00FF5FB9" w:rsidRDefault="00FF5FB9">
      <w:pPr>
        <w:pStyle w:val="blist-bullets"/>
        <w:numPr>
          <w:ilvl w:val="0"/>
          <w:numId w:val="11"/>
        </w:numPr>
        <w:spacing w:after="280"/>
        <w:rPr>
          <w:rFonts w:asciiTheme="majorHAnsi" w:eastAsia="Times New Roman" w:hAnsiTheme="majorHAnsi" w:cstheme="majorHAnsi"/>
          <w:szCs w:val="24"/>
        </w:rPr>
      </w:pPr>
      <w:r>
        <w:rPr>
          <w:rFonts w:eastAsia="Times New Roman" w:cstheme="majorHAnsi"/>
          <w:szCs w:val="24"/>
        </w:rPr>
        <w:t xml:space="preserve">furnace exhaust/waste heat → lower-temperature platforms** </w:t>
      </w:r>
    </w:p>
    <w:p w14:paraId="0BDF03E6"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lastRenderedPageBreak/>
        <w:t xml:space="preserve">This could plausibly beat a </w:t>
      </w:r>
      <w:r>
        <w:rPr>
          <w:rFonts w:eastAsia="Times New Roman" w:cstheme="majorHAnsi"/>
          <w:b/>
          <w:bCs/>
          <w:szCs w:val="24"/>
        </w:rPr>
        <w:t>gas-fired</w:t>
      </w:r>
      <w:r>
        <w:rPr>
          <w:rFonts w:eastAsia="Times New Roman" w:cstheme="majorHAnsi"/>
          <w:szCs w:val="24"/>
        </w:rPr>
        <w:t xml:space="preserve"> glass furnace if the direct electric melter has substantially higher end-use efficiency.</w:t>
      </w:r>
    </w:p>
    <w:p w14:paraId="05A54EB2"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I would not yet claim it beats cheap Chinese coal without a plant-specific cost model.</w:t>
      </w:r>
    </w:p>
    <w:p w14:paraId="31C8C8B9" w14:textId="77777777" w:rsidR="00FF5FB9" w:rsidRDefault="00FF5FB9" w:rsidP="00FF5FB9">
      <w:pPr>
        <w:pStyle w:val="Heading3"/>
        <w:spacing w:before="280" w:after="280"/>
      </w:pPr>
      <w:r>
        <w:t>12. Ceramics, bricks and some mineral calcination</w:t>
      </w:r>
    </w:p>
    <w:p w14:paraId="7EC934AC"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Similar story:</w:t>
      </w:r>
    </w:p>
    <w:p w14:paraId="07F6B807" w14:textId="77777777" w:rsidR="00FF5FB9" w:rsidRDefault="00FF5FB9" w:rsidP="00637EF3">
      <w:pPr>
        <w:pStyle w:val="bblueindent"/>
      </w:pPr>
      <w:r>
        <w:t>HTR-PM supplies the first several hundred degrees</w:t>
      </w:r>
    </w:p>
    <w:p w14:paraId="1EFE9CAB"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and:</w:t>
      </w:r>
    </w:p>
    <w:p w14:paraId="28CD0179" w14:textId="77777777" w:rsidR="00FF5FB9" w:rsidRDefault="00FF5FB9" w:rsidP="00637EF3">
      <w:pPr>
        <w:pStyle w:val="bblueindent"/>
      </w:pPr>
      <w:r>
        <w:t>electric resistance/microwave/plasma supplies the high-temperature increment.</w:t>
      </w:r>
    </w:p>
    <w:p w14:paraId="5BBE3F05"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This is attractive where the incumbent fuel is natural gas, LPG or oil.</w:t>
      </w:r>
    </w:p>
    <w:p w14:paraId="2C848845"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Against cheap coal, the economics are less certain.</w:t>
      </w:r>
    </w:p>
    <w:p w14:paraId="736C96A8" w14:textId="77777777" w:rsidR="00FF5FB9" w:rsidRDefault="00FF5FB9" w:rsidP="00FF5FB9">
      <w:pPr>
        <w:pStyle w:val="Heading2"/>
        <w:spacing w:before="280"/>
      </w:pPr>
      <w:r>
        <w:t>What I would exclude from the "cheaper than fossil heat" first wave</w:t>
      </w:r>
    </w:p>
    <w:p w14:paraId="27DC91D6" w14:textId="77777777" w:rsidR="00FF5FB9" w:rsidRPr="00637EF3" w:rsidRDefault="00FF5FB9" w:rsidP="00FF5FB9">
      <w:pPr>
        <w:spacing w:before="280" w:after="280"/>
        <w:rPr>
          <w:rFonts w:asciiTheme="majorHAnsi" w:eastAsia="Times New Roman" w:hAnsiTheme="majorHAnsi" w:cstheme="majorHAnsi"/>
          <w:szCs w:val="24"/>
        </w:rPr>
      </w:pPr>
      <w:r w:rsidRPr="00637EF3">
        <w:rPr>
          <w:rFonts w:eastAsia="Times New Roman" w:cstheme="majorHAnsi"/>
          <w:szCs w:val="24"/>
        </w:rPr>
        <w:t>I would not initially emphasize:</w:t>
      </w:r>
    </w:p>
    <w:p w14:paraId="53D37A4F" w14:textId="77777777" w:rsidR="00FF5FB9" w:rsidRDefault="00FF5FB9" w:rsidP="00637EF3">
      <w:pPr>
        <w:pStyle w:val="blist-bullets"/>
        <w:rPr>
          <w:rFonts w:asciiTheme="majorHAnsi" w:hAnsiTheme="majorHAnsi"/>
        </w:rPr>
      </w:pPr>
      <w:r>
        <w:rPr>
          <w:b/>
          <w:bCs/>
        </w:rPr>
        <w:t>Cement clinker.</w:t>
      </w:r>
      <w:r>
        <w:t xml:space="preserve"> The kiln is extremely hot, and most cement CO₂ comes from limestone chemistry rather than fuel. Nuclear heat can eliminate fuel emissions but not the calcination emissions. Your existing analysis therefore correctly rates complete cement decarbonization poorly as an early low-cost application. </w:t>
      </w:r>
    </w:p>
    <w:p w14:paraId="7308120C" w14:textId="77777777" w:rsidR="00FF5FB9" w:rsidRDefault="00FF5FB9" w:rsidP="00637EF3">
      <w:pPr>
        <w:pStyle w:val="blist-bullets"/>
        <w:rPr>
          <w:rFonts w:asciiTheme="majorHAnsi" w:hAnsiTheme="majorHAnsi"/>
        </w:rPr>
      </w:pPr>
      <w:r>
        <w:rPr>
          <w:b/>
          <w:bCs/>
        </w:rPr>
        <w:t>Blast-furnace ironmaking.</w:t>
      </w:r>
      <w:r>
        <w:t xml:space="preserve"> Coke is doing chemical reduction as well as making heat. Simply replacing furnace heat doesn't solve that problem. </w:t>
      </w:r>
    </w:p>
    <w:p w14:paraId="17A93F09" w14:textId="77777777" w:rsidR="00FF5FB9" w:rsidRDefault="00FF5FB9" w:rsidP="00637EF3">
      <w:pPr>
        <w:pStyle w:val="blist-bullets"/>
        <w:rPr>
          <w:rFonts w:asciiTheme="majorHAnsi" w:hAnsiTheme="majorHAnsi"/>
        </w:rPr>
      </w:pPr>
      <w:r>
        <w:rPr>
          <w:b/>
          <w:bCs/>
        </w:rPr>
        <w:t>Oil refineries burning their own byproduct fuel gas.</w:t>
      </w:r>
      <w:r>
        <w:t xml:space="preserve"> The fuel can have a very low opportunity cost, making nuclear economically difficult despite technically suitable process temperatures.</w:t>
      </w:r>
    </w:p>
    <w:p w14:paraId="52E40CAB" w14:textId="77777777" w:rsidR="00FF5FB9" w:rsidRDefault="00FF5FB9" w:rsidP="00637EF3">
      <w:pPr>
        <w:pStyle w:val="blist-bullets"/>
        <w:rPr>
          <w:rFonts w:asciiTheme="majorHAnsi" w:hAnsiTheme="majorHAnsi"/>
        </w:rPr>
      </w:pPr>
      <w:r>
        <w:rPr>
          <w:b/>
          <w:bCs/>
        </w:rPr>
        <w:t>Pure resistance heating replacing a cheap coal furnace.</w:t>
      </w:r>
      <w:r>
        <w:t xml:space="preserve"> At ~$31–32/MWh of nuclear-electric heat versus ~$16–23/MWh useful coal heat, there isn't an obvious cost win unless electric heating substantially reduces process energy consumption.</w:t>
      </w:r>
    </w:p>
    <w:p w14:paraId="11C6D224" w14:textId="77777777" w:rsidR="00FF5FB9" w:rsidRDefault="00FF5FB9" w:rsidP="00FF5FB9">
      <w:pPr>
        <w:pStyle w:val="Heading2"/>
        <w:spacing w:before="280"/>
      </w:pPr>
      <w:r>
        <w:t>My ranking</w:t>
      </w:r>
    </w:p>
    <w:p w14:paraId="137876A3"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If the objective is specifically:</w:t>
      </w:r>
    </w:p>
    <w:p w14:paraId="0F6C109A" w14:textId="77777777" w:rsidR="00FF5FB9" w:rsidRDefault="00FF5FB9" w:rsidP="00637EF3">
      <w:pPr>
        <w:pStyle w:val="bblueindent"/>
      </w:pPr>
      <w:r>
        <w:t>Reduce CO₂ while also lowering production cost by replacing fossil-fired industrial heat</w:t>
      </w:r>
    </w:p>
    <w:p w14:paraId="3FC59F10" w14:textId="77777777" w:rsidR="00FF5FB9" w:rsidRDefault="00FF5FB9" w:rsidP="00FF5FB9">
      <w:pPr>
        <w:rPr>
          <w:rFonts w:asciiTheme="majorHAnsi" w:eastAsia="Times New Roman" w:hAnsiTheme="majorHAnsi" w:cstheme="majorHAnsi"/>
          <w:szCs w:val="24"/>
        </w:rPr>
      </w:pPr>
      <w:r>
        <w:rPr>
          <w:rFonts w:eastAsia="Times New Roman" w:cstheme="majorHAnsi"/>
          <w:szCs w:val="24"/>
        </w:rPr>
        <w:lastRenderedPageBreak/>
        <w:t>I would rank the opportunities this way:</w:t>
      </w:r>
    </w:p>
    <w:tbl>
      <w:tblPr>
        <w:tblStyle w:val="gswTableStyle"/>
        <w:tblW w:w="10710" w:type="dxa"/>
        <w:tblLayout w:type="fixed"/>
        <w:tblLook w:val="04A0" w:firstRow="1" w:lastRow="0" w:firstColumn="1" w:lastColumn="0" w:noHBand="0" w:noVBand="1"/>
      </w:tblPr>
      <w:tblGrid>
        <w:gridCol w:w="828"/>
        <w:gridCol w:w="3672"/>
        <w:gridCol w:w="3240"/>
        <w:gridCol w:w="2970"/>
      </w:tblGrid>
      <w:tr w:rsidR="00FF5FB9" w14:paraId="32A31C72" w14:textId="77777777" w:rsidTr="00637EF3">
        <w:trPr>
          <w:cnfStyle w:val="100000000000" w:firstRow="1" w:lastRow="0" w:firstColumn="0" w:lastColumn="0" w:oddVBand="0" w:evenVBand="0" w:oddHBand="0" w:evenHBand="0" w:firstRowFirstColumn="0" w:firstRowLastColumn="0" w:lastRowFirstColumn="0" w:lastRowLastColumn="0"/>
          <w:tblHeader/>
        </w:trPr>
        <w:tc>
          <w:tcPr>
            <w:tcW w:w="828" w:type="dxa"/>
          </w:tcPr>
          <w:p w14:paraId="1B740EB8" w14:textId="77777777" w:rsidR="00FF5FB9" w:rsidRDefault="00FF5FB9" w:rsidP="009B38DB">
            <w:pPr>
              <w:pStyle w:val="cTableHeader"/>
              <w:spacing w:before="0" w:after="0"/>
            </w:pPr>
            <w:r>
              <w:t>Rank</w:t>
            </w:r>
          </w:p>
        </w:tc>
        <w:tc>
          <w:tcPr>
            <w:tcW w:w="3672" w:type="dxa"/>
          </w:tcPr>
          <w:p w14:paraId="4E655D85" w14:textId="77777777" w:rsidR="00FF5FB9" w:rsidRDefault="00FF5FB9" w:rsidP="009B38DB">
            <w:pPr>
              <w:pStyle w:val="cTableHeader"/>
              <w:spacing w:before="0" w:after="0"/>
            </w:pPr>
            <w:r>
              <w:t>Platform / industry</w:t>
            </w:r>
          </w:p>
        </w:tc>
        <w:tc>
          <w:tcPr>
            <w:tcW w:w="3240" w:type="dxa"/>
          </w:tcPr>
          <w:p w14:paraId="21C18565" w14:textId="77777777" w:rsidR="00FF5FB9" w:rsidRDefault="00FF5FB9" w:rsidP="009B38DB">
            <w:pPr>
              <w:pStyle w:val="cTableHeader"/>
              <w:spacing w:before="0" w:after="0"/>
            </w:pPr>
            <w:r>
              <w:t>Preferred nuclear system</w:t>
            </w:r>
          </w:p>
        </w:tc>
        <w:tc>
          <w:tcPr>
            <w:tcW w:w="2970" w:type="dxa"/>
          </w:tcPr>
          <w:p w14:paraId="18273183" w14:textId="77777777" w:rsidR="00FF5FB9" w:rsidRDefault="00FF5FB9" w:rsidP="009B38DB">
            <w:pPr>
              <w:pStyle w:val="cTableHeader"/>
              <w:spacing w:before="0" w:after="0"/>
            </w:pPr>
            <w:r>
              <w:t>Chance of beating fossil heat</w:t>
            </w:r>
          </w:p>
        </w:tc>
      </w:tr>
      <w:tr w:rsidR="00FF5FB9" w14:paraId="4E0240A1" w14:textId="77777777" w:rsidTr="00637EF3">
        <w:tc>
          <w:tcPr>
            <w:tcW w:w="828" w:type="dxa"/>
          </w:tcPr>
          <w:p w14:paraId="3687218C" w14:textId="77777777" w:rsidR="00FF5FB9" w:rsidRDefault="00FF5FB9" w:rsidP="009B38DB">
            <w:pPr>
              <w:pStyle w:val="cTableBody"/>
              <w:spacing w:before="0"/>
            </w:pPr>
            <w:r>
              <w:t>1</w:t>
            </w:r>
          </w:p>
        </w:tc>
        <w:tc>
          <w:tcPr>
            <w:tcW w:w="3672" w:type="dxa"/>
          </w:tcPr>
          <w:p w14:paraId="791ED36B" w14:textId="77777777" w:rsidR="00FF5FB9" w:rsidRDefault="00FF5FB9" w:rsidP="009B38DB">
            <w:pPr>
              <w:pStyle w:val="cTableBody"/>
              <w:spacing w:before="0"/>
            </w:pPr>
            <w:r>
              <w:t>Heat pump + MVR + steam platform</w:t>
            </w:r>
          </w:p>
        </w:tc>
        <w:tc>
          <w:tcPr>
            <w:tcW w:w="3240" w:type="dxa"/>
          </w:tcPr>
          <w:p w14:paraId="2EA1AEBA" w14:textId="77777777" w:rsidR="00FF5FB9" w:rsidRDefault="00FF5FB9" w:rsidP="009B38DB">
            <w:pPr>
              <w:pStyle w:val="cTableBody"/>
              <w:spacing w:before="0"/>
            </w:pPr>
            <w:r>
              <w:t xml:space="preserve">Automated PWR electricity </w:t>
            </w:r>
            <w:r w:rsidR="00637EF3">
              <w:br/>
            </w:r>
            <w:r>
              <w:t>+ waste heat</w:t>
            </w:r>
          </w:p>
        </w:tc>
        <w:tc>
          <w:tcPr>
            <w:tcW w:w="2970" w:type="dxa"/>
          </w:tcPr>
          <w:p w14:paraId="0BB8DCFB" w14:textId="77777777" w:rsidR="00FF5FB9" w:rsidRDefault="00FF5FB9" w:rsidP="009B38DB">
            <w:pPr>
              <w:pStyle w:val="cTableBody"/>
              <w:spacing w:before="0"/>
            </w:pPr>
            <w:r>
              <w:t>Very high</w:t>
            </w:r>
          </w:p>
        </w:tc>
      </w:tr>
      <w:tr w:rsidR="00FF5FB9" w14:paraId="5B041380" w14:textId="77777777" w:rsidTr="00637EF3">
        <w:tc>
          <w:tcPr>
            <w:tcW w:w="828" w:type="dxa"/>
          </w:tcPr>
          <w:p w14:paraId="47764A36" w14:textId="77777777" w:rsidR="00FF5FB9" w:rsidRDefault="00FF5FB9" w:rsidP="009B38DB">
            <w:pPr>
              <w:pStyle w:val="cTableBody"/>
              <w:spacing w:before="0"/>
            </w:pPr>
            <w:r>
              <w:t>2</w:t>
            </w:r>
          </w:p>
        </w:tc>
        <w:tc>
          <w:tcPr>
            <w:tcW w:w="3672" w:type="dxa"/>
          </w:tcPr>
          <w:p w14:paraId="2009DEC6" w14:textId="77777777" w:rsidR="00FF5FB9" w:rsidRDefault="00FF5FB9" w:rsidP="009B38DB">
            <w:pPr>
              <w:pStyle w:val="cTableBody"/>
              <w:spacing w:before="0"/>
            </w:pPr>
            <w:r>
              <w:t xml:space="preserve">Food/beverage/sugar/starch </w:t>
            </w:r>
            <w:r w:rsidR="00637EF3">
              <w:br/>
            </w:r>
            <w:r>
              <w:t>thermal processing</w:t>
            </w:r>
          </w:p>
        </w:tc>
        <w:tc>
          <w:tcPr>
            <w:tcW w:w="3240" w:type="dxa"/>
          </w:tcPr>
          <w:p w14:paraId="35B40DA6" w14:textId="77777777" w:rsidR="00FF5FB9" w:rsidRDefault="00FF5FB9" w:rsidP="009B38DB">
            <w:pPr>
              <w:pStyle w:val="cTableBody"/>
              <w:spacing w:before="0"/>
            </w:pPr>
            <w:r>
              <w:t>PWR direct heat + heat pumps</w:t>
            </w:r>
          </w:p>
        </w:tc>
        <w:tc>
          <w:tcPr>
            <w:tcW w:w="2970" w:type="dxa"/>
          </w:tcPr>
          <w:p w14:paraId="577C6A3A" w14:textId="77777777" w:rsidR="00FF5FB9" w:rsidRDefault="00FF5FB9" w:rsidP="009B38DB">
            <w:pPr>
              <w:pStyle w:val="cTableBody"/>
              <w:spacing w:before="0"/>
            </w:pPr>
            <w:r>
              <w:t>Very high</w:t>
            </w:r>
          </w:p>
        </w:tc>
      </w:tr>
      <w:tr w:rsidR="00FF5FB9" w14:paraId="6C1C048D" w14:textId="77777777" w:rsidTr="00637EF3">
        <w:tc>
          <w:tcPr>
            <w:tcW w:w="828" w:type="dxa"/>
          </w:tcPr>
          <w:p w14:paraId="466D0CF0" w14:textId="77777777" w:rsidR="00FF5FB9" w:rsidRDefault="00FF5FB9" w:rsidP="009B38DB">
            <w:pPr>
              <w:pStyle w:val="cTableBody"/>
              <w:spacing w:before="0"/>
            </w:pPr>
            <w:r>
              <w:t>3</w:t>
            </w:r>
          </w:p>
        </w:tc>
        <w:tc>
          <w:tcPr>
            <w:tcW w:w="3672" w:type="dxa"/>
          </w:tcPr>
          <w:p w14:paraId="60961B31" w14:textId="77777777" w:rsidR="00FF5FB9" w:rsidRDefault="00FF5FB9" w:rsidP="009B38DB">
            <w:pPr>
              <w:pStyle w:val="cTableBody"/>
              <w:spacing w:before="0"/>
            </w:pPr>
            <w:r>
              <w:t>Chemical distillation</w:t>
            </w:r>
            <w:r w:rsidR="00637EF3">
              <w:t xml:space="preserve"> </w:t>
            </w:r>
            <w:r>
              <w:t>/</w:t>
            </w:r>
            <w:r w:rsidR="00637EF3">
              <w:t xml:space="preserve"> </w:t>
            </w:r>
            <w:r>
              <w:t>reboilers</w:t>
            </w:r>
            <w:r w:rsidR="00637EF3">
              <w:t xml:space="preserve"> </w:t>
            </w:r>
            <w:r>
              <w:t>/</w:t>
            </w:r>
            <w:r w:rsidR="00637EF3">
              <w:t xml:space="preserve"> </w:t>
            </w:r>
            <w:r>
              <w:t>evaporation</w:t>
            </w:r>
          </w:p>
        </w:tc>
        <w:tc>
          <w:tcPr>
            <w:tcW w:w="3240" w:type="dxa"/>
          </w:tcPr>
          <w:p w14:paraId="799E15FE" w14:textId="77777777" w:rsidR="00FF5FB9" w:rsidRDefault="00FF5FB9" w:rsidP="009B38DB">
            <w:pPr>
              <w:pStyle w:val="cTableBody"/>
              <w:spacing w:before="0"/>
            </w:pPr>
            <w:r>
              <w:t>PWR below 300°C; HTR above</w:t>
            </w:r>
          </w:p>
        </w:tc>
        <w:tc>
          <w:tcPr>
            <w:tcW w:w="2970" w:type="dxa"/>
          </w:tcPr>
          <w:p w14:paraId="40BEA064" w14:textId="77777777" w:rsidR="00FF5FB9" w:rsidRDefault="00FF5FB9" w:rsidP="009B38DB">
            <w:pPr>
              <w:pStyle w:val="cTableBody"/>
              <w:spacing w:before="0"/>
            </w:pPr>
            <w:r>
              <w:t xml:space="preserve">Very high vs gas; </w:t>
            </w:r>
            <w:r w:rsidR="00637EF3">
              <w:br/>
            </w:r>
            <w:r>
              <w:t>high/medium vs coal</w:t>
            </w:r>
          </w:p>
        </w:tc>
      </w:tr>
      <w:tr w:rsidR="00FF5FB9" w14:paraId="0B8B3D42" w14:textId="77777777" w:rsidTr="00637EF3">
        <w:tc>
          <w:tcPr>
            <w:tcW w:w="828" w:type="dxa"/>
          </w:tcPr>
          <w:p w14:paraId="09E78877" w14:textId="77777777" w:rsidR="00FF5FB9" w:rsidRDefault="00FF5FB9" w:rsidP="009B38DB">
            <w:pPr>
              <w:pStyle w:val="cTableBody"/>
              <w:spacing w:before="0"/>
            </w:pPr>
            <w:r>
              <w:t>4</w:t>
            </w:r>
          </w:p>
        </w:tc>
        <w:tc>
          <w:tcPr>
            <w:tcW w:w="3672" w:type="dxa"/>
          </w:tcPr>
          <w:p w14:paraId="126AFECC" w14:textId="77777777" w:rsidR="00FF5FB9" w:rsidRDefault="00FF5FB9" w:rsidP="009B38DB">
            <w:pPr>
              <w:pStyle w:val="cTableBody"/>
              <w:spacing w:before="0"/>
            </w:pPr>
            <w:r>
              <w:t>Pulp and paper</w:t>
            </w:r>
          </w:p>
        </w:tc>
        <w:tc>
          <w:tcPr>
            <w:tcW w:w="3240" w:type="dxa"/>
          </w:tcPr>
          <w:p w14:paraId="2DBD891D" w14:textId="77777777" w:rsidR="00FF5FB9" w:rsidRDefault="00FF5FB9" w:rsidP="009B38DB">
            <w:pPr>
              <w:pStyle w:val="cTableBody"/>
              <w:spacing w:before="0"/>
            </w:pPr>
            <w:r>
              <w:t>PWR heat + heat pumps/MVR</w:t>
            </w:r>
          </w:p>
        </w:tc>
        <w:tc>
          <w:tcPr>
            <w:tcW w:w="2970" w:type="dxa"/>
          </w:tcPr>
          <w:p w14:paraId="5B41EF6E" w14:textId="77777777" w:rsidR="00FF5FB9" w:rsidRDefault="00FF5FB9" w:rsidP="009B38DB">
            <w:pPr>
              <w:pStyle w:val="cTableBody"/>
              <w:spacing w:before="0"/>
            </w:pPr>
            <w:r>
              <w:t>High</w:t>
            </w:r>
          </w:p>
        </w:tc>
      </w:tr>
      <w:tr w:rsidR="00FF5FB9" w14:paraId="19177408" w14:textId="77777777" w:rsidTr="00637EF3">
        <w:tc>
          <w:tcPr>
            <w:tcW w:w="828" w:type="dxa"/>
          </w:tcPr>
          <w:p w14:paraId="77B9CED6" w14:textId="77777777" w:rsidR="00FF5FB9" w:rsidRDefault="00FF5FB9" w:rsidP="009B38DB">
            <w:pPr>
              <w:pStyle w:val="cTableBody"/>
              <w:spacing w:before="0"/>
            </w:pPr>
            <w:r>
              <w:t>5</w:t>
            </w:r>
          </w:p>
        </w:tc>
        <w:tc>
          <w:tcPr>
            <w:tcW w:w="3672" w:type="dxa"/>
          </w:tcPr>
          <w:p w14:paraId="2E40DAFC" w14:textId="77777777" w:rsidR="00FF5FB9" w:rsidRDefault="00FF5FB9" w:rsidP="009B38DB">
            <w:pPr>
              <w:pStyle w:val="cTableBody"/>
              <w:spacing w:before="0"/>
            </w:pPr>
            <w:r>
              <w:t>Textile dyeing/washing/drying</w:t>
            </w:r>
          </w:p>
        </w:tc>
        <w:tc>
          <w:tcPr>
            <w:tcW w:w="3240" w:type="dxa"/>
          </w:tcPr>
          <w:p w14:paraId="091DB71D" w14:textId="77777777" w:rsidR="00FF5FB9" w:rsidRDefault="00FF5FB9" w:rsidP="009B38DB">
            <w:pPr>
              <w:pStyle w:val="cTableBody"/>
              <w:spacing w:before="0"/>
            </w:pPr>
            <w:r>
              <w:t>PWR heat + heat pumps</w:t>
            </w:r>
          </w:p>
        </w:tc>
        <w:tc>
          <w:tcPr>
            <w:tcW w:w="2970" w:type="dxa"/>
          </w:tcPr>
          <w:p w14:paraId="5406848A" w14:textId="77777777" w:rsidR="00FF5FB9" w:rsidRDefault="00FF5FB9" w:rsidP="009B38DB">
            <w:pPr>
              <w:pStyle w:val="cTableBody"/>
              <w:spacing w:before="0"/>
            </w:pPr>
            <w:r>
              <w:t>High</w:t>
            </w:r>
          </w:p>
        </w:tc>
      </w:tr>
      <w:tr w:rsidR="00FF5FB9" w14:paraId="590AE271" w14:textId="77777777" w:rsidTr="00637EF3">
        <w:tc>
          <w:tcPr>
            <w:tcW w:w="828" w:type="dxa"/>
          </w:tcPr>
          <w:p w14:paraId="33CB1ED7" w14:textId="77777777" w:rsidR="00FF5FB9" w:rsidRDefault="00FF5FB9" w:rsidP="009B38DB">
            <w:pPr>
              <w:pStyle w:val="cTableBody"/>
              <w:spacing w:before="0"/>
            </w:pPr>
            <w:r>
              <w:t>6</w:t>
            </w:r>
          </w:p>
        </w:tc>
        <w:tc>
          <w:tcPr>
            <w:tcW w:w="3672" w:type="dxa"/>
          </w:tcPr>
          <w:p w14:paraId="126ADFF8" w14:textId="77777777" w:rsidR="00FF5FB9" w:rsidRDefault="00FF5FB9" w:rsidP="009B38DB">
            <w:pPr>
              <w:pStyle w:val="cTableBody"/>
              <w:spacing w:before="0"/>
            </w:pPr>
            <w:r>
              <w:t>Alumina refining</w:t>
            </w:r>
          </w:p>
        </w:tc>
        <w:tc>
          <w:tcPr>
            <w:tcW w:w="3240" w:type="dxa"/>
          </w:tcPr>
          <w:p w14:paraId="291EF9F9" w14:textId="77777777" w:rsidR="00FF5FB9" w:rsidRDefault="00FF5FB9" w:rsidP="009B38DB">
            <w:pPr>
              <w:pStyle w:val="cTableBody"/>
              <w:spacing w:before="0"/>
            </w:pPr>
            <w:r>
              <w:t>PWR steam + MVR</w:t>
            </w:r>
          </w:p>
        </w:tc>
        <w:tc>
          <w:tcPr>
            <w:tcW w:w="2970" w:type="dxa"/>
          </w:tcPr>
          <w:p w14:paraId="246886DF" w14:textId="77777777" w:rsidR="00FF5FB9" w:rsidRDefault="00FF5FB9" w:rsidP="009B38DB">
            <w:pPr>
              <w:pStyle w:val="cTableBody"/>
              <w:spacing w:before="0"/>
            </w:pPr>
            <w:r>
              <w:t>High</w:t>
            </w:r>
          </w:p>
        </w:tc>
      </w:tr>
      <w:tr w:rsidR="00FF5FB9" w14:paraId="518A842F" w14:textId="77777777" w:rsidTr="00637EF3">
        <w:tc>
          <w:tcPr>
            <w:tcW w:w="828" w:type="dxa"/>
          </w:tcPr>
          <w:p w14:paraId="119DE331" w14:textId="77777777" w:rsidR="00FF5FB9" w:rsidRDefault="00FF5FB9" w:rsidP="009B38DB">
            <w:pPr>
              <w:pStyle w:val="cTableBody"/>
              <w:spacing w:before="0"/>
            </w:pPr>
            <w:r>
              <w:t>7</w:t>
            </w:r>
          </w:p>
        </w:tc>
        <w:tc>
          <w:tcPr>
            <w:tcW w:w="3672" w:type="dxa"/>
          </w:tcPr>
          <w:p w14:paraId="712195FB" w14:textId="77777777" w:rsidR="00FF5FB9" w:rsidRDefault="00FF5FB9" w:rsidP="009B38DB">
            <w:pPr>
              <w:pStyle w:val="cTableBody"/>
              <w:spacing w:before="0"/>
            </w:pPr>
            <w:r>
              <w:t>General industrial drying</w:t>
            </w:r>
          </w:p>
        </w:tc>
        <w:tc>
          <w:tcPr>
            <w:tcW w:w="3240" w:type="dxa"/>
          </w:tcPr>
          <w:p w14:paraId="3083AD74" w14:textId="77777777" w:rsidR="00FF5FB9" w:rsidRDefault="00FF5FB9" w:rsidP="009B38DB">
            <w:pPr>
              <w:pStyle w:val="cTableBody"/>
              <w:spacing w:before="0"/>
            </w:pPr>
            <w:r>
              <w:t>PWR/HTR depending temp</w:t>
            </w:r>
            <w:r w:rsidR="00637EF3">
              <w:t>.</w:t>
            </w:r>
          </w:p>
        </w:tc>
        <w:tc>
          <w:tcPr>
            <w:tcW w:w="2970" w:type="dxa"/>
          </w:tcPr>
          <w:p w14:paraId="46A20AF0" w14:textId="77777777" w:rsidR="00FF5FB9" w:rsidRDefault="00FF5FB9" w:rsidP="009B38DB">
            <w:pPr>
              <w:pStyle w:val="cTableBody"/>
              <w:spacing w:before="0"/>
            </w:pPr>
            <w:r>
              <w:t>High</w:t>
            </w:r>
          </w:p>
        </w:tc>
      </w:tr>
      <w:tr w:rsidR="00FF5FB9" w14:paraId="403D700F" w14:textId="77777777" w:rsidTr="00637EF3">
        <w:tc>
          <w:tcPr>
            <w:tcW w:w="828" w:type="dxa"/>
          </w:tcPr>
          <w:p w14:paraId="49FDE799" w14:textId="77777777" w:rsidR="00FF5FB9" w:rsidRDefault="00FF5FB9" w:rsidP="009B38DB">
            <w:pPr>
              <w:pStyle w:val="cTableBody"/>
              <w:spacing w:before="0"/>
            </w:pPr>
            <w:r>
              <w:t>8</w:t>
            </w:r>
          </w:p>
        </w:tc>
        <w:tc>
          <w:tcPr>
            <w:tcW w:w="3672" w:type="dxa"/>
          </w:tcPr>
          <w:p w14:paraId="2CAAC155" w14:textId="77777777" w:rsidR="00FF5FB9" w:rsidRDefault="00FF5FB9" w:rsidP="009B38DB">
            <w:pPr>
              <w:pStyle w:val="cTableBody"/>
              <w:spacing w:before="0"/>
            </w:pPr>
            <w:r>
              <w:t>300–500°C chemical/mineral heat</w:t>
            </w:r>
          </w:p>
        </w:tc>
        <w:tc>
          <w:tcPr>
            <w:tcW w:w="3240" w:type="dxa"/>
          </w:tcPr>
          <w:p w14:paraId="2DC7B12C" w14:textId="77777777" w:rsidR="00FF5FB9" w:rsidRDefault="00FF5FB9" w:rsidP="009B38DB">
            <w:pPr>
              <w:pStyle w:val="cTableBody"/>
              <w:spacing w:before="0"/>
            </w:pPr>
            <w:r>
              <w:t>HTR direct heat</w:t>
            </w:r>
          </w:p>
        </w:tc>
        <w:tc>
          <w:tcPr>
            <w:tcW w:w="2970" w:type="dxa"/>
          </w:tcPr>
          <w:p w14:paraId="60E4AFE9" w14:textId="77777777" w:rsidR="00FF5FB9" w:rsidRDefault="00FF5FB9" w:rsidP="009B38DB">
            <w:pPr>
              <w:pStyle w:val="cTableBody"/>
              <w:spacing w:before="0"/>
            </w:pPr>
            <w:r>
              <w:t>High vs gas; conditional vs coal</w:t>
            </w:r>
          </w:p>
        </w:tc>
      </w:tr>
      <w:tr w:rsidR="00FF5FB9" w14:paraId="17B2BC1E" w14:textId="77777777" w:rsidTr="00637EF3">
        <w:tc>
          <w:tcPr>
            <w:tcW w:w="828" w:type="dxa"/>
          </w:tcPr>
          <w:p w14:paraId="1000D74E" w14:textId="77777777" w:rsidR="00FF5FB9" w:rsidRDefault="00FF5FB9" w:rsidP="009B38DB">
            <w:pPr>
              <w:pStyle w:val="cTableBody"/>
              <w:spacing w:before="0"/>
            </w:pPr>
            <w:r>
              <w:t>9</w:t>
            </w:r>
          </w:p>
        </w:tc>
        <w:tc>
          <w:tcPr>
            <w:tcW w:w="3672" w:type="dxa"/>
          </w:tcPr>
          <w:p w14:paraId="0B507560" w14:textId="77777777" w:rsidR="00FF5FB9" w:rsidRDefault="00FF5FB9" w:rsidP="009B38DB">
            <w:pPr>
              <w:pStyle w:val="cTableBody"/>
              <w:spacing w:before="0"/>
            </w:pPr>
            <w:r>
              <w:t>Metal reheating/heat treatment</w:t>
            </w:r>
          </w:p>
        </w:tc>
        <w:tc>
          <w:tcPr>
            <w:tcW w:w="3240" w:type="dxa"/>
          </w:tcPr>
          <w:p w14:paraId="28B39388" w14:textId="77777777" w:rsidR="00FF5FB9" w:rsidRDefault="00FF5FB9" w:rsidP="009B38DB">
            <w:pPr>
              <w:pStyle w:val="cTableBody"/>
              <w:spacing w:before="0"/>
            </w:pPr>
            <w:r>
              <w:t>HTR preheat + PWR elect</w:t>
            </w:r>
            <w:r w:rsidR="00637EF3">
              <w:t>.</w:t>
            </w:r>
            <w:r>
              <w:t xml:space="preserve"> topping</w:t>
            </w:r>
          </w:p>
        </w:tc>
        <w:tc>
          <w:tcPr>
            <w:tcW w:w="2970" w:type="dxa"/>
          </w:tcPr>
          <w:p w14:paraId="0C2F8FF7" w14:textId="77777777" w:rsidR="00FF5FB9" w:rsidRDefault="00FF5FB9" w:rsidP="009B38DB">
            <w:pPr>
              <w:pStyle w:val="cTableBody"/>
              <w:spacing w:before="0"/>
            </w:pPr>
            <w:r>
              <w:t>Potentially high vs gas/oil</w:t>
            </w:r>
          </w:p>
        </w:tc>
      </w:tr>
      <w:tr w:rsidR="00FF5FB9" w14:paraId="3F40EAB6" w14:textId="77777777" w:rsidTr="00637EF3">
        <w:tc>
          <w:tcPr>
            <w:tcW w:w="828" w:type="dxa"/>
          </w:tcPr>
          <w:p w14:paraId="3EE78604" w14:textId="77777777" w:rsidR="00FF5FB9" w:rsidRDefault="00FF5FB9" w:rsidP="009B38DB">
            <w:pPr>
              <w:pStyle w:val="cTableBody"/>
              <w:spacing w:before="0"/>
            </w:pPr>
            <w:r>
              <w:t>10</w:t>
            </w:r>
          </w:p>
        </w:tc>
        <w:tc>
          <w:tcPr>
            <w:tcW w:w="3672" w:type="dxa"/>
          </w:tcPr>
          <w:p w14:paraId="530D2D5B" w14:textId="77777777" w:rsidR="00FF5FB9" w:rsidRDefault="00FF5FB9" w:rsidP="009B38DB">
            <w:pPr>
              <w:pStyle w:val="cTableBody"/>
              <w:spacing w:before="0"/>
            </w:pPr>
            <w:r>
              <w:t>Glass/ceramics/mineral furnaces</w:t>
            </w:r>
          </w:p>
        </w:tc>
        <w:tc>
          <w:tcPr>
            <w:tcW w:w="3240" w:type="dxa"/>
          </w:tcPr>
          <w:p w14:paraId="3B91D719" w14:textId="77777777" w:rsidR="00FF5FB9" w:rsidRDefault="00FF5FB9" w:rsidP="009B38DB">
            <w:pPr>
              <w:pStyle w:val="cTableBody"/>
              <w:spacing w:before="0"/>
            </w:pPr>
            <w:r>
              <w:t>HTR preheat + electric furnace</w:t>
            </w:r>
          </w:p>
        </w:tc>
        <w:tc>
          <w:tcPr>
            <w:tcW w:w="2970" w:type="dxa"/>
          </w:tcPr>
          <w:p w14:paraId="64F5A828" w14:textId="77777777" w:rsidR="00FF5FB9" w:rsidRDefault="00FF5FB9" w:rsidP="009B38DB">
            <w:pPr>
              <w:pStyle w:val="cTableBody"/>
              <w:spacing w:before="0"/>
            </w:pPr>
            <w:r>
              <w:t>Promising vs gas; uncertain vs coal</w:t>
            </w:r>
          </w:p>
        </w:tc>
      </w:tr>
    </w:tbl>
    <w:p w14:paraId="38791C56" w14:textId="77777777" w:rsidR="00FF5FB9" w:rsidRDefault="00FF5FB9" w:rsidP="00FF5FB9">
      <w:pPr>
        <w:pStyle w:val="cSubject"/>
      </w:pPr>
      <w:r>
        <w:t>The broader architecture I would pursue</w:t>
      </w:r>
    </w:p>
    <w:p w14:paraId="1940EF61"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This leads me to a somewhat different vision of the nuclear industrial site.</w:t>
      </w:r>
    </w:p>
    <w:p w14:paraId="6B2C116F"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Don't think primarily:</w:t>
      </w:r>
    </w:p>
    <w:p w14:paraId="14A5CE2E" w14:textId="77777777" w:rsidR="00FF5FB9" w:rsidRDefault="00FF5FB9" w:rsidP="006953E2">
      <w:pPr>
        <w:pStyle w:val="bblueindent"/>
      </w:pPr>
      <w:r>
        <w:t>reactor → electricity → factory.</w:t>
      </w:r>
    </w:p>
    <w:p w14:paraId="37E3821E"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Think:</w:t>
      </w:r>
    </w:p>
    <w:p w14:paraId="2E0396B6" w14:textId="77777777" w:rsidR="00FF5FB9" w:rsidRDefault="00FF5FB9" w:rsidP="006953E2">
      <w:pPr>
        <w:spacing w:before="80" w:beforeAutospacing="0" w:after="80" w:afterAutospacing="0"/>
        <w:ind w:left="36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HTR-PM 500°C heat</w:t>
      </w:r>
      <w:r>
        <w:rPr>
          <w:rFonts w:ascii="Courier New" w:eastAsia="Times New Roman" w:hAnsi="Courier New" w:cs="Courier New"/>
          <w:color w:val="4F81BD" w:themeColor="accent1"/>
          <w:sz w:val="22"/>
        </w:rPr>
        <w:br/>
      </w:r>
      <w:r>
        <w:rPr>
          <w:rFonts w:ascii="Courier New" w:eastAsia="Times New Roman" w:hAnsi="Courier New" w:cs="Courier New"/>
          <w:color w:val="9BBB59" w:themeColor="accent3"/>
          <w:sz w:val="22"/>
        </w:rPr>
        <w:tab/>
        <w:t>↓</w:t>
      </w:r>
      <w:r>
        <w:rPr>
          <w:rFonts w:ascii="Courier New" w:eastAsia="Times New Roman" w:hAnsi="Courier New" w:cs="Courier New"/>
          <w:color w:val="9BBB59" w:themeColor="accent3"/>
          <w:sz w:val="22"/>
        </w:rPr>
        <w:br/>
      </w:r>
      <w:r>
        <w:rPr>
          <w:rFonts w:ascii="Courier New" w:eastAsia="Times New Roman" w:hAnsi="Courier New" w:cs="Courier New"/>
          <w:color w:val="4F81BD" w:themeColor="accent1"/>
          <w:sz w:val="22"/>
        </w:rPr>
        <w:t>300–500°C process platforms</w:t>
      </w:r>
      <w:r>
        <w:rPr>
          <w:rFonts w:ascii="Courier New" w:eastAsia="Times New Roman" w:hAnsi="Courier New" w:cs="Courier New"/>
          <w:color w:val="4F81BD" w:themeColor="accent1"/>
          <w:sz w:val="22"/>
        </w:rPr>
        <w:br/>
      </w:r>
      <w:r>
        <w:rPr>
          <w:rFonts w:ascii="Courier New" w:eastAsia="Times New Roman" w:hAnsi="Courier New" w:cs="Courier New"/>
          <w:color w:val="9BBB59" w:themeColor="accent3"/>
          <w:sz w:val="22"/>
        </w:rPr>
        <w:tab/>
        <w:t>↓ recovered heat</w:t>
      </w:r>
      <w:r>
        <w:rPr>
          <w:rFonts w:ascii="Courier New" w:eastAsia="Times New Roman" w:hAnsi="Courier New" w:cs="Courier New"/>
          <w:color w:val="9BBB59" w:themeColor="accent3"/>
          <w:sz w:val="22"/>
        </w:rPr>
        <w:br/>
      </w:r>
      <w:r>
        <w:rPr>
          <w:rFonts w:ascii="Courier New" w:eastAsia="Times New Roman" w:hAnsi="Courier New" w:cs="Courier New"/>
          <w:color w:val="4F81BD" w:themeColor="accent1"/>
          <w:sz w:val="22"/>
        </w:rPr>
        <w:t>PWR/HTR steam at 150–300°C</w:t>
      </w:r>
      <w:r>
        <w:rPr>
          <w:rFonts w:ascii="Courier New" w:eastAsia="Times New Roman" w:hAnsi="Courier New" w:cs="Courier New"/>
          <w:color w:val="4F81BD" w:themeColor="accent1"/>
          <w:sz w:val="22"/>
        </w:rPr>
        <w:br/>
      </w:r>
      <w:r>
        <w:rPr>
          <w:rFonts w:ascii="Courier New" w:eastAsia="Times New Roman" w:hAnsi="Courier New" w:cs="Courier New"/>
          <w:color w:val="9BBB59" w:themeColor="accent3"/>
          <w:sz w:val="22"/>
        </w:rPr>
        <w:tab/>
        <w:t>↓</w:t>
      </w:r>
      <w:r>
        <w:rPr>
          <w:rFonts w:ascii="Courier New" w:eastAsia="Times New Roman" w:hAnsi="Courier New" w:cs="Courier New"/>
          <w:color w:val="9BBB59" w:themeColor="accent3"/>
          <w:sz w:val="22"/>
        </w:rPr>
        <w:br/>
      </w:r>
      <w:r>
        <w:rPr>
          <w:rFonts w:ascii="Courier New" w:eastAsia="Times New Roman" w:hAnsi="Courier New" w:cs="Courier New"/>
          <w:color w:val="4F81BD" w:themeColor="accent1"/>
          <w:sz w:val="22"/>
        </w:rPr>
        <w:t>distillation / digestion / drying / evaporation</w:t>
      </w:r>
      <w:r>
        <w:rPr>
          <w:rFonts w:ascii="Courier New" w:eastAsia="Times New Roman" w:hAnsi="Courier New" w:cs="Courier New"/>
          <w:color w:val="4F81BD" w:themeColor="accent1"/>
          <w:sz w:val="22"/>
        </w:rPr>
        <w:br/>
      </w:r>
      <w:r>
        <w:rPr>
          <w:rFonts w:ascii="Courier New" w:eastAsia="Times New Roman" w:hAnsi="Courier New" w:cs="Courier New"/>
          <w:color w:val="9BBB59" w:themeColor="accent3"/>
          <w:sz w:val="22"/>
        </w:rPr>
        <w:tab/>
        <w:t>↓ recovered 80–150°C heat</w:t>
      </w:r>
      <w:r>
        <w:rPr>
          <w:rFonts w:ascii="Courier New" w:eastAsia="Times New Roman" w:hAnsi="Courier New" w:cs="Courier New"/>
          <w:color w:val="9BBB59" w:themeColor="accent3"/>
          <w:sz w:val="22"/>
        </w:rPr>
        <w:br/>
      </w:r>
      <w:r>
        <w:rPr>
          <w:rFonts w:ascii="Courier New" w:eastAsia="Times New Roman" w:hAnsi="Courier New" w:cs="Courier New"/>
          <w:color w:val="4F81BD" w:themeColor="accent1"/>
          <w:sz w:val="22"/>
        </w:rPr>
        <w:t>industrial heat pump / MVR</w:t>
      </w:r>
      <w:r>
        <w:rPr>
          <w:rFonts w:ascii="Courier New" w:eastAsia="Times New Roman" w:hAnsi="Courier New" w:cs="Courier New"/>
          <w:color w:val="4F81BD" w:themeColor="accent1"/>
          <w:sz w:val="22"/>
        </w:rPr>
        <w:br/>
      </w:r>
      <w:r>
        <w:rPr>
          <w:rFonts w:ascii="Courier New" w:eastAsia="Times New Roman" w:hAnsi="Courier New" w:cs="Courier New"/>
          <w:color w:val="9BBB59" w:themeColor="accent3"/>
          <w:sz w:val="22"/>
        </w:rPr>
        <w:tab/>
        <w:t>↓</w:t>
      </w:r>
      <w:r>
        <w:rPr>
          <w:rFonts w:ascii="Courier New" w:eastAsia="Times New Roman" w:hAnsi="Courier New" w:cs="Courier New"/>
          <w:color w:val="9BBB59" w:themeColor="accent3"/>
          <w:sz w:val="22"/>
        </w:rPr>
        <w:br/>
      </w:r>
      <w:r>
        <w:rPr>
          <w:rFonts w:ascii="Courier New" w:eastAsia="Times New Roman" w:hAnsi="Courier New" w:cs="Courier New"/>
          <w:color w:val="4F81BD" w:themeColor="accent1"/>
          <w:sz w:val="22"/>
        </w:rPr>
        <w:t>hot water and lowest-temperature loads</w:t>
      </w:r>
    </w:p>
    <w:p w14:paraId="5AB9877A"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with nuclear electricity used only where necessary to </w:t>
      </w:r>
      <w:r>
        <w:rPr>
          <w:rFonts w:eastAsia="Times New Roman" w:cstheme="majorHAnsi"/>
          <w:b/>
          <w:bCs/>
          <w:szCs w:val="24"/>
        </w:rPr>
        <w:t>pump heat uphill or provide the final high-temperature increment</w:t>
      </w:r>
      <w:r>
        <w:rPr>
          <w:rFonts w:eastAsia="Times New Roman" w:cstheme="majorHAnsi"/>
          <w:szCs w:val="24"/>
        </w:rPr>
        <w:t>.</w:t>
      </w:r>
    </w:p>
    <w:p w14:paraId="1A8F387A"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lastRenderedPageBreak/>
        <w:t xml:space="preserve">That cascading arrangement extracts useful work from the same thermal energy several times before rejecting it. It is particularly compatible with your factory-platform concept, whose proposed open interface explicitly covers nuclear heat, electricity, water and interchangeable industrial modules. </w:t>
      </w:r>
    </w:p>
    <w:p w14:paraId="03765C0B" w14:textId="77777777" w:rsidR="00FF5FB9" w:rsidRDefault="00FF5FB9" w:rsidP="00FF5FB9">
      <w:pPr>
        <w:spacing w:before="280" w:after="280"/>
        <w:rPr>
          <w:rFonts w:asciiTheme="majorHAnsi" w:eastAsia="Times New Roman" w:hAnsiTheme="majorHAnsi" w:cstheme="majorHAnsi"/>
          <w:szCs w:val="24"/>
        </w:rPr>
      </w:pPr>
      <w:r>
        <w:rPr>
          <w:rFonts w:eastAsia="Times New Roman" w:cstheme="majorHAnsi"/>
          <w:szCs w:val="24"/>
        </w:rPr>
        <w:t xml:space="preserve">I think </w:t>
      </w:r>
      <w:r>
        <w:rPr>
          <w:rFonts w:eastAsia="Times New Roman" w:cstheme="majorHAnsi"/>
          <w:b/>
          <w:bCs/>
          <w:szCs w:val="24"/>
        </w:rPr>
        <w:t>this process-heat market may ultimately be economically more compelling than ammonia</w:t>
      </w:r>
      <w:r>
        <w:rPr>
          <w:rFonts w:eastAsia="Times New Roman" w:cstheme="majorHAnsi"/>
          <w:szCs w:val="24"/>
        </w:rPr>
        <w:t xml:space="preserve">. Ammonia requires converting nuclear energy into hydrogen, then nitrogen/ammonia synthesis, compression and refrigeration. By contrast, when an industrial plant simply needs 180°C steam, a PWR can potentially replace a coal/gas boiler almost directly—and when the process is suitable for a heat pump, </w:t>
      </w:r>
      <w:r>
        <w:rPr>
          <w:rFonts w:eastAsia="Times New Roman" w:cstheme="majorHAnsi"/>
          <w:b/>
          <w:bCs/>
          <w:szCs w:val="24"/>
        </w:rPr>
        <w:t>$31/MWh nuclear electricity can effectively become roughly $8–10/MWh of useful process heat before heat-pump capital costs</w:t>
      </w:r>
      <w:r>
        <w:rPr>
          <w:rFonts w:eastAsia="Times New Roman" w:cstheme="majorHAnsi"/>
          <w:szCs w:val="24"/>
        </w:rPr>
        <w:t>. That is a very difficult number for fossil combustion to compete with.</w:t>
      </w:r>
    </w:p>
    <w:p w14:paraId="6EB5BC8E" w14:textId="77777777" w:rsidR="009C3A0E" w:rsidRDefault="00011E10">
      <w:pPr>
        <w:pStyle w:val="Heading1"/>
        <w:spacing w:before="280" w:after="280"/>
        <w:rPr>
          <w:rFonts w:cstheme="majorHAnsi"/>
        </w:rPr>
      </w:pPr>
      <w:bookmarkStart w:id="29" w:name="_Toc237471106"/>
      <w:bookmarkStart w:id="30" w:name="_Toc238129761"/>
      <w:bookmarkStart w:id="31" w:name="_Toc238205548"/>
      <w:r>
        <w:lastRenderedPageBreak/>
        <w:t>31 Nuclear-Integrated Processing Platforms</w:t>
      </w:r>
      <w:bookmarkEnd w:id="29"/>
      <w:bookmarkEnd w:id="30"/>
      <w:bookmarkEnd w:id="31"/>
    </w:p>
    <w:p w14:paraId="4D0F7405" w14:textId="77777777" w:rsidR="009C3A0E" w:rsidRDefault="00994197">
      <w:pPr>
        <w:pStyle w:val="cUserPromptText"/>
        <w:spacing w:before="280" w:after="280"/>
        <w:rPr>
          <w:rFonts w:asciiTheme="majorHAnsi" w:hAnsiTheme="majorHAnsi" w:cstheme="majorHAnsi"/>
        </w:rPr>
      </w:pPr>
      <w:r>
        <w:rPr>
          <w:b/>
        </w:rPr>
        <w:t xml:space="preserve">Prompt to AI: </w:t>
      </w:r>
      <w:r w:rsidR="00011E10" w:rsidRPr="00EB089A">
        <w:rPr>
          <w:rFonts w:asciiTheme="majorHAnsi" w:hAnsiTheme="majorHAnsi" w:cstheme="majorHAnsi"/>
        </w:rPr>
        <w:t>If</w:t>
      </w:r>
      <w:r w:rsidR="00011E10">
        <w:rPr>
          <w:rFonts w:asciiTheme="majorHAnsi" w:hAnsiTheme="majorHAnsi" w:cstheme="majorHAnsi"/>
        </w:rPr>
        <w:t xml:space="preserve"> ≥ 3</w:t>
      </w:r>
      <w:r w:rsidR="00011E10" w:rsidRPr="00CC7965">
        <w:rPr>
          <w:rFonts w:asciiTheme="majorHAnsi" w:hAnsiTheme="majorHAnsi" w:cstheme="majorHAnsi"/>
        </w:rPr>
        <w:t>0 different chemical processing platforms were available, and you wanted to maximize CO</w:t>
      </w:r>
      <w:r w:rsidR="00011E10" w:rsidRPr="00CC7965">
        <w:rPr>
          <w:rFonts w:asciiTheme="majorHAnsi" w:hAnsiTheme="majorHAnsi" w:cstheme="majorHAnsi"/>
          <w:vertAlign w:val="subscript"/>
        </w:rPr>
        <w:t>2</w:t>
      </w:r>
      <w:r w:rsidR="00011E10" w:rsidRPr="00CC7965">
        <w:rPr>
          <w:rFonts w:asciiTheme="majorHAnsi" w:hAnsiTheme="majorHAnsi" w:cstheme="majorHAnsi"/>
        </w:rPr>
        <w:t xml:space="preserve"> emissions reduction ("decarbonization"), what platforms would you recommend be developed? Assume each platform is 12 meters wide by 96 meters long. Include support for Direct Air Capture (DAC) and ammonia production.</w:t>
      </w:r>
    </w:p>
    <w:p w14:paraId="64E2B4F6" w14:textId="77777777" w:rsidR="009C3A0E" w:rsidRDefault="00994197">
      <w:pPr>
        <w:spacing w:before="280" w:after="280"/>
      </w:pPr>
      <w:r>
        <w:rPr>
          <w:b/>
          <w:color w:val="4F81BD"/>
          <w:u w:val="single"/>
        </w:rPr>
        <w:t>Response From AI:</w:t>
      </w:r>
    </w:p>
    <w:p w14:paraId="684536B4" w14:textId="77777777" w:rsidR="009C3A0E" w:rsidRDefault="00994197">
      <w:pPr>
        <w:spacing w:before="280" w:after="280"/>
        <w:rPr>
          <w:rFonts w:asciiTheme="majorHAnsi" w:eastAsia="Times New Roman" w:hAnsiTheme="majorHAnsi" w:cstheme="majorHAnsi"/>
          <w:szCs w:val="24"/>
        </w:rPr>
      </w:pPr>
      <w:r>
        <w:t xml:space="preserve">The result is a </w:t>
      </w:r>
      <w:r>
        <w:rPr>
          <w:b/>
        </w:rPr>
        <w:t>31-platform portfolio</w:t>
      </w:r>
      <w:r>
        <w:t xml:space="preserve">. Rows 1–25 focus on replacing fossil fuel burned for industrial heat. Rows 26–27 </w:t>
      </w:r>
      <w:r w:rsidR="00011E10">
        <w:t>support</w:t>
      </w:r>
      <w:r>
        <w:t xml:space="preserve"> a modular DAC train, and Rows 28–31 </w:t>
      </w:r>
      <w:r w:rsidR="00011E10">
        <w:t>support the</w:t>
      </w:r>
      <w:r>
        <w:t xml:space="preserve"> hydrogen/nitrogen/ammonia chain. </w:t>
      </w:r>
    </w:p>
    <w:p w14:paraId="4250827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would also design the 31 as </w:t>
      </w:r>
      <w:r>
        <w:rPr>
          <w:rFonts w:eastAsia="Times New Roman" w:cstheme="majorHAnsi"/>
          <w:b/>
          <w:bCs/>
          <w:szCs w:val="24"/>
        </w:rPr>
        <w:t>repeatable unit-operation platforms</w:t>
      </w:r>
      <w:r>
        <w:rPr>
          <w:rFonts w:eastAsia="Times New Roman" w:cstheme="majorHAnsi"/>
          <w:szCs w:val="24"/>
        </w:rPr>
        <w:t>, not 31 complete factories. That is more powerful: the same 12 m × 96 m distillation or heat-pump platform could be replicated in many different chemical plants.</w:t>
      </w:r>
    </w:p>
    <w:p w14:paraId="25A9D85D" w14:textId="77777777" w:rsidR="009C3A0E" w:rsidRDefault="00994197">
      <w:pPr>
        <w:spacing w:before="280" w:after="280"/>
        <w:rPr>
          <w:rFonts w:asciiTheme="majorHAnsi" w:eastAsia="Times New Roman" w:hAnsiTheme="majorHAnsi" w:cstheme="majorHAnsi"/>
          <w:szCs w:val="24"/>
        </w:rPr>
      </w:pPr>
      <w:r>
        <w:t>Your current economic assumptions strongly favor this strategy. the current companion site-construction proposal uses about $10/MWh-heat for Automated China PWR, $15/MWh-heat for Automated HTR-PM, $31/MWh-electric for PWR, and $37/MWh-electric for HTR-PM. It also distinguishes PWR heat below roughly 300°C from HTR-PM's much more valuable ~500°C-class process heat. Your industrial-platform proposal is explicitly intended to make such equipment repeatedly in factories, transport it to the site, and connect it</w:t>
      </w:r>
      <w:r>
        <w:t xml:space="preserve"> through standardized isolated nuclear/industrial interfaces. </w:t>
      </w:r>
    </w:p>
    <w:p w14:paraId="7FDE260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opportunity is enormous. IEA estimates that industries dominated by low-temperature heat and steam represent roughly </w:t>
      </w:r>
      <w:r>
        <w:rPr>
          <w:rFonts w:eastAsia="Times New Roman" w:cstheme="majorHAnsi"/>
          <w:b/>
          <w:bCs/>
          <w:szCs w:val="24"/>
        </w:rPr>
        <w:t>70% of global industrial energy consumption</w:t>
      </w:r>
      <w:r>
        <w:rPr>
          <w:rFonts w:eastAsia="Times New Roman" w:cstheme="majorHAnsi"/>
          <w:szCs w:val="24"/>
        </w:rPr>
        <w:t xml:space="preserve"> and produced nearly </w:t>
      </w:r>
      <w:r>
        <w:rPr>
          <w:rFonts w:eastAsia="Times New Roman" w:cstheme="majorHAnsi"/>
          <w:b/>
          <w:bCs/>
          <w:szCs w:val="24"/>
        </w:rPr>
        <w:t>3 Gt/year of direct energy-related CO₂ in 2023</w:t>
      </w:r>
      <w:r>
        <w:rPr>
          <w:rFonts w:eastAsia="Times New Roman" w:cstheme="majorHAnsi"/>
          <w:szCs w:val="24"/>
        </w:rPr>
        <w:t xml:space="preserve">. </w:t>
      </w:r>
    </w:p>
    <w:p w14:paraId="08669864" w14:textId="77777777" w:rsidR="009C3A0E" w:rsidRDefault="00994197">
      <w:pPr>
        <w:pStyle w:val="Heading2"/>
        <w:spacing w:before="280"/>
      </w:pPr>
      <w:r>
        <w:t>My recommended 31-platform portfolio</w:t>
      </w:r>
    </w:p>
    <w:p w14:paraId="62F0FBE2" w14:textId="77777777" w:rsidR="009C3A0E" w:rsidRDefault="00994197">
      <w:pPr>
        <w:rPr>
          <w:rFonts w:asciiTheme="majorHAnsi" w:eastAsia="Times New Roman" w:hAnsiTheme="majorHAnsi" w:cstheme="majorHAnsi"/>
          <w:szCs w:val="24"/>
        </w:rPr>
      </w:pPr>
      <w:r>
        <w:rPr>
          <w:rFonts w:eastAsia="Times New Roman" w:cstheme="majorHAnsi"/>
          <w:szCs w:val="24"/>
        </w:rPr>
        <w:t>I would rank them approximately as follows. "PWR+HP" means PWR electricity powering an industrial heat pump (HP) or mechanical-vapor-recompression system.</w:t>
      </w:r>
    </w:p>
    <w:tbl>
      <w:tblPr>
        <w:tblStyle w:val="gswTableStyle"/>
        <w:tblW w:w="10358" w:type="dxa"/>
        <w:tblLayout w:type="fixed"/>
        <w:tblLook w:val="04A0" w:firstRow="1" w:lastRow="0" w:firstColumn="1" w:lastColumn="0" w:noHBand="0" w:noVBand="1"/>
      </w:tblPr>
      <w:tblGrid>
        <w:gridCol w:w="723"/>
        <w:gridCol w:w="3031"/>
        <w:gridCol w:w="1113"/>
        <w:gridCol w:w="1599"/>
        <w:gridCol w:w="2016"/>
        <w:gridCol w:w="1876"/>
      </w:tblGrid>
      <w:tr w:rsidR="009C3A0E" w14:paraId="48AA8A70" w14:textId="77777777" w:rsidTr="009C3A0E">
        <w:trPr>
          <w:cnfStyle w:val="100000000000" w:firstRow="1" w:lastRow="0" w:firstColumn="0" w:lastColumn="0" w:oddVBand="0" w:evenVBand="0" w:oddHBand="0" w:evenHBand="0" w:firstRowFirstColumn="0" w:firstRowLastColumn="0" w:lastRowFirstColumn="0" w:lastRowLastColumn="0"/>
          <w:cantSplit/>
          <w:tblHeader/>
        </w:trPr>
        <w:tc>
          <w:tcPr>
            <w:tcW w:w="722" w:type="dxa"/>
          </w:tcPr>
          <w:p w14:paraId="51FBF8D9" w14:textId="77777777" w:rsidR="009C3A0E" w:rsidRDefault="009561AD">
            <w:pPr>
              <w:pStyle w:val="cTableHeader"/>
              <w:spacing w:before="0" w:after="0"/>
            </w:pPr>
            <w:r>
              <w:rPr>
                <w:sz w:val="20"/>
                <w:szCs w:val="20"/>
              </w:rPr>
              <w:t>Plat-form</w:t>
            </w:r>
          </w:p>
        </w:tc>
        <w:tc>
          <w:tcPr>
            <w:tcW w:w="3031" w:type="dxa"/>
          </w:tcPr>
          <w:p w14:paraId="4A867E50" w14:textId="77777777" w:rsidR="009C3A0E" w:rsidRDefault="00994197">
            <w:pPr>
              <w:pStyle w:val="cTableHeader"/>
              <w:spacing w:before="0" w:after="0"/>
            </w:pPr>
            <w:r>
              <w:t>Standardized platform family</w:t>
            </w:r>
          </w:p>
        </w:tc>
        <w:tc>
          <w:tcPr>
            <w:tcW w:w="1113" w:type="dxa"/>
          </w:tcPr>
          <w:p w14:paraId="24A8A8F8" w14:textId="77777777" w:rsidR="009C3A0E" w:rsidRDefault="00994197">
            <w:pPr>
              <w:pStyle w:val="cTableHeader"/>
              <w:spacing w:before="0" w:after="0"/>
            </w:pPr>
            <w:r>
              <w:t>Typical heat range</w:t>
            </w:r>
          </w:p>
        </w:tc>
        <w:tc>
          <w:tcPr>
            <w:tcW w:w="1599" w:type="dxa"/>
          </w:tcPr>
          <w:p w14:paraId="7566E6C4" w14:textId="77777777" w:rsidR="009C3A0E" w:rsidRDefault="00994197">
            <w:pPr>
              <w:pStyle w:val="cTableHeader"/>
              <w:spacing w:before="0" w:after="0"/>
            </w:pPr>
            <w:r>
              <w:t>Preferred nuclear route</w:t>
            </w:r>
          </w:p>
        </w:tc>
        <w:tc>
          <w:tcPr>
            <w:tcW w:w="2016" w:type="dxa"/>
          </w:tcPr>
          <w:p w14:paraId="07AFE1A5" w14:textId="77777777" w:rsidR="009C3A0E" w:rsidRDefault="00994197">
            <w:pPr>
              <w:pStyle w:val="cTableHeader"/>
              <w:spacing w:before="0" w:after="0"/>
            </w:pPr>
            <w:r>
              <w:t>Major fossil-fired processes displaced</w:t>
            </w:r>
          </w:p>
        </w:tc>
        <w:tc>
          <w:tcPr>
            <w:tcW w:w="1876" w:type="dxa"/>
          </w:tcPr>
          <w:p w14:paraId="017034E9" w14:textId="77777777" w:rsidR="009C3A0E" w:rsidRDefault="00994197">
            <w:pPr>
              <w:pStyle w:val="cTableHeader"/>
              <w:spacing w:before="0" w:after="0"/>
            </w:pPr>
            <w:r>
              <w:t>Decarbonization priority</w:t>
            </w:r>
          </w:p>
        </w:tc>
      </w:tr>
      <w:tr w:rsidR="009C3A0E" w14:paraId="457E6219" w14:textId="77777777" w:rsidTr="009C3A0E">
        <w:trPr>
          <w:cantSplit/>
        </w:trPr>
        <w:tc>
          <w:tcPr>
            <w:tcW w:w="722" w:type="dxa"/>
          </w:tcPr>
          <w:p w14:paraId="518DC294" w14:textId="77777777" w:rsidR="009C3A0E" w:rsidRDefault="00994197">
            <w:pPr>
              <w:pStyle w:val="cTableBody"/>
              <w:spacing w:before="0"/>
            </w:pPr>
            <w:r>
              <w:t>1</w:t>
            </w:r>
          </w:p>
        </w:tc>
        <w:tc>
          <w:tcPr>
            <w:tcW w:w="3031" w:type="dxa"/>
          </w:tcPr>
          <w:p w14:paraId="466E8F8B" w14:textId="77777777" w:rsidR="009C3A0E" w:rsidRDefault="00994197">
            <w:pPr>
              <w:pStyle w:val="cTableBody"/>
              <w:spacing w:before="0"/>
            </w:pPr>
            <w:r>
              <w:t>Industrial heat-pump steam generator</w:t>
            </w:r>
          </w:p>
        </w:tc>
        <w:tc>
          <w:tcPr>
            <w:tcW w:w="1113" w:type="dxa"/>
          </w:tcPr>
          <w:p w14:paraId="1A8590EE" w14:textId="77777777" w:rsidR="009C3A0E" w:rsidRDefault="00994197">
            <w:pPr>
              <w:pStyle w:val="cTableBody"/>
              <w:spacing w:before="0"/>
            </w:pPr>
            <w:r>
              <w:t>80–160°C</w:t>
            </w:r>
          </w:p>
        </w:tc>
        <w:tc>
          <w:tcPr>
            <w:tcW w:w="1599" w:type="dxa"/>
          </w:tcPr>
          <w:p w14:paraId="1115AE3D" w14:textId="77777777" w:rsidR="009C3A0E" w:rsidRDefault="00994197">
            <w:pPr>
              <w:pStyle w:val="cTableBody"/>
              <w:spacing w:before="0"/>
            </w:pPr>
            <w:r>
              <w:t>PWR+HP</w:t>
            </w:r>
          </w:p>
        </w:tc>
        <w:tc>
          <w:tcPr>
            <w:tcW w:w="2016" w:type="dxa"/>
          </w:tcPr>
          <w:p w14:paraId="07CA2159" w14:textId="77777777" w:rsidR="009C3A0E" w:rsidRDefault="00994197">
            <w:pPr>
              <w:pStyle w:val="cTableBody"/>
              <w:spacing w:before="0"/>
            </w:pPr>
            <w:r>
              <w:t>Coal/gas steam boilers across many industries</w:t>
            </w:r>
          </w:p>
        </w:tc>
        <w:tc>
          <w:tcPr>
            <w:tcW w:w="1876" w:type="dxa"/>
          </w:tcPr>
          <w:p w14:paraId="706DF5DF" w14:textId="77777777" w:rsidR="009C3A0E" w:rsidRDefault="00994197">
            <w:pPr>
              <w:pStyle w:val="cTableBody"/>
              <w:spacing w:before="0"/>
            </w:pPr>
            <w:r>
              <w:t>Extremely high</w:t>
            </w:r>
          </w:p>
        </w:tc>
      </w:tr>
      <w:tr w:rsidR="009C3A0E" w14:paraId="65EFD64C" w14:textId="77777777" w:rsidTr="009C3A0E">
        <w:trPr>
          <w:cantSplit/>
        </w:trPr>
        <w:tc>
          <w:tcPr>
            <w:tcW w:w="722" w:type="dxa"/>
          </w:tcPr>
          <w:p w14:paraId="1C863D1D" w14:textId="77777777" w:rsidR="009C3A0E" w:rsidRDefault="00994197">
            <w:pPr>
              <w:pStyle w:val="cTableBody"/>
              <w:spacing w:before="0"/>
            </w:pPr>
            <w:r>
              <w:lastRenderedPageBreak/>
              <w:t>2</w:t>
            </w:r>
          </w:p>
        </w:tc>
        <w:tc>
          <w:tcPr>
            <w:tcW w:w="3031" w:type="dxa"/>
          </w:tcPr>
          <w:p w14:paraId="64E347D1" w14:textId="77777777" w:rsidR="009C3A0E" w:rsidRDefault="00994197">
            <w:pPr>
              <w:pStyle w:val="cTableBody"/>
              <w:spacing w:before="0"/>
            </w:pPr>
            <w:r>
              <w:t>Mechanical vapor recompression (MVR) evaporator</w:t>
            </w:r>
          </w:p>
        </w:tc>
        <w:tc>
          <w:tcPr>
            <w:tcW w:w="1113" w:type="dxa"/>
          </w:tcPr>
          <w:p w14:paraId="7E47054C" w14:textId="77777777" w:rsidR="009C3A0E" w:rsidRDefault="00994197">
            <w:pPr>
              <w:pStyle w:val="cTableBody"/>
              <w:spacing w:before="0"/>
            </w:pPr>
            <w:r>
              <w:t>70–160°C</w:t>
            </w:r>
          </w:p>
        </w:tc>
        <w:tc>
          <w:tcPr>
            <w:tcW w:w="1599" w:type="dxa"/>
          </w:tcPr>
          <w:p w14:paraId="05A335CA" w14:textId="77777777" w:rsidR="009C3A0E" w:rsidRDefault="00994197">
            <w:pPr>
              <w:pStyle w:val="cTableBody"/>
              <w:spacing w:before="0"/>
            </w:pPr>
            <w:r>
              <w:t>PWR+MVR</w:t>
            </w:r>
          </w:p>
        </w:tc>
        <w:tc>
          <w:tcPr>
            <w:tcW w:w="2016" w:type="dxa"/>
          </w:tcPr>
          <w:p w14:paraId="61533F8D" w14:textId="77777777" w:rsidR="009C3A0E" w:rsidRDefault="00994197">
            <w:pPr>
              <w:pStyle w:val="cTableBody"/>
              <w:spacing w:before="0"/>
            </w:pPr>
            <w:r>
              <w:t>Boiler steam used for evaporation/concentration</w:t>
            </w:r>
          </w:p>
        </w:tc>
        <w:tc>
          <w:tcPr>
            <w:tcW w:w="1876" w:type="dxa"/>
          </w:tcPr>
          <w:p w14:paraId="51B9F4C4" w14:textId="77777777" w:rsidR="009C3A0E" w:rsidRDefault="00994197">
            <w:pPr>
              <w:pStyle w:val="cTableBody"/>
              <w:spacing w:before="0"/>
            </w:pPr>
            <w:r>
              <w:t>Extremely high</w:t>
            </w:r>
          </w:p>
        </w:tc>
      </w:tr>
      <w:tr w:rsidR="009C3A0E" w14:paraId="20D0E94E" w14:textId="77777777" w:rsidTr="009C3A0E">
        <w:trPr>
          <w:cantSplit/>
        </w:trPr>
        <w:tc>
          <w:tcPr>
            <w:tcW w:w="722" w:type="dxa"/>
          </w:tcPr>
          <w:p w14:paraId="3CFD0C4F" w14:textId="77777777" w:rsidR="009C3A0E" w:rsidRDefault="00994197">
            <w:pPr>
              <w:pStyle w:val="cTableBody"/>
              <w:spacing w:before="0"/>
            </w:pPr>
            <w:r>
              <w:t>3</w:t>
            </w:r>
          </w:p>
        </w:tc>
        <w:tc>
          <w:tcPr>
            <w:tcW w:w="3031" w:type="dxa"/>
          </w:tcPr>
          <w:p w14:paraId="52CDFF5A" w14:textId="77777777" w:rsidR="009C3A0E" w:rsidRDefault="00994197">
            <w:pPr>
              <w:pStyle w:val="cTableBody"/>
              <w:spacing w:before="0"/>
            </w:pPr>
            <w:r>
              <w:t>Low/medium-pressure process-steam platform</w:t>
            </w:r>
          </w:p>
        </w:tc>
        <w:tc>
          <w:tcPr>
            <w:tcW w:w="1113" w:type="dxa"/>
          </w:tcPr>
          <w:p w14:paraId="43C9F291" w14:textId="77777777" w:rsidR="009C3A0E" w:rsidRDefault="00994197">
            <w:pPr>
              <w:pStyle w:val="cTableBody"/>
              <w:spacing w:before="0"/>
            </w:pPr>
            <w:r>
              <w:t>120–280°C</w:t>
            </w:r>
          </w:p>
        </w:tc>
        <w:tc>
          <w:tcPr>
            <w:tcW w:w="1599" w:type="dxa"/>
          </w:tcPr>
          <w:p w14:paraId="356B7A78" w14:textId="77777777" w:rsidR="009C3A0E" w:rsidRDefault="00994197">
            <w:pPr>
              <w:pStyle w:val="cTableBody"/>
              <w:spacing w:before="0"/>
            </w:pPr>
            <w:r>
              <w:t>Direct PWR heat</w:t>
            </w:r>
          </w:p>
        </w:tc>
        <w:tc>
          <w:tcPr>
            <w:tcW w:w="2016" w:type="dxa"/>
          </w:tcPr>
          <w:p w14:paraId="7746269B" w14:textId="77777777" w:rsidR="009C3A0E" w:rsidRDefault="00994197">
            <w:pPr>
              <w:pStyle w:val="cTableBody"/>
              <w:spacing w:before="0"/>
            </w:pPr>
            <w:r>
              <w:t>Coal/gas/oil boilers</w:t>
            </w:r>
          </w:p>
        </w:tc>
        <w:tc>
          <w:tcPr>
            <w:tcW w:w="1876" w:type="dxa"/>
          </w:tcPr>
          <w:p w14:paraId="5944006B" w14:textId="77777777" w:rsidR="009C3A0E" w:rsidRDefault="00994197">
            <w:pPr>
              <w:pStyle w:val="cTableBody"/>
              <w:spacing w:before="0"/>
            </w:pPr>
            <w:r>
              <w:t>Extremely high</w:t>
            </w:r>
          </w:p>
        </w:tc>
      </w:tr>
      <w:tr w:rsidR="009C3A0E" w14:paraId="4F72214F" w14:textId="77777777" w:rsidTr="009C3A0E">
        <w:trPr>
          <w:cantSplit/>
        </w:trPr>
        <w:tc>
          <w:tcPr>
            <w:tcW w:w="722" w:type="dxa"/>
          </w:tcPr>
          <w:p w14:paraId="09932669" w14:textId="77777777" w:rsidR="009C3A0E" w:rsidRDefault="00994197">
            <w:pPr>
              <w:pStyle w:val="cTableBody"/>
              <w:spacing w:before="0"/>
            </w:pPr>
            <w:r>
              <w:t>4</w:t>
            </w:r>
          </w:p>
        </w:tc>
        <w:tc>
          <w:tcPr>
            <w:tcW w:w="3031" w:type="dxa"/>
          </w:tcPr>
          <w:p w14:paraId="6D355226" w14:textId="77777777" w:rsidR="009C3A0E" w:rsidRDefault="00994197">
            <w:pPr>
              <w:pStyle w:val="cTableBody"/>
              <w:spacing w:before="0"/>
            </w:pPr>
            <w:r>
              <w:t>Distillation/reboiler platform</w:t>
            </w:r>
          </w:p>
        </w:tc>
        <w:tc>
          <w:tcPr>
            <w:tcW w:w="1113" w:type="dxa"/>
          </w:tcPr>
          <w:p w14:paraId="319D6B00" w14:textId="77777777" w:rsidR="009C3A0E" w:rsidRDefault="00994197">
            <w:pPr>
              <w:pStyle w:val="cTableBody"/>
              <w:spacing w:before="0"/>
            </w:pPr>
            <w:r>
              <w:t>100–300°C</w:t>
            </w:r>
          </w:p>
        </w:tc>
        <w:tc>
          <w:tcPr>
            <w:tcW w:w="1599" w:type="dxa"/>
          </w:tcPr>
          <w:p w14:paraId="7F1EA7C0" w14:textId="77777777" w:rsidR="009C3A0E" w:rsidRDefault="00994197">
            <w:pPr>
              <w:pStyle w:val="cTableBody"/>
              <w:spacing w:before="0"/>
            </w:pPr>
            <w:r>
              <w:t>PWR heat + HP/MVR</w:t>
            </w:r>
          </w:p>
        </w:tc>
        <w:tc>
          <w:tcPr>
            <w:tcW w:w="2016" w:type="dxa"/>
          </w:tcPr>
          <w:p w14:paraId="56167F43" w14:textId="77777777" w:rsidR="009C3A0E" w:rsidRDefault="00994197">
            <w:pPr>
              <w:pStyle w:val="cTableBody"/>
              <w:spacing w:before="0"/>
            </w:pPr>
            <w:r>
              <w:t>Fired boiler steam in chemical/refinery distillation</w:t>
            </w:r>
          </w:p>
        </w:tc>
        <w:tc>
          <w:tcPr>
            <w:tcW w:w="1876" w:type="dxa"/>
          </w:tcPr>
          <w:p w14:paraId="381D19C3" w14:textId="77777777" w:rsidR="009C3A0E" w:rsidRDefault="00994197">
            <w:pPr>
              <w:pStyle w:val="cTableBody"/>
              <w:spacing w:before="0"/>
            </w:pPr>
            <w:r>
              <w:t>Extremely high</w:t>
            </w:r>
          </w:p>
        </w:tc>
      </w:tr>
      <w:tr w:rsidR="009C3A0E" w14:paraId="6157B637" w14:textId="77777777" w:rsidTr="009C3A0E">
        <w:trPr>
          <w:cantSplit/>
        </w:trPr>
        <w:tc>
          <w:tcPr>
            <w:tcW w:w="722" w:type="dxa"/>
          </w:tcPr>
          <w:p w14:paraId="6874BAE0" w14:textId="77777777" w:rsidR="009C3A0E" w:rsidRDefault="00994197">
            <w:pPr>
              <w:pStyle w:val="cTableBody"/>
              <w:spacing w:before="0"/>
            </w:pPr>
            <w:r>
              <w:t>5</w:t>
            </w:r>
          </w:p>
        </w:tc>
        <w:tc>
          <w:tcPr>
            <w:tcW w:w="3031" w:type="dxa"/>
          </w:tcPr>
          <w:p w14:paraId="613201C8" w14:textId="77777777" w:rsidR="009C3A0E" w:rsidRDefault="00994197">
            <w:pPr>
              <w:pStyle w:val="cTableBody"/>
              <w:spacing w:before="0"/>
            </w:pPr>
            <w:r>
              <w:t>High-temperature process-heat platform</w:t>
            </w:r>
          </w:p>
        </w:tc>
        <w:tc>
          <w:tcPr>
            <w:tcW w:w="1113" w:type="dxa"/>
          </w:tcPr>
          <w:p w14:paraId="567B50C3" w14:textId="77777777" w:rsidR="009C3A0E" w:rsidRDefault="00994197">
            <w:pPr>
              <w:pStyle w:val="cTableBody"/>
              <w:spacing w:before="0"/>
            </w:pPr>
            <w:r>
              <w:t>300–500°C</w:t>
            </w:r>
          </w:p>
        </w:tc>
        <w:tc>
          <w:tcPr>
            <w:tcW w:w="1599" w:type="dxa"/>
          </w:tcPr>
          <w:p w14:paraId="53D63363" w14:textId="77777777" w:rsidR="009C3A0E" w:rsidRDefault="00994197">
            <w:pPr>
              <w:pStyle w:val="cTableBody"/>
              <w:spacing w:before="0"/>
            </w:pPr>
            <w:r>
              <w:t>Direct HTR-PM</w:t>
            </w:r>
          </w:p>
        </w:tc>
        <w:tc>
          <w:tcPr>
            <w:tcW w:w="2016" w:type="dxa"/>
          </w:tcPr>
          <w:p w14:paraId="5B7E420B" w14:textId="77777777" w:rsidR="009C3A0E" w:rsidRDefault="00994197">
            <w:pPr>
              <w:pStyle w:val="cTableBody"/>
              <w:spacing w:before="0"/>
            </w:pPr>
            <w:r>
              <w:t>Gas/coal/oil process heaters</w:t>
            </w:r>
          </w:p>
        </w:tc>
        <w:tc>
          <w:tcPr>
            <w:tcW w:w="1876" w:type="dxa"/>
          </w:tcPr>
          <w:p w14:paraId="15B87B1D" w14:textId="77777777" w:rsidR="009C3A0E" w:rsidRDefault="00994197">
            <w:pPr>
              <w:pStyle w:val="cTableBody"/>
              <w:spacing w:before="0"/>
            </w:pPr>
            <w:r>
              <w:t>Very high</w:t>
            </w:r>
          </w:p>
        </w:tc>
      </w:tr>
      <w:tr w:rsidR="009C3A0E" w14:paraId="280E0DF2" w14:textId="77777777" w:rsidTr="009C3A0E">
        <w:trPr>
          <w:cantSplit/>
        </w:trPr>
        <w:tc>
          <w:tcPr>
            <w:tcW w:w="722" w:type="dxa"/>
          </w:tcPr>
          <w:p w14:paraId="7CF63C09" w14:textId="77777777" w:rsidR="009C3A0E" w:rsidRDefault="00994197">
            <w:pPr>
              <w:pStyle w:val="cTableBody"/>
              <w:spacing w:before="0"/>
            </w:pPr>
            <w:r>
              <w:t>6</w:t>
            </w:r>
          </w:p>
        </w:tc>
        <w:tc>
          <w:tcPr>
            <w:tcW w:w="3031" w:type="dxa"/>
          </w:tcPr>
          <w:p w14:paraId="0D6A203B" w14:textId="77777777" w:rsidR="009C3A0E" w:rsidRDefault="00994197">
            <w:pPr>
              <w:pStyle w:val="cTableBody"/>
              <w:spacing w:before="0"/>
            </w:pPr>
            <w:r>
              <w:t>General evaporation/concentration/crystallization platform</w:t>
            </w:r>
          </w:p>
        </w:tc>
        <w:tc>
          <w:tcPr>
            <w:tcW w:w="1113" w:type="dxa"/>
          </w:tcPr>
          <w:p w14:paraId="3B632DC2" w14:textId="77777777" w:rsidR="009C3A0E" w:rsidRDefault="00994197">
            <w:pPr>
              <w:pStyle w:val="cTableBody"/>
              <w:spacing w:before="0"/>
            </w:pPr>
            <w:r>
              <w:t>80–200°C</w:t>
            </w:r>
          </w:p>
        </w:tc>
        <w:tc>
          <w:tcPr>
            <w:tcW w:w="1599" w:type="dxa"/>
          </w:tcPr>
          <w:p w14:paraId="66DF3966" w14:textId="77777777" w:rsidR="009C3A0E" w:rsidRDefault="00994197">
            <w:pPr>
              <w:pStyle w:val="cTableBody"/>
              <w:spacing w:before="0"/>
            </w:pPr>
            <w:r>
              <w:t>PWR+HP/MVR</w:t>
            </w:r>
          </w:p>
        </w:tc>
        <w:tc>
          <w:tcPr>
            <w:tcW w:w="2016" w:type="dxa"/>
          </w:tcPr>
          <w:p w14:paraId="1CA9FAAA" w14:textId="77777777" w:rsidR="009C3A0E" w:rsidRDefault="00994197">
            <w:pPr>
              <w:pStyle w:val="cTableBody"/>
              <w:spacing w:before="0"/>
            </w:pPr>
            <w:r>
              <w:t>Fossil steam</w:t>
            </w:r>
          </w:p>
        </w:tc>
        <w:tc>
          <w:tcPr>
            <w:tcW w:w="1876" w:type="dxa"/>
          </w:tcPr>
          <w:p w14:paraId="400201DB" w14:textId="77777777" w:rsidR="009C3A0E" w:rsidRDefault="00994197">
            <w:pPr>
              <w:pStyle w:val="cTableBody"/>
              <w:spacing w:before="0"/>
            </w:pPr>
            <w:r>
              <w:t>Very high</w:t>
            </w:r>
          </w:p>
        </w:tc>
      </w:tr>
      <w:tr w:rsidR="009C3A0E" w14:paraId="33365415" w14:textId="77777777" w:rsidTr="009C3A0E">
        <w:trPr>
          <w:cantSplit/>
        </w:trPr>
        <w:tc>
          <w:tcPr>
            <w:tcW w:w="722" w:type="dxa"/>
          </w:tcPr>
          <w:p w14:paraId="3E39B928" w14:textId="77777777" w:rsidR="009C3A0E" w:rsidRDefault="00994197">
            <w:pPr>
              <w:pStyle w:val="cTableBody"/>
              <w:spacing w:before="0"/>
            </w:pPr>
            <w:r>
              <w:t>7</w:t>
            </w:r>
          </w:p>
        </w:tc>
        <w:tc>
          <w:tcPr>
            <w:tcW w:w="3031" w:type="dxa"/>
          </w:tcPr>
          <w:p w14:paraId="47810EDE" w14:textId="77777777" w:rsidR="009C3A0E" w:rsidRDefault="00994197">
            <w:pPr>
              <w:pStyle w:val="cTableBody"/>
              <w:spacing w:before="0"/>
            </w:pPr>
            <w:r>
              <w:t>General industrial drying platform</w:t>
            </w:r>
          </w:p>
        </w:tc>
        <w:tc>
          <w:tcPr>
            <w:tcW w:w="1113" w:type="dxa"/>
          </w:tcPr>
          <w:p w14:paraId="3D244499" w14:textId="77777777" w:rsidR="009C3A0E" w:rsidRDefault="00994197">
            <w:pPr>
              <w:pStyle w:val="cTableBody"/>
              <w:spacing w:before="0"/>
            </w:pPr>
            <w:r>
              <w:t>100–300°C</w:t>
            </w:r>
          </w:p>
        </w:tc>
        <w:tc>
          <w:tcPr>
            <w:tcW w:w="1599" w:type="dxa"/>
          </w:tcPr>
          <w:p w14:paraId="33687547" w14:textId="77777777" w:rsidR="009C3A0E" w:rsidRDefault="00994197">
            <w:pPr>
              <w:pStyle w:val="cTableBody"/>
              <w:spacing w:before="0"/>
            </w:pPr>
            <w:r>
              <w:t>PWR heat/HP; HTR at upper end</w:t>
            </w:r>
          </w:p>
        </w:tc>
        <w:tc>
          <w:tcPr>
            <w:tcW w:w="2016" w:type="dxa"/>
          </w:tcPr>
          <w:p w14:paraId="4967FA83" w14:textId="77777777" w:rsidR="009C3A0E" w:rsidRDefault="00994197">
            <w:pPr>
              <w:pStyle w:val="cTableBody"/>
              <w:spacing w:before="0"/>
            </w:pPr>
            <w:r>
              <w:t>Gas/coal-fired dryers</w:t>
            </w:r>
          </w:p>
        </w:tc>
        <w:tc>
          <w:tcPr>
            <w:tcW w:w="1876" w:type="dxa"/>
          </w:tcPr>
          <w:p w14:paraId="350245A3" w14:textId="77777777" w:rsidR="009C3A0E" w:rsidRDefault="00994197">
            <w:pPr>
              <w:pStyle w:val="cTableBody"/>
              <w:spacing w:before="0"/>
            </w:pPr>
            <w:r>
              <w:t>Very high</w:t>
            </w:r>
          </w:p>
        </w:tc>
      </w:tr>
      <w:tr w:rsidR="009C3A0E" w14:paraId="0D52EBA2" w14:textId="77777777" w:rsidTr="009C3A0E">
        <w:trPr>
          <w:cantSplit/>
        </w:trPr>
        <w:tc>
          <w:tcPr>
            <w:tcW w:w="722" w:type="dxa"/>
          </w:tcPr>
          <w:p w14:paraId="4644899D" w14:textId="77777777" w:rsidR="009C3A0E" w:rsidRDefault="00994197">
            <w:pPr>
              <w:pStyle w:val="cTableBody"/>
              <w:spacing w:before="0"/>
            </w:pPr>
            <w:r>
              <w:t>8</w:t>
            </w:r>
          </w:p>
        </w:tc>
        <w:tc>
          <w:tcPr>
            <w:tcW w:w="3031" w:type="dxa"/>
          </w:tcPr>
          <w:p w14:paraId="4E6019A9" w14:textId="77777777" w:rsidR="009C3A0E" w:rsidRDefault="00994197">
            <w:pPr>
              <w:pStyle w:val="cTableBody"/>
              <w:spacing w:before="0"/>
            </w:pPr>
            <w:r>
              <w:t>Pulp cooking/digester steam platform</w:t>
            </w:r>
          </w:p>
        </w:tc>
        <w:tc>
          <w:tcPr>
            <w:tcW w:w="1113" w:type="dxa"/>
          </w:tcPr>
          <w:p w14:paraId="57C54920" w14:textId="77777777" w:rsidR="009C3A0E" w:rsidRDefault="00994197">
            <w:pPr>
              <w:pStyle w:val="cTableBody"/>
              <w:spacing w:before="0"/>
            </w:pPr>
            <w:r>
              <w:t>150–200°C</w:t>
            </w:r>
          </w:p>
        </w:tc>
        <w:tc>
          <w:tcPr>
            <w:tcW w:w="1599" w:type="dxa"/>
          </w:tcPr>
          <w:p w14:paraId="46933D92" w14:textId="77777777" w:rsidR="009C3A0E" w:rsidRDefault="00994197">
            <w:pPr>
              <w:pStyle w:val="cTableBody"/>
              <w:spacing w:before="0"/>
            </w:pPr>
            <w:r>
              <w:t>PWR heat</w:t>
            </w:r>
          </w:p>
        </w:tc>
        <w:tc>
          <w:tcPr>
            <w:tcW w:w="2016" w:type="dxa"/>
          </w:tcPr>
          <w:p w14:paraId="19ADE7ED" w14:textId="77777777" w:rsidR="009C3A0E" w:rsidRDefault="00994197">
            <w:pPr>
              <w:pStyle w:val="cTableBody"/>
              <w:spacing w:before="0"/>
            </w:pPr>
            <w:r>
              <w:t>Fossil process steam</w:t>
            </w:r>
          </w:p>
        </w:tc>
        <w:tc>
          <w:tcPr>
            <w:tcW w:w="1876" w:type="dxa"/>
          </w:tcPr>
          <w:p w14:paraId="3FA7396D" w14:textId="77777777" w:rsidR="009C3A0E" w:rsidRDefault="00994197">
            <w:pPr>
              <w:pStyle w:val="cTableBody"/>
              <w:spacing w:before="0"/>
            </w:pPr>
            <w:r>
              <w:t>Very high</w:t>
            </w:r>
          </w:p>
        </w:tc>
      </w:tr>
      <w:tr w:rsidR="009C3A0E" w14:paraId="541C5349" w14:textId="77777777" w:rsidTr="009C3A0E">
        <w:trPr>
          <w:cantSplit/>
        </w:trPr>
        <w:tc>
          <w:tcPr>
            <w:tcW w:w="722" w:type="dxa"/>
          </w:tcPr>
          <w:p w14:paraId="412661F2" w14:textId="77777777" w:rsidR="009C3A0E" w:rsidRDefault="00994197">
            <w:pPr>
              <w:pStyle w:val="cTableBody"/>
              <w:spacing w:before="0"/>
            </w:pPr>
            <w:r>
              <w:t>9</w:t>
            </w:r>
          </w:p>
        </w:tc>
        <w:tc>
          <w:tcPr>
            <w:tcW w:w="3031" w:type="dxa"/>
          </w:tcPr>
          <w:p w14:paraId="78884E50" w14:textId="77777777" w:rsidR="009C3A0E" w:rsidRDefault="00994197">
            <w:pPr>
              <w:pStyle w:val="cTableBody"/>
              <w:spacing w:before="0"/>
            </w:pPr>
            <w:r>
              <w:t>Paper-machine drying platform</w:t>
            </w:r>
          </w:p>
        </w:tc>
        <w:tc>
          <w:tcPr>
            <w:tcW w:w="1113" w:type="dxa"/>
          </w:tcPr>
          <w:p w14:paraId="20314541" w14:textId="77777777" w:rsidR="009C3A0E" w:rsidRDefault="00994197">
            <w:pPr>
              <w:pStyle w:val="cTableBody"/>
              <w:spacing w:before="0"/>
            </w:pPr>
            <w:r>
              <w:t>100–180°C</w:t>
            </w:r>
          </w:p>
        </w:tc>
        <w:tc>
          <w:tcPr>
            <w:tcW w:w="1599" w:type="dxa"/>
          </w:tcPr>
          <w:p w14:paraId="1D3AA190" w14:textId="77777777" w:rsidR="009C3A0E" w:rsidRDefault="00994197">
            <w:pPr>
              <w:pStyle w:val="cTableBody"/>
              <w:spacing w:before="0"/>
            </w:pPr>
            <w:r>
              <w:t>PWR+HP/MVR</w:t>
            </w:r>
          </w:p>
        </w:tc>
        <w:tc>
          <w:tcPr>
            <w:tcW w:w="2016" w:type="dxa"/>
          </w:tcPr>
          <w:p w14:paraId="6D54C7B5" w14:textId="77777777" w:rsidR="009C3A0E" w:rsidRDefault="00994197">
            <w:pPr>
              <w:pStyle w:val="cTableBody"/>
              <w:spacing w:before="0"/>
            </w:pPr>
            <w:r>
              <w:t>Steam-heated paper dryers</w:t>
            </w:r>
          </w:p>
        </w:tc>
        <w:tc>
          <w:tcPr>
            <w:tcW w:w="1876" w:type="dxa"/>
          </w:tcPr>
          <w:p w14:paraId="687E6602" w14:textId="77777777" w:rsidR="009C3A0E" w:rsidRDefault="00994197">
            <w:pPr>
              <w:pStyle w:val="cTableBody"/>
              <w:spacing w:before="0"/>
            </w:pPr>
            <w:r>
              <w:t>Very high</w:t>
            </w:r>
          </w:p>
        </w:tc>
      </w:tr>
      <w:tr w:rsidR="009C3A0E" w14:paraId="1B5A98AA" w14:textId="77777777" w:rsidTr="009C3A0E">
        <w:trPr>
          <w:cantSplit/>
        </w:trPr>
        <w:tc>
          <w:tcPr>
            <w:tcW w:w="722" w:type="dxa"/>
          </w:tcPr>
          <w:p w14:paraId="5DB3FB53" w14:textId="77777777" w:rsidR="009C3A0E" w:rsidRDefault="00994197">
            <w:pPr>
              <w:pStyle w:val="cTableBody"/>
              <w:spacing w:before="0"/>
            </w:pPr>
            <w:r>
              <w:t>10</w:t>
            </w:r>
          </w:p>
        </w:tc>
        <w:tc>
          <w:tcPr>
            <w:tcW w:w="3031" w:type="dxa"/>
          </w:tcPr>
          <w:p w14:paraId="5CBD76E4" w14:textId="77777777" w:rsidR="009C3A0E" w:rsidRDefault="00994197">
            <w:pPr>
              <w:pStyle w:val="cTableBody"/>
              <w:spacing w:before="0"/>
            </w:pPr>
            <w:r>
              <w:t>Food/beverage thermal-processing platform</w:t>
            </w:r>
          </w:p>
        </w:tc>
        <w:tc>
          <w:tcPr>
            <w:tcW w:w="1113" w:type="dxa"/>
          </w:tcPr>
          <w:p w14:paraId="6B86FD90" w14:textId="77777777" w:rsidR="009C3A0E" w:rsidRDefault="00994197">
            <w:pPr>
              <w:pStyle w:val="cTableBody"/>
              <w:spacing w:before="0"/>
            </w:pPr>
            <w:r>
              <w:t>60–180°C</w:t>
            </w:r>
          </w:p>
        </w:tc>
        <w:tc>
          <w:tcPr>
            <w:tcW w:w="1599" w:type="dxa"/>
          </w:tcPr>
          <w:p w14:paraId="34BA7D5E" w14:textId="77777777" w:rsidR="009C3A0E" w:rsidRDefault="00994197">
            <w:pPr>
              <w:pStyle w:val="cTableBody"/>
              <w:spacing w:before="0"/>
            </w:pPr>
            <w:r>
              <w:t>PWR+HP</w:t>
            </w:r>
          </w:p>
        </w:tc>
        <w:tc>
          <w:tcPr>
            <w:tcW w:w="2016" w:type="dxa"/>
          </w:tcPr>
          <w:p w14:paraId="716842F5" w14:textId="77777777" w:rsidR="009C3A0E" w:rsidRDefault="00994197">
            <w:pPr>
              <w:pStyle w:val="cTableBody"/>
              <w:spacing w:before="0"/>
            </w:pPr>
            <w:r>
              <w:t>Pasteurization, sterilization, cooking, evaporation</w:t>
            </w:r>
          </w:p>
        </w:tc>
        <w:tc>
          <w:tcPr>
            <w:tcW w:w="1876" w:type="dxa"/>
          </w:tcPr>
          <w:p w14:paraId="47DD999B" w14:textId="77777777" w:rsidR="009C3A0E" w:rsidRDefault="00994197">
            <w:pPr>
              <w:pStyle w:val="cTableBody"/>
              <w:spacing w:before="0"/>
            </w:pPr>
            <w:r>
              <w:t>Very high</w:t>
            </w:r>
          </w:p>
        </w:tc>
      </w:tr>
      <w:tr w:rsidR="009C3A0E" w14:paraId="44075403" w14:textId="77777777" w:rsidTr="009C3A0E">
        <w:trPr>
          <w:cantSplit/>
        </w:trPr>
        <w:tc>
          <w:tcPr>
            <w:tcW w:w="722" w:type="dxa"/>
          </w:tcPr>
          <w:p w14:paraId="7D9F84ED" w14:textId="77777777" w:rsidR="009C3A0E" w:rsidRDefault="00994197">
            <w:pPr>
              <w:pStyle w:val="cTableBody"/>
              <w:spacing w:before="0"/>
            </w:pPr>
            <w:r>
              <w:t>11</w:t>
            </w:r>
          </w:p>
        </w:tc>
        <w:tc>
          <w:tcPr>
            <w:tcW w:w="3031" w:type="dxa"/>
          </w:tcPr>
          <w:p w14:paraId="6BBB69C3" w14:textId="77777777" w:rsidR="009C3A0E" w:rsidRDefault="00994197">
            <w:pPr>
              <w:pStyle w:val="cTableBody"/>
              <w:spacing w:before="0"/>
            </w:pPr>
            <w:r>
              <w:t>Sugar/starch evaporation and crystallization platform</w:t>
            </w:r>
          </w:p>
        </w:tc>
        <w:tc>
          <w:tcPr>
            <w:tcW w:w="1113" w:type="dxa"/>
          </w:tcPr>
          <w:p w14:paraId="0FD54CD0" w14:textId="77777777" w:rsidR="009C3A0E" w:rsidRDefault="00994197">
            <w:pPr>
              <w:pStyle w:val="cTableBody"/>
              <w:spacing w:before="0"/>
            </w:pPr>
            <w:r>
              <w:t>70–160°C</w:t>
            </w:r>
          </w:p>
        </w:tc>
        <w:tc>
          <w:tcPr>
            <w:tcW w:w="1599" w:type="dxa"/>
          </w:tcPr>
          <w:p w14:paraId="04F07B7E" w14:textId="77777777" w:rsidR="009C3A0E" w:rsidRDefault="00994197">
            <w:pPr>
              <w:pStyle w:val="cTableBody"/>
              <w:spacing w:before="0"/>
            </w:pPr>
            <w:r>
              <w:t>PWR+MVR</w:t>
            </w:r>
          </w:p>
        </w:tc>
        <w:tc>
          <w:tcPr>
            <w:tcW w:w="2016" w:type="dxa"/>
          </w:tcPr>
          <w:p w14:paraId="18BE3F88" w14:textId="77777777" w:rsidR="009C3A0E" w:rsidRDefault="00994197">
            <w:pPr>
              <w:pStyle w:val="cTableBody"/>
              <w:spacing w:before="0"/>
            </w:pPr>
            <w:r>
              <w:t>Bagasse/fossil boilers where fossil is used</w:t>
            </w:r>
          </w:p>
        </w:tc>
        <w:tc>
          <w:tcPr>
            <w:tcW w:w="1876" w:type="dxa"/>
          </w:tcPr>
          <w:p w14:paraId="55980512" w14:textId="77777777" w:rsidR="009C3A0E" w:rsidRDefault="00994197">
            <w:pPr>
              <w:pStyle w:val="cTableBody"/>
              <w:spacing w:before="0"/>
            </w:pPr>
            <w:r>
              <w:t>High</w:t>
            </w:r>
          </w:p>
        </w:tc>
      </w:tr>
      <w:tr w:rsidR="009C3A0E" w14:paraId="473455FA" w14:textId="77777777" w:rsidTr="009C3A0E">
        <w:trPr>
          <w:cantSplit/>
        </w:trPr>
        <w:tc>
          <w:tcPr>
            <w:tcW w:w="722" w:type="dxa"/>
          </w:tcPr>
          <w:p w14:paraId="682ED413" w14:textId="77777777" w:rsidR="009C3A0E" w:rsidRDefault="00994197">
            <w:pPr>
              <w:pStyle w:val="cTableBody"/>
              <w:spacing w:before="0"/>
            </w:pPr>
            <w:r>
              <w:t>12</w:t>
            </w:r>
          </w:p>
        </w:tc>
        <w:tc>
          <w:tcPr>
            <w:tcW w:w="3031" w:type="dxa"/>
          </w:tcPr>
          <w:p w14:paraId="678AC6B3" w14:textId="77777777" w:rsidR="009C3A0E" w:rsidRDefault="00994197">
            <w:pPr>
              <w:pStyle w:val="cTableBody"/>
              <w:spacing w:before="0"/>
            </w:pPr>
            <w:r>
              <w:t>Dairy/food spray-drying platform</w:t>
            </w:r>
          </w:p>
        </w:tc>
        <w:tc>
          <w:tcPr>
            <w:tcW w:w="1113" w:type="dxa"/>
          </w:tcPr>
          <w:p w14:paraId="51F5AD26" w14:textId="77777777" w:rsidR="009C3A0E" w:rsidRDefault="00994197">
            <w:pPr>
              <w:pStyle w:val="cTableBody"/>
              <w:spacing w:before="0"/>
            </w:pPr>
            <w:r>
              <w:t>100–220°C</w:t>
            </w:r>
          </w:p>
        </w:tc>
        <w:tc>
          <w:tcPr>
            <w:tcW w:w="1599" w:type="dxa"/>
          </w:tcPr>
          <w:p w14:paraId="590068C3" w14:textId="77777777" w:rsidR="009C3A0E" w:rsidRDefault="00994197">
            <w:pPr>
              <w:pStyle w:val="cTableBody"/>
              <w:spacing w:before="0"/>
            </w:pPr>
            <w:r>
              <w:t>PWR+HP/direct steam</w:t>
            </w:r>
          </w:p>
        </w:tc>
        <w:tc>
          <w:tcPr>
            <w:tcW w:w="2016" w:type="dxa"/>
          </w:tcPr>
          <w:p w14:paraId="7FBFF87F" w14:textId="77777777" w:rsidR="009C3A0E" w:rsidRDefault="00994197">
            <w:pPr>
              <w:pStyle w:val="cTableBody"/>
              <w:spacing w:before="0"/>
            </w:pPr>
            <w:r>
              <w:t>Gas-fired spray dryers</w:t>
            </w:r>
          </w:p>
        </w:tc>
        <w:tc>
          <w:tcPr>
            <w:tcW w:w="1876" w:type="dxa"/>
          </w:tcPr>
          <w:p w14:paraId="02AD236A" w14:textId="77777777" w:rsidR="009C3A0E" w:rsidRDefault="00994197">
            <w:pPr>
              <w:pStyle w:val="cTableBody"/>
              <w:spacing w:before="0"/>
            </w:pPr>
            <w:r>
              <w:t>High</w:t>
            </w:r>
          </w:p>
        </w:tc>
      </w:tr>
      <w:tr w:rsidR="009C3A0E" w14:paraId="30F78D21" w14:textId="77777777" w:rsidTr="009C3A0E">
        <w:trPr>
          <w:cantSplit/>
        </w:trPr>
        <w:tc>
          <w:tcPr>
            <w:tcW w:w="722" w:type="dxa"/>
          </w:tcPr>
          <w:p w14:paraId="3DD321B4" w14:textId="77777777" w:rsidR="009C3A0E" w:rsidRDefault="00994197">
            <w:pPr>
              <w:pStyle w:val="cTableBody"/>
              <w:spacing w:before="0"/>
            </w:pPr>
            <w:r>
              <w:t>13</w:t>
            </w:r>
          </w:p>
        </w:tc>
        <w:tc>
          <w:tcPr>
            <w:tcW w:w="3031" w:type="dxa"/>
          </w:tcPr>
          <w:p w14:paraId="67C0C49D" w14:textId="77777777" w:rsidR="009C3A0E" w:rsidRDefault="00994197">
            <w:pPr>
              <w:pStyle w:val="cTableBody"/>
              <w:spacing w:before="0"/>
            </w:pPr>
            <w:r>
              <w:t>Textile wet-processing and drying platform</w:t>
            </w:r>
          </w:p>
        </w:tc>
        <w:tc>
          <w:tcPr>
            <w:tcW w:w="1113" w:type="dxa"/>
          </w:tcPr>
          <w:p w14:paraId="6943AD26" w14:textId="77777777" w:rsidR="009C3A0E" w:rsidRDefault="00994197">
            <w:pPr>
              <w:pStyle w:val="cTableBody"/>
              <w:spacing w:before="0"/>
            </w:pPr>
            <w:r>
              <w:t>60–200°C</w:t>
            </w:r>
          </w:p>
        </w:tc>
        <w:tc>
          <w:tcPr>
            <w:tcW w:w="1599" w:type="dxa"/>
          </w:tcPr>
          <w:p w14:paraId="64567D25" w14:textId="77777777" w:rsidR="009C3A0E" w:rsidRDefault="00994197">
            <w:pPr>
              <w:pStyle w:val="cTableBody"/>
              <w:spacing w:before="0"/>
            </w:pPr>
            <w:r>
              <w:t>PWR+HP</w:t>
            </w:r>
          </w:p>
        </w:tc>
        <w:tc>
          <w:tcPr>
            <w:tcW w:w="2016" w:type="dxa"/>
          </w:tcPr>
          <w:p w14:paraId="650BD552" w14:textId="77777777" w:rsidR="009C3A0E" w:rsidRDefault="00994197">
            <w:pPr>
              <w:pStyle w:val="cTableBody"/>
              <w:spacing w:before="0"/>
            </w:pPr>
            <w:r>
              <w:t>Dyeing, washing, finishing, drying boilers</w:t>
            </w:r>
          </w:p>
        </w:tc>
        <w:tc>
          <w:tcPr>
            <w:tcW w:w="1876" w:type="dxa"/>
          </w:tcPr>
          <w:p w14:paraId="1203A5AD" w14:textId="77777777" w:rsidR="009C3A0E" w:rsidRDefault="00994197">
            <w:pPr>
              <w:pStyle w:val="cTableBody"/>
              <w:spacing w:before="0"/>
            </w:pPr>
            <w:r>
              <w:t>High</w:t>
            </w:r>
          </w:p>
        </w:tc>
      </w:tr>
      <w:tr w:rsidR="009C3A0E" w14:paraId="4D29E285" w14:textId="77777777" w:rsidTr="009C3A0E">
        <w:trPr>
          <w:cantSplit/>
        </w:trPr>
        <w:tc>
          <w:tcPr>
            <w:tcW w:w="722" w:type="dxa"/>
          </w:tcPr>
          <w:p w14:paraId="23EDF612" w14:textId="77777777" w:rsidR="009C3A0E" w:rsidRDefault="00994197">
            <w:pPr>
              <w:pStyle w:val="cTableBody"/>
              <w:spacing w:before="0"/>
            </w:pPr>
            <w:r>
              <w:t>14</w:t>
            </w:r>
          </w:p>
        </w:tc>
        <w:tc>
          <w:tcPr>
            <w:tcW w:w="3031" w:type="dxa"/>
          </w:tcPr>
          <w:p w14:paraId="7B05C429" w14:textId="77777777" w:rsidR="009C3A0E" w:rsidRDefault="00994197">
            <w:pPr>
              <w:pStyle w:val="cTableBody"/>
              <w:spacing w:before="0"/>
            </w:pPr>
            <w:r>
              <w:t>Bayer alumina-digestion platform</w:t>
            </w:r>
          </w:p>
        </w:tc>
        <w:tc>
          <w:tcPr>
            <w:tcW w:w="1113" w:type="dxa"/>
          </w:tcPr>
          <w:p w14:paraId="27435EDE" w14:textId="77777777" w:rsidR="009C3A0E" w:rsidRDefault="00994197">
            <w:pPr>
              <w:pStyle w:val="cTableBody"/>
              <w:spacing w:before="0"/>
            </w:pPr>
            <w:r>
              <w:t>150–250°C</w:t>
            </w:r>
          </w:p>
        </w:tc>
        <w:tc>
          <w:tcPr>
            <w:tcW w:w="1599" w:type="dxa"/>
          </w:tcPr>
          <w:p w14:paraId="5E9B3BCB" w14:textId="77777777" w:rsidR="009C3A0E" w:rsidRDefault="00994197">
            <w:pPr>
              <w:pStyle w:val="cTableBody"/>
              <w:spacing w:before="0"/>
            </w:pPr>
            <w:r>
              <w:t>Direct PWR heat</w:t>
            </w:r>
          </w:p>
        </w:tc>
        <w:tc>
          <w:tcPr>
            <w:tcW w:w="2016" w:type="dxa"/>
          </w:tcPr>
          <w:p w14:paraId="0451D016" w14:textId="77777777" w:rsidR="009C3A0E" w:rsidRDefault="00994197">
            <w:pPr>
              <w:pStyle w:val="cTableBody"/>
              <w:spacing w:before="0"/>
            </w:pPr>
            <w:r>
              <w:t>Coal/gas-fired refinery steam</w:t>
            </w:r>
          </w:p>
        </w:tc>
        <w:tc>
          <w:tcPr>
            <w:tcW w:w="1876" w:type="dxa"/>
          </w:tcPr>
          <w:p w14:paraId="51A8A0B3" w14:textId="77777777" w:rsidR="009C3A0E" w:rsidRDefault="00994197">
            <w:pPr>
              <w:pStyle w:val="cTableBody"/>
              <w:spacing w:before="0"/>
            </w:pPr>
            <w:r>
              <w:t>Very high</w:t>
            </w:r>
          </w:p>
        </w:tc>
      </w:tr>
      <w:tr w:rsidR="009C3A0E" w14:paraId="3FDB6E7D" w14:textId="77777777" w:rsidTr="009C3A0E">
        <w:trPr>
          <w:cantSplit/>
        </w:trPr>
        <w:tc>
          <w:tcPr>
            <w:tcW w:w="722" w:type="dxa"/>
          </w:tcPr>
          <w:p w14:paraId="5AE3ECF2" w14:textId="77777777" w:rsidR="009C3A0E" w:rsidRDefault="00994197">
            <w:pPr>
              <w:pStyle w:val="cTableBody"/>
              <w:spacing w:before="0"/>
            </w:pPr>
            <w:r>
              <w:t>15</w:t>
            </w:r>
          </w:p>
        </w:tc>
        <w:tc>
          <w:tcPr>
            <w:tcW w:w="3031" w:type="dxa"/>
          </w:tcPr>
          <w:p w14:paraId="7505D794" w14:textId="77777777" w:rsidR="009C3A0E" w:rsidRDefault="00994197">
            <w:pPr>
              <w:pStyle w:val="cTableBody"/>
              <w:spacing w:before="0"/>
            </w:pPr>
            <w:r>
              <w:t>Alumina evaporation/caustic-recovery platform</w:t>
            </w:r>
          </w:p>
        </w:tc>
        <w:tc>
          <w:tcPr>
            <w:tcW w:w="1113" w:type="dxa"/>
          </w:tcPr>
          <w:p w14:paraId="7C2C3688" w14:textId="77777777" w:rsidR="009C3A0E" w:rsidRDefault="00994197">
            <w:pPr>
              <w:pStyle w:val="cTableBody"/>
              <w:spacing w:before="0"/>
            </w:pPr>
            <w:r>
              <w:t>100–200°C</w:t>
            </w:r>
          </w:p>
        </w:tc>
        <w:tc>
          <w:tcPr>
            <w:tcW w:w="1599" w:type="dxa"/>
          </w:tcPr>
          <w:p w14:paraId="473503A8" w14:textId="77777777" w:rsidR="009C3A0E" w:rsidRDefault="00994197">
            <w:pPr>
              <w:pStyle w:val="cTableBody"/>
              <w:spacing w:before="0"/>
            </w:pPr>
            <w:r>
              <w:t>PWR+MVR</w:t>
            </w:r>
          </w:p>
        </w:tc>
        <w:tc>
          <w:tcPr>
            <w:tcW w:w="2016" w:type="dxa"/>
          </w:tcPr>
          <w:p w14:paraId="57DA0E6F" w14:textId="77777777" w:rsidR="009C3A0E" w:rsidRDefault="00994197">
            <w:pPr>
              <w:pStyle w:val="cTableBody"/>
              <w:spacing w:before="0"/>
            </w:pPr>
            <w:r>
              <w:t>Fossil steam</w:t>
            </w:r>
          </w:p>
        </w:tc>
        <w:tc>
          <w:tcPr>
            <w:tcW w:w="1876" w:type="dxa"/>
          </w:tcPr>
          <w:p w14:paraId="6368A053" w14:textId="77777777" w:rsidR="009C3A0E" w:rsidRDefault="00994197">
            <w:pPr>
              <w:pStyle w:val="cTableBody"/>
              <w:spacing w:before="0"/>
            </w:pPr>
            <w:r>
              <w:t>High</w:t>
            </w:r>
          </w:p>
        </w:tc>
      </w:tr>
      <w:tr w:rsidR="009C3A0E" w14:paraId="1151C8A2" w14:textId="77777777" w:rsidTr="009C3A0E">
        <w:trPr>
          <w:cantSplit/>
        </w:trPr>
        <w:tc>
          <w:tcPr>
            <w:tcW w:w="722" w:type="dxa"/>
          </w:tcPr>
          <w:p w14:paraId="602A7F2F" w14:textId="77777777" w:rsidR="009C3A0E" w:rsidRDefault="00994197">
            <w:pPr>
              <w:pStyle w:val="cTableBody"/>
              <w:spacing w:before="0"/>
            </w:pPr>
            <w:r>
              <w:t>16</w:t>
            </w:r>
          </w:p>
        </w:tc>
        <w:tc>
          <w:tcPr>
            <w:tcW w:w="3031" w:type="dxa"/>
          </w:tcPr>
          <w:p w14:paraId="595E1CBE" w14:textId="77777777" w:rsidR="009C3A0E" w:rsidRDefault="00994197">
            <w:pPr>
              <w:pStyle w:val="cTableBody"/>
              <w:spacing w:before="0"/>
            </w:pPr>
            <w:r>
              <w:t>Chemical-reactor / thermal-fluid heating platform</w:t>
            </w:r>
          </w:p>
        </w:tc>
        <w:tc>
          <w:tcPr>
            <w:tcW w:w="1113" w:type="dxa"/>
          </w:tcPr>
          <w:p w14:paraId="0A8189BB" w14:textId="77777777" w:rsidR="009C3A0E" w:rsidRDefault="00994197">
            <w:pPr>
              <w:pStyle w:val="cTableBody"/>
              <w:spacing w:before="0"/>
            </w:pPr>
            <w:r>
              <w:t>200–500°C</w:t>
            </w:r>
          </w:p>
        </w:tc>
        <w:tc>
          <w:tcPr>
            <w:tcW w:w="1599" w:type="dxa"/>
          </w:tcPr>
          <w:p w14:paraId="268D8335" w14:textId="77777777" w:rsidR="009C3A0E" w:rsidRDefault="00994197">
            <w:pPr>
              <w:pStyle w:val="cTableBody"/>
              <w:spacing w:before="0"/>
            </w:pPr>
            <w:r>
              <w:t>PWR or HTR-PM</w:t>
            </w:r>
          </w:p>
        </w:tc>
        <w:tc>
          <w:tcPr>
            <w:tcW w:w="2016" w:type="dxa"/>
          </w:tcPr>
          <w:p w14:paraId="1DEF4B8B" w14:textId="77777777" w:rsidR="009C3A0E" w:rsidRDefault="00994197">
            <w:pPr>
              <w:pStyle w:val="cTableBody"/>
              <w:spacing w:before="0"/>
            </w:pPr>
            <w:r>
              <w:t>Fired thermal-fluid heaters and process furnaces</w:t>
            </w:r>
          </w:p>
        </w:tc>
        <w:tc>
          <w:tcPr>
            <w:tcW w:w="1876" w:type="dxa"/>
          </w:tcPr>
          <w:p w14:paraId="0031CB52" w14:textId="77777777" w:rsidR="009C3A0E" w:rsidRDefault="00994197">
            <w:pPr>
              <w:pStyle w:val="cTableBody"/>
              <w:spacing w:before="0"/>
            </w:pPr>
            <w:r>
              <w:t>Very high</w:t>
            </w:r>
          </w:p>
        </w:tc>
      </w:tr>
      <w:tr w:rsidR="009C3A0E" w14:paraId="0143C0A9" w14:textId="77777777" w:rsidTr="009C3A0E">
        <w:trPr>
          <w:cantSplit/>
        </w:trPr>
        <w:tc>
          <w:tcPr>
            <w:tcW w:w="722" w:type="dxa"/>
          </w:tcPr>
          <w:p w14:paraId="098A990B" w14:textId="77777777" w:rsidR="009C3A0E" w:rsidRDefault="00994197">
            <w:pPr>
              <w:pStyle w:val="cTableBody"/>
              <w:spacing w:before="0"/>
            </w:pPr>
            <w:r>
              <w:lastRenderedPageBreak/>
              <w:t>17</w:t>
            </w:r>
          </w:p>
        </w:tc>
        <w:tc>
          <w:tcPr>
            <w:tcW w:w="3031" w:type="dxa"/>
          </w:tcPr>
          <w:p w14:paraId="251DE098" w14:textId="77777777" w:rsidR="009C3A0E" w:rsidRDefault="00994197">
            <w:pPr>
              <w:pStyle w:val="cTableBody"/>
              <w:spacing w:before="0"/>
            </w:pPr>
            <w:r>
              <w:t>Petroleum crude/vacuum distillation heat platform</w:t>
            </w:r>
          </w:p>
        </w:tc>
        <w:tc>
          <w:tcPr>
            <w:tcW w:w="1113" w:type="dxa"/>
          </w:tcPr>
          <w:p w14:paraId="063DE997" w14:textId="77777777" w:rsidR="009C3A0E" w:rsidRDefault="00994197">
            <w:pPr>
              <w:pStyle w:val="cTableBody"/>
              <w:spacing w:before="0"/>
            </w:pPr>
            <w:r>
              <w:t>250–400°C</w:t>
            </w:r>
          </w:p>
        </w:tc>
        <w:tc>
          <w:tcPr>
            <w:tcW w:w="1599" w:type="dxa"/>
          </w:tcPr>
          <w:p w14:paraId="1036FEA8" w14:textId="77777777" w:rsidR="009C3A0E" w:rsidRDefault="00994197">
            <w:pPr>
              <w:pStyle w:val="cTableBody"/>
              <w:spacing w:before="0"/>
            </w:pPr>
            <w:r>
              <w:t>HTR-PM + electric topping</w:t>
            </w:r>
          </w:p>
        </w:tc>
        <w:tc>
          <w:tcPr>
            <w:tcW w:w="2016" w:type="dxa"/>
          </w:tcPr>
          <w:p w14:paraId="28D41A5F" w14:textId="77777777" w:rsidR="009C3A0E" w:rsidRDefault="00994197">
            <w:pPr>
              <w:pStyle w:val="cTableBody"/>
              <w:spacing w:before="0"/>
            </w:pPr>
            <w:r>
              <w:t>Refinery fired heaters</w:t>
            </w:r>
          </w:p>
        </w:tc>
        <w:tc>
          <w:tcPr>
            <w:tcW w:w="1876" w:type="dxa"/>
          </w:tcPr>
          <w:p w14:paraId="6C046FD9" w14:textId="77777777" w:rsidR="009C3A0E" w:rsidRDefault="00994197">
            <w:pPr>
              <w:pStyle w:val="cTableBody"/>
              <w:spacing w:before="0"/>
            </w:pPr>
            <w:r>
              <w:t>Very high, but integration harder</w:t>
            </w:r>
          </w:p>
        </w:tc>
      </w:tr>
      <w:tr w:rsidR="009C3A0E" w14:paraId="14BCF889" w14:textId="77777777" w:rsidTr="009C3A0E">
        <w:trPr>
          <w:cantSplit/>
        </w:trPr>
        <w:tc>
          <w:tcPr>
            <w:tcW w:w="722" w:type="dxa"/>
          </w:tcPr>
          <w:p w14:paraId="1F42CB5E" w14:textId="77777777" w:rsidR="009C3A0E" w:rsidRDefault="00994197">
            <w:pPr>
              <w:pStyle w:val="cTableBody"/>
              <w:spacing w:before="0"/>
            </w:pPr>
            <w:r>
              <w:t>18</w:t>
            </w:r>
          </w:p>
        </w:tc>
        <w:tc>
          <w:tcPr>
            <w:tcW w:w="3031" w:type="dxa"/>
          </w:tcPr>
          <w:p w14:paraId="6080A2EC" w14:textId="77777777" w:rsidR="009C3A0E" w:rsidRDefault="00994197">
            <w:pPr>
              <w:pStyle w:val="cTableBody"/>
              <w:spacing w:before="0"/>
            </w:pPr>
            <w:r>
              <w:t>Ethylene/olefin steam-cracker heating platform</w:t>
            </w:r>
          </w:p>
        </w:tc>
        <w:tc>
          <w:tcPr>
            <w:tcW w:w="1113" w:type="dxa"/>
          </w:tcPr>
          <w:p w14:paraId="41F731E8" w14:textId="77777777" w:rsidR="009C3A0E" w:rsidRDefault="00994197">
            <w:pPr>
              <w:pStyle w:val="cTableBody"/>
              <w:spacing w:before="0"/>
            </w:pPr>
            <w:r>
              <w:t>500–900°C+</w:t>
            </w:r>
          </w:p>
        </w:tc>
        <w:tc>
          <w:tcPr>
            <w:tcW w:w="1599" w:type="dxa"/>
          </w:tcPr>
          <w:p w14:paraId="43425E4F" w14:textId="77777777" w:rsidR="009C3A0E" w:rsidRDefault="00994197">
            <w:pPr>
              <w:pStyle w:val="cTableBody"/>
              <w:spacing w:before="0"/>
            </w:pPr>
            <w:r>
              <w:t>HTR preheat + PWR electric furnace</w:t>
            </w:r>
          </w:p>
        </w:tc>
        <w:tc>
          <w:tcPr>
            <w:tcW w:w="2016" w:type="dxa"/>
          </w:tcPr>
          <w:p w14:paraId="6428CC0C" w14:textId="77777777" w:rsidR="009C3A0E" w:rsidRDefault="00994197">
            <w:pPr>
              <w:pStyle w:val="cTableBody"/>
              <w:spacing w:before="0"/>
            </w:pPr>
            <w:r>
              <w:t>Natural-gas/fuel-gas cracking furnaces</w:t>
            </w:r>
          </w:p>
        </w:tc>
        <w:tc>
          <w:tcPr>
            <w:tcW w:w="1876" w:type="dxa"/>
          </w:tcPr>
          <w:p w14:paraId="0C28CFEA" w14:textId="77777777" w:rsidR="009C3A0E" w:rsidRDefault="00994197">
            <w:pPr>
              <w:pStyle w:val="cTableBody"/>
              <w:spacing w:before="0"/>
            </w:pPr>
            <w:r>
              <w:t>Enormous potential, technically harder</w:t>
            </w:r>
          </w:p>
        </w:tc>
      </w:tr>
      <w:tr w:rsidR="009C3A0E" w14:paraId="12AB3394" w14:textId="77777777" w:rsidTr="009C3A0E">
        <w:trPr>
          <w:cantSplit/>
        </w:trPr>
        <w:tc>
          <w:tcPr>
            <w:tcW w:w="722" w:type="dxa"/>
          </w:tcPr>
          <w:p w14:paraId="30975FE9" w14:textId="77777777" w:rsidR="009C3A0E" w:rsidRDefault="00994197">
            <w:pPr>
              <w:pStyle w:val="cTableBody"/>
              <w:spacing w:before="0"/>
            </w:pPr>
            <w:r>
              <w:t>19</w:t>
            </w:r>
          </w:p>
        </w:tc>
        <w:tc>
          <w:tcPr>
            <w:tcW w:w="3031" w:type="dxa"/>
          </w:tcPr>
          <w:p w14:paraId="3A4733B4" w14:textId="77777777" w:rsidR="009C3A0E" w:rsidRDefault="00994197">
            <w:pPr>
              <w:pStyle w:val="cTableBody"/>
              <w:spacing w:before="0"/>
            </w:pPr>
            <w:r>
              <w:t>Alumina calcination platform</w:t>
            </w:r>
          </w:p>
        </w:tc>
        <w:tc>
          <w:tcPr>
            <w:tcW w:w="1113" w:type="dxa"/>
          </w:tcPr>
          <w:p w14:paraId="589753DC" w14:textId="77777777" w:rsidR="009C3A0E" w:rsidRDefault="00994197">
            <w:pPr>
              <w:pStyle w:val="cTableBody"/>
              <w:spacing w:before="0"/>
            </w:pPr>
            <w:r>
              <w:t>~850–1,100°C</w:t>
            </w:r>
          </w:p>
        </w:tc>
        <w:tc>
          <w:tcPr>
            <w:tcW w:w="1599" w:type="dxa"/>
          </w:tcPr>
          <w:p w14:paraId="40790619" w14:textId="77777777" w:rsidR="009C3A0E" w:rsidRDefault="00994197">
            <w:pPr>
              <w:pStyle w:val="cTableBody"/>
              <w:spacing w:before="0"/>
            </w:pPr>
            <w:r>
              <w:t>HTR preheat + electric topping</w:t>
            </w:r>
          </w:p>
        </w:tc>
        <w:tc>
          <w:tcPr>
            <w:tcW w:w="2016" w:type="dxa"/>
          </w:tcPr>
          <w:p w14:paraId="7DEBCB7D" w14:textId="77777777" w:rsidR="009C3A0E" w:rsidRDefault="00994197">
            <w:pPr>
              <w:pStyle w:val="cTableBody"/>
              <w:spacing w:before="0"/>
            </w:pPr>
            <w:r>
              <w:t>Gas/coal calciner</w:t>
            </w:r>
          </w:p>
        </w:tc>
        <w:tc>
          <w:tcPr>
            <w:tcW w:w="1876" w:type="dxa"/>
          </w:tcPr>
          <w:p w14:paraId="59EA7584" w14:textId="77777777" w:rsidR="009C3A0E" w:rsidRDefault="00994197">
            <w:pPr>
              <w:pStyle w:val="cTableBody"/>
              <w:spacing w:before="0"/>
            </w:pPr>
            <w:r>
              <w:t>High</w:t>
            </w:r>
          </w:p>
        </w:tc>
      </w:tr>
      <w:tr w:rsidR="009C3A0E" w14:paraId="363465BA" w14:textId="77777777" w:rsidTr="009C3A0E">
        <w:trPr>
          <w:cantSplit/>
        </w:trPr>
        <w:tc>
          <w:tcPr>
            <w:tcW w:w="722" w:type="dxa"/>
          </w:tcPr>
          <w:p w14:paraId="4CE67A73" w14:textId="77777777" w:rsidR="009C3A0E" w:rsidRDefault="00994197">
            <w:pPr>
              <w:pStyle w:val="cTableBody"/>
              <w:spacing w:before="0"/>
            </w:pPr>
            <w:r>
              <w:t>20</w:t>
            </w:r>
          </w:p>
        </w:tc>
        <w:tc>
          <w:tcPr>
            <w:tcW w:w="3031" w:type="dxa"/>
          </w:tcPr>
          <w:p w14:paraId="40F464C5" w14:textId="77777777" w:rsidR="009C3A0E" w:rsidRDefault="00994197">
            <w:pPr>
              <w:pStyle w:val="cTableBody"/>
              <w:spacing w:before="0"/>
            </w:pPr>
            <w:r>
              <w:t>Steel reheating/forging furnace platform</w:t>
            </w:r>
          </w:p>
        </w:tc>
        <w:tc>
          <w:tcPr>
            <w:tcW w:w="1113" w:type="dxa"/>
          </w:tcPr>
          <w:p w14:paraId="7ACAAEFB" w14:textId="77777777" w:rsidR="009C3A0E" w:rsidRDefault="00994197">
            <w:pPr>
              <w:pStyle w:val="cTableBody"/>
              <w:spacing w:before="0"/>
            </w:pPr>
            <w:r>
              <w:t>800–1,250°C</w:t>
            </w:r>
          </w:p>
        </w:tc>
        <w:tc>
          <w:tcPr>
            <w:tcW w:w="1599" w:type="dxa"/>
          </w:tcPr>
          <w:p w14:paraId="4CA7D615" w14:textId="77777777" w:rsidR="009C3A0E" w:rsidRDefault="00994197">
            <w:pPr>
              <w:pStyle w:val="cTableBody"/>
              <w:spacing w:before="0"/>
            </w:pPr>
            <w:r>
              <w:t>HTR preheat + electric/induction</w:t>
            </w:r>
          </w:p>
        </w:tc>
        <w:tc>
          <w:tcPr>
            <w:tcW w:w="2016" w:type="dxa"/>
          </w:tcPr>
          <w:p w14:paraId="5DCCCA0E" w14:textId="77777777" w:rsidR="009C3A0E" w:rsidRDefault="00994197">
            <w:pPr>
              <w:pStyle w:val="cTableBody"/>
              <w:spacing w:before="0"/>
            </w:pPr>
            <w:r>
              <w:t>Gas/coal reheating furnaces</w:t>
            </w:r>
          </w:p>
        </w:tc>
        <w:tc>
          <w:tcPr>
            <w:tcW w:w="1876" w:type="dxa"/>
          </w:tcPr>
          <w:p w14:paraId="1470608B" w14:textId="77777777" w:rsidR="009C3A0E" w:rsidRDefault="00994197">
            <w:pPr>
              <w:pStyle w:val="cTableBody"/>
              <w:spacing w:before="0"/>
            </w:pPr>
            <w:r>
              <w:t>Very high</w:t>
            </w:r>
          </w:p>
        </w:tc>
      </w:tr>
      <w:tr w:rsidR="009C3A0E" w14:paraId="09FC4838" w14:textId="77777777" w:rsidTr="009C3A0E">
        <w:trPr>
          <w:cantSplit/>
        </w:trPr>
        <w:tc>
          <w:tcPr>
            <w:tcW w:w="722" w:type="dxa"/>
          </w:tcPr>
          <w:p w14:paraId="132F5103" w14:textId="77777777" w:rsidR="009C3A0E" w:rsidRDefault="00994197">
            <w:pPr>
              <w:pStyle w:val="cTableBody"/>
              <w:spacing w:before="0"/>
            </w:pPr>
            <w:r>
              <w:t>21</w:t>
            </w:r>
          </w:p>
        </w:tc>
        <w:tc>
          <w:tcPr>
            <w:tcW w:w="3031" w:type="dxa"/>
          </w:tcPr>
          <w:p w14:paraId="19439BA9" w14:textId="77777777" w:rsidR="009C3A0E" w:rsidRDefault="00994197">
            <w:pPr>
              <w:pStyle w:val="cTableBody"/>
              <w:spacing w:before="0"/>
            </w:pPr>
            <w:r>
              <w:t>Steel annealing/heat-treatment platform</w:t>
            </w:r>
          </w:p>
        </w:tc>
        <w:tc>
          <w:tcPr>
            <w:tcW w:w="1113" w:type="dxa"/>
          </w:tcPr>
          <w:p w14:paraId="51B76561" w14:textId="77777777" w:rsidR="009C3A0E" w:rsidRDefault="00994197">
            <w:pPr>
              <w:pStyle w:val="cTableBody"/>
              <w:spacing w:before="0"/>
            </w:pPr>
            <w:r>
              <w:t>500–1,000°C</w:t>
            </w:r>
          </w:p>
        </w:tc>
        <w:tc>
          <w:tcPr>
            <w:tcW w:w="1599" w:type="dxa"/>
          </w:tcPr>
          <w:p w14:paraId="03B922EB" w14:textId="77777777" w:rsidR="009C3A0E" w:rsidRDefault="00994197">
            <w:pPr>
              <w:pStyle w:val="cTableBody"/>
              <w:spacing w:before="0"/>
            </w:pPr>
            <w:r>
              <w:t>HTR + electric topping</w:t>
            </w:r>
          </w:p>
        </w:tc>
        <w:tc>
          <w:tcPr>
            <w:tcW w:w="2016" w:type="dxa"/>
          </w:tcPr>
          <w:p w14:paraId="707D3B54" w14:textId="77777777" w:rsidR="009C3A0E" w:rsidRDefault="00994197">
            <w:pPr>
              <w:pStyle w:val="cTableBody"/>
              <w:spacing w:before="0"/>
            </w:pPr>
            <w:r>
              <w:t>Gas-fired heat-treatment furnaces</w:t>
            </w:r>
          </w:p>
        </w:tc>
        <w:tc>
          <w:tcPr>
            <w:tcW w:w="1876" w:type="dxa"/>
          </w:tcPr>
          <w:p w14:paraId="0F59FAEE" w14:textId="77777777" w:rsidR="009C3A0E" w:rsidRDefault="00994197">
            <w:pPr>
              <w:pStyle w:val="cTableBody"/>
              <w:spacing w:before="0"/>
            </w:pPr>
            <w:r>
              <w:t>High</w:t>
            </w:r>
          </w:p>
        </w:tc>
      </w:tr>
      <w:tr w:rsidR="009C3A0E" w14:paraId="54887138" w14:textId="77777777" w:rsidTr="009C3A0E">
        <w:trPr>
          <w:cantSplit/>
        </w:trPr>
        <w:tc>
          <w:tcPr>
            <w:tcW w:w="722" w:type="dxa"/>
          </w:tcPr>
          <w:p w14:paraId="2E6B31F6" w14:textId="77777777" w:rsidR="009C3A0E" w:rsidRDefault="00994197">
            <w:pPr>
              <w:pStyle w:val="cTableBody"/>
              <w:spacing w:before="0"/>
            </w:pPr>
            <w:r>
              <w:t>22</w:t>
            </w:r>
          </w:p>
        </w:tc>
        <w:tc>
          <w:tcPr>
            <w:tcW w:w="3031" w:type="dxa"/>
          </w:tcPr>
          <w:p w14:paraId="616864E2" w14:textId="77777777" w:rsidR="009C3A0E" w:rsidRDefault="00994197">
            <w:pPr>
              <w:pStyle w:val="cTableBody"/>
              <w:spacing w:before="0"/>
            </w:pPr>
            <w:r>
              <w:t>Glass-melting platform</w:t>
            </w:r>
          </w:p>
        </w:tc>
        <w:tc>
          <w:tcPr>
            <w:tcW w:w="1113" w:type="dxa"/>
          </w:tcPr>
          <w:p w14:paraId="7CF32CFB" w14:textId="77777777" w:rsidR="009C3A0E" w:rsidRDefault="00994197">
            <w:pPr>
              <w:pStyle w:val="cTableBody"/>
              <w:spacing w:before="0"/>
            </w:pPr>
            <w:r>
              <w:t>~1,200–1,600°C</w:t>
            </w:r>
          </w:p>
        </w:tc>
        <w:tc>
          <w:tcPr>
            <w:tcW w:w="1599" w:type="dxa"/>
          </w:tcPr>
          <w:p w14:paraId="18119531" w14:textId="77777777" w:rsidR="009C3A0E" w:rsidRDefault="00994197">
            <w:pPr>
              <w:pStyle w:val="cTableBody"/>
              <w:spacing w:before="0"/>
            </w:pPr>
            <w:r>
              <w:t>HTR preheat + electric melting</w:t>
            </w:r>
          </w:p>
        </w:tc>
        <w:tc>
          <w:tcPr>
            <w:tcW w:w="2016" w:type="dxa"/>
          </w:tcPr>
          <w:p w14:paraId="759543F3" w14:textId="77777777" w:rsidR="009C3A0E" w:rsidRDefault="00994197">
            <w:pPr>
              <w:pStyle w:val="cTableBody"/>
              <w:spacing w:before="0"/>
            </w:pPr>
            <w:r>
              <w:t>Gas/oil glass furnaces</w:t>
            </w:r>
          </w:p>
        </w:tc>
        <w:tc>
          <w:tcPr>
            <w:tcW w:w="1876" w:type="dxa"/>
          </w:tcPr>
          <w:p w14:paraId="7A5CC898" w14:textId="77777777" w:rsidR="009C3A0E" w:rsidRDefault="00994197">
            <w:pPr>
              <w:pStyle w:val="cTableBody"/>
              <w:spacing w:before="0"/>
            </w:pPr>
            <w:r>
              <w:t>High</w:t>
            </w:r>
          </w:p>
        </w:tc>
      </w:tr>
      <w:tr w:rsidR="009C3A0E" w14:paraId="6A137B71" w14:textId="77777777" w:rsidTr="009C3A0E">
        <w:trPr>
          <w:cantSplit/>
        </w:trPr>
        <w:tc>
          <w:tcPr>
            <w:tcW w:w="722" w:type="dxa"/>
          </w:tcPr>
          <w:p w14:paraId="116C50E1" w14:textId="77777777" w:rsidR="009C3A0E" w:rsidRDefault="00994197">
            <w:pPr>
              <w:pStyle w:val="cTableBody"/>
              <w:spacing w:before="0"/>
            </w:pPr>
            <w:r>
              <w:t>23</w:t>
            </w:r>
          </w:p>
        </w:tc>
        <w:tc>
          <w:tcPr>
            <w:tcW w:w="3031" w:type="dxa"/>
          </w:tcPr>
          <w:p w14:paraId="036791EC" w14:textId="77777777" w:rsidR="009C3A0E" w:rsidRDefault="00994197">
            <w:pPr>
              <w:pStyle w:val="cTableBody"/>
              <w:spacing w:before="0"/>
            </w:pPr>
            <w:r>
              <w:t>Brick/ceramic kiln platform</w:t>
            </w:r>
          </w:p>
        </w:tc>
        <w:tc>
          <w:tcPr>
            <w:tcW w:w="1113" w:type="dxa"/>
          </w:tcPr>
          <w:p w14:paraId="3755B778" w14:textId="77777777" w:rsidR="009C3A0E" w:rsidRDefault="00994197">
            <w:pPr>
              <w:pStyle w:val="cTableBody"/>
              <w:spacing w:before="0"/>
            </w:pPr>
            <w:r>
              <w:t>~600–1,300°C</w:t>
            </w:r>
          </w:p>
        </w:tc>
        <w:tc>
          <w:tcPr>
            <w:tcW w:w="1599" w:type="dxa"/>
          </w:tcPr>
          <w:p w14:paraId="6E6C3AED" w14:textId="77777777" w:rsidR="009C3A0E" w:rsidRDefault="00994197">
            <w:pPr>
              <w:pStyle w:val="cTableBody"/>
              <w:spacing w:before="0"/>
            </w:pPr>
            <w:r>
              <w:t>HTR preheat + electric kiln</w:t>
            </w:r>
          </w:p>
        </w:tc>
        <w:tc>
          <w:tcPr>
            <w:tcW w:w="2016" w:type="dxa"/>
          </w:tcPr>
          <w:p w14:paraId="491D891D" w14:textId="77777777" w:rsidR="009C3A0E" w:rsidRDefault="00994197">
            <w:pPr>
              <w:pStyle w:val="cTableBody"/>
              <w:spacing w:before="0"/>
            </w:pPr>
            <w:r>
              <w:t>Coal/gas kilns</w:t>
            </w:r>
          </w:p>
        </w:tc>
        <w:tc>
          <w:tcPr>
            <w:tcW w:w="1876" w:type="dxa"/>
          </w:tcPr>
          <w:p w14:paraId="0D21F07C" w14:textId="77777777" w:rsidR="009C3A0E" w:rsidRDefault="00994197">
            <w:pPr>
              <w:pStyle w:val="cTableBody"/>
              <w:spacing w:before="0"/>
            </w:pPr>
            <w:r>
              <w:t>High</w:t>
            </w:r>
          </w:p>
        </w:tc>
      </w:tr>
      <w:tr w:rsidR="009C3A0E" w14:paraId="3820A245" w14:textId="77777777" w:rsidTr="009C3A0E">
        <w:trPr>
          <w:cantSplit/>
        </w:trPr>
        <w:tc>
          <w:tcPr>
            <w:tcW w:w="722" w:type="dxa"/>
          </w:tcPr>
          <w:p w14:paraId="08739950" w14:textId="77777777" w:rsidR="009C3A0E" w:rsidRDefault="00994197">
            <w:pPr>
              <w:pStyle w:val="cTableBody"/>
              <w:spacing w:before="0"/>
            </w:pPr>
            <w:r>
              <w:t>24</w:t>
            </w:r>
          </w:p>
        </w:tc>
        <w:tc>
          <w:tcPr>
            <w:tcW w:w="3031" w:type="dxa"/>
          </w:tcPr>
          <w:p w14:paraId="55CD3DD2" w14:textId="77777777" w:rsidR="009C3A0E" w:rsidRDefault="00994197">
            <w:pPr>
              <w:pStyle w:val="cTableBody"/>
              <w:spacing w:before="0"/>
            </w:pPr>
            <w:r>
              <w:t>Lime/cement calcination-heating platform</w:t>
            </w:r>
          </w:p>
        </w:tc>
        <w:tc>
          <w:tcPr>
            <w:tcW w:w="1113" w:type="dxa"/>
          </w:tcPr>
          <w:p w14:paraId="3DC97E20" w14:textId="77777777" w:rsidR="009C3A0E" w:rsidRDefault="00994197">
            <w:pPr>
              <w:pStyle w:val="cTableBody"/>
              <w:spacing w:before="0"/>
            </w:pPr>
            <w:r>
              <w:t>~850–1,450°C</w:t>
            </w:r>
          </w:p>
        </w:tc>
        <w:tc>
          <w:tcPr>
            <w:tcW w:w="1599" w:type="dxa"/>
          </w:tcPr>
          <w:p w14:paraId="75F86D7C" w14:textId="77777777" w:rsidR="009C3A0E" w:rsidRDefault="00994197">
            <w:pPr>
              <w:pStyle w:val="cTableBody"/>
              <w:spacing w:before="0"/>
            </w:pPr>
            <w:r>
              <w:t>HTR preheat + electric heating</w:t>
            </w:r>
          </w:p>
        </w:tc>
        <w:tc>
          <w:tcPr>
            <w:tcW w:w="2016" w:type="dxa"/>
          </w:tcPr>
          <w:p w14:paraId="568D2269" w14:textId="77777777" w:rsidR="009C3A0E" w:rsidRDefault="00994197">
            <w:pPr>
              <w:pStyle w:val="cTableBody"/>
              <w:spacing w:before="0"/>
            </w:pPr>
            <w:r>
              <w:t>Coal/petcoke/gas kiln heat</w:t>
            </w:r>
          </w:p>
        </w:tc>
        <w:tc>
          <w:tcPr>
            <w:tcW w:w="1876" w:type="dxa"/>
          </w:tcPr>
          <w:p w14:paraId="7F6DF36D" w14:textId="77777777" w:rsidR="009C3A0E" w:rsidRDefault="00994197">
            <w:pPr>
              <w:pStyle w:val="cTableBody"/>
              <w:spacing w:before="0"/>
            </w:pPr>
            <w:r>
              <w:t>Enormous, but doesn't eliminate process CO₂</w:t>
            </w:r>
          </w:p>
        </w:tc>
      </w:tr>
      <w:tr w:rsidR="009C3A0E" w14:paraId="2B44ECD0" w14:textId="77777777" w:rsidTr="009C3A0E">
        <w:trPr>
          <w:cantSplit/>
        </w:trPr>
        <w:tc>
          <w:tcPr>
            <w:tcW w:w="722" w:type="dxa"/>
          </w:tcPr>
          <w:p w14:paraId="56FE0CB4" w14:textId="77777777" w:rsidR="009C3A0E" w:rsidRDefault="00994197">
            <w:pPr>
              <w:pStyle w:val="cTableBody"/>
              <w:spacing w:before="0"/>
            </w:pPr>
            <w:r>
              <w:t>25</w:t>
            </w:r>
          </w:p>
        </w:tc>
        <w:tc>
          <w:tcPr>
            <w:tcW w:w="3031" w:type="dxa"/>
          </w:tcPr>
          <w:p w14:paraId="6B3A34D9" w14:textId="77777777" w:rsidR="009C3A0E" w:rsidRDefault="00994197">
            <w:pPr>
              <w:pStyle w:val="cTableBody"/>
              <w:spacing w:before="0"/>
            </w:pPr>
            <w:r>
              <w:t>Mineral drying/roasting/calcining platform</w:t>
            </w:r>
          </w:p>
        </w:tc>
        <w:tc>
          <w:tcPr>
            <w:tcW w:w="1113" w:type="dxa"/>
          </w:tcPr>
          <w:p w14:paraId="330A5268" w14:textId="77777777" w:rsidR="009C3A0E" w:rsidRDefault="00994197">
            <w:pPr>
              <w:pStyle w:val="cTableBody"/>
              <w:spacing w:before="0"/>
            </w:pPr>
            <w:r>
              <w:t>~200–1,000°C</w:t>
            </w:r>
          </w:p>
        </w:tc>
        <w:tc>
          <w:tcPr>
            <w:tcW w:w="1599" w:type="dxa"/>
          </w:tcPr>
          <w:p w14:paraId="2E083713" w14:textId="77777777" w:rsidR="009C3A0E" w:rsidRDefault="00994197">
            <w:pPr>
              <w:pStyle w:val="cTableBody"/>
              <w:spacing w:before="0"/>
            </w:pPr>
            <w:r>
              <w:t>PWR/HTR + electric topping</w:t>
            </w:r>
          </w:p>
        </w:tc>
        <w:tc>
          <w:tcPr>
            <w:tcW w:w="2016" w:type="dxa"/>
          </w:tcPr>
          <w:p w14:paraId="0C359ED6" w14:textId="77777777" w:rsidR="009C3A0E" w:rsidRDefault="00994197">
            <w:pPr>
              <w:pStyle w:val="cTableBody"/>
              <w:spacing w:before="0"/>
            </w:pPr>
            <w:r>
              <w:t>Coal/gas mineral furnaces</w:t>
            </w:r>
          </w:p>
        </w:tc>
        <w:tc>
          <w:tcPr>
            <w:tcW w:w="1876" w:type="dxa"/>
          </w:tcPr>
          <w:p w14:paraId="001B1D6F" w14:textId="77777777" w:rsidR="009C3A0E" w:rsidRDefault="00994197">
            <w:pPr>
              <w:pStyle w:val="cTableBody"/>
              <w:spacing w:before="0"/>
            </w:pPr>
            <w:r>
              <w:t>High and broadly reusable</w:t>
            </w:r>
          </w:p>
        </w:tc>
      </w:tr>
      <w:tr w:rsidR="009C3A0E" w14:paraId="07498616" w14:textId="77777777" w:rsidTr="009C3A0E">
        <w:trPr>
          <w:cantSplit/>
        </w:trPr>
        <w:tc>
          <w:tcPr>
            <w:tcW w:w="722" w:type="dxa"/>
          </w:tcPr>
          <w:p w14:paraId="0E3DB7F7" w14:textId="77777777" w:rsidR="009C3A0E" w:rsidRDefault="00994197">
            <w:pPr>
              <w:pStyle w:val="cTableBody"/>
              <w:spacing w:before="0"/>
            </w:pPr>
            <w:r>
              <w:t>26</w:t>
            </w:r>
          </w:p>
        </w:tc>
        <w:tc>
          <w:tcPr>
            <w:tcW w:w="3031" w:type="dxa"/>
          </w:tcPr>
          <w:p w14:paraId="70C73CC5" w14:textId="77777777" w:rsidR="009C3A0E" w:rsidRDefault="00994197">
            <w:pPr>
              <w:pStyle w:val="cTableBody"/>
              <w:spacing w:before="0"/>
            </w:pPr>
            <w:r>
              <w:t>Direct-air-capture air-contactor + solid-sorbent regeneration platform</w:t>
            </w:r>
          </w:p>
        </w:tc>
        <w:tc>
          <w:tcPr>
            <w:tcW w:w="1113" w:type="dxa"/>
          </w:tcPr>
          <w:p w14:paraId="26733AB1" w14:textId="77777777" w:rsidR="009C3A0E" w:rsidRDefault="00994197">
            <w:pPr>
              <w:pStyle w:val="cTableBody"/>
              <w:spacing w:before="0"/>
            </w:pPr>
            <w:r>
              <w:t>80–120°C</w:t>
            </w:r>
          </w:p>
        </w:tc>
        <w:tc>
          <w:tcPr>
            <w:tcW w:w="1599" w:type="dxa"/>
          </w:tcPr>
          <w:p w14:paraId="2D9F6C26" w14:textId="77777777" w:rsidR="009C3A0E" w:rsidRDefault="00994197">
            <w:pPr>
              <w:pStyle w:val="cTableBody"/>
              <w:spacing w:before="0"/>
            </w:pPr>
            <w:r>
              <w:t>PWR heat + electricity preferred; HTR-PM possible</w:t>
            </w:r>
          </w:p>
        </w:tc>
        <w:tc>
          <w:tcPr>
            <w:tcW w:w="2016" w:type="dxa"/>
          </w:tcPr>
          <w:p w14:paraId="5804AB18" w14:textId="77777777" w:rsidR="009C3A0E" w:rsidRDefault="00994197">
            <w:pPr>
              <w:pStyle w:val="cTableBody"/>
              <w:spacing w:before="0"/>
            </w:pPr>
            <w:r>
              <w:t>Removes atmospheric CO₂ directly; requires durable storage</w:t>
            </w:r>
          </w:p>
        </w:tc>
        <w:tc>
          <w:tcPr>
            <w:tcW w:w="1876" w:type="dxa"/>
          </w:tcPr>
          <w:p w14:paraId="4624A7E3" w14:textId="77777777" w:rsidR="009C3A0E" w:rsidRDefault="00994197">
            <w:pPr>
              <w:pStyle w:val="cTableBody"/>
              <w:spacing w:before="0"/>
            </w:pPr>
            <w:r>
              <w:t>Extremely high if cost/MRV targets are met</w:t>
            </w:r>
          </w:p>
        </w:tc>
      </w:tr>
      <w:tr w:rsidR="009C3A0E" w14:paraId="2DB5771D" w14:textId="77777777" w:rsidTr="009C3A0E">
        <w:trPr>
          <w:cantSplit/>
        </w:trPr>
        <w:tc>
          <w:tcPr>
            <w:tcW w:w="722" w:type="dxa"/>
          </w:tcPr>
          <w:p w14:paraId="2AA9AC92" w14:textId="77777777" w:rsidR="009C3A0E" w:rsidRDefault="00994197">
            <w:pPr>
              <w:pStyle w:val="cTableBody"/>
              <w:spacing w:before="0"/>
            </w:pPr>
            <w:r>
              <w:t>27</w:t>
            </w:r>
          </w:p>
        </w:tc>
        <w:tc>
          <w:tcPr>
            <w:tcW w:w="3031" w:type="dxa"/>
          </w:tcPr>
          <w:p w14:paraId="4A4E27D1" w14:textId="77777777" w:rsidR="009C3A0E" w:rsidRDefault="00994197">
            <w:pPr>
              <w:pStyle w:val="cTableBody"/>
              <w:spacing w:before="0"/>
            </w:pPr>
            <w:r>
              <w:t>DAC CO₂ dehydration, compression and storage-interface platform</w:t>
            </w:r>
          </w:p>
        </w:tc>
        <w:tc>
          <w:tcPr>
            <w:tcW w:w="1113" w:type="dxa"/>
          </w:tcPr>
          <w:p w14:paraId="335A6168" w14:textId="77777777" w:rsidR="009C3A0E" w:rsidRDefault="00994197">
            <w:pPr>
              <w:pStyle w:val="cTableBody"/>
              <w:spacing w:before="0"/>
            </w:pPr>
            <w:r>
              <w:t>Ambient / low-temp</w:t>
            </w:r>
          </w:p>
        </w:tc>
        <w:tc>
          <w:tcPr>
            <w:tcW w:w="1599" w:type="dxa"/>
          </w:tcPr>
          <w:p w14:paraId="2D579C83" w14:textId="77777777" w:rsidR="009C3A0E" w:rsidRDefault="00994197">
            <w:pPr>
              <w:pStyle w:val="cTableBody"/>
              <w:spacing w:before="0"/>
            </w:pPr>
            <w:r>
              <w:t>PWR electricity preferred</w:t>
            </w:r>
          </w:p>
        </w:tc>
        <w:tc>
          <w:tcPr>
            <w:tcW w:w="2016" w:type="dxa"/>
          </w:tcPr>
          <w:p w14:paraId="151C1D3E" w14:textId="77777777" w:rsidR="009C3A0E" w:rsidRDefault="00994197">
            <w:pPr>
              <w:pStyle w:val="cTableBody"/>
              <w:spacing w:before="0"/>
            </w:pPr>
            <w:r>
              <w:t>Conditions captured CO₂ for pipeline, ship or geologic storage</w:t>
            </w:r>
          </w:p>
        </w:tc>
        <w:tc>
          <w:tcPr>
            <w:tcW w:w="1876" w:type="dxa"/>
          </w:tcPr>
          <w:p w14:paraId="729A8A38" w14:textId="77777777" w:rsidR="009C3A0E" w:rsidRDefault="00994197">
            <w:pPr>
              <w:pStyle w:val="cTableBody"/>
              <w:spacing w:before="0"/>
            </w:pPr>
            <w:r>
              <w:t>Essential companion to DAC</w:t>
            </w:r>
          </w:p>
        </w:tc>
      </w:tr>
      <w:tr w:rsidR="009C3A0E" w14:paraId="64D104E2" w14:textId="77777777" w:rsidTr="009C3A0E">
        <w:trPr>
          <w:cantSplit/>
        </w:trPr>
        <w:tc>
          <w:tcPr>
            <w:tcW w:w="722" w:type="dxa"/>
          </w:tcPr>
          <w:p w14:paraId="25A75540" w14:textId="77777777" w:rsidR="009C3A0E" w:rsidRDefault="00994197">
            <w:pPr>
              <w:pStyle w:val="cTableBody"/>
              <w:spacing w:before="0"/>
            </w:pPr>
            <w:r>
              <w:t>28</w:t>
            </w:r>
          </w:p>
        </w:tc>
        <w:tc>
          <w:tcPr>
            <w:tcW w:w="3031" w:type="dxa"/>
          </w:tcPr>
          <w:p w14:paraId="1F7E3731" w14:textId="77777777" w:rsidR="009C3A0E" w:rsidRDefault="00994197">
            <w:pPr>
              <w:pStyle w:val="cTableBody"/>
              <w:spacing w:before="0"/>
            </w:pPr>
            <w:r>
              <w:t>HTSE/SOEC hydrogen-production platform</w:t>
            </w:r>
          </w:p>
        </w:tc>
        <w:tc>
          <w:tcPr>
            <w:tcW w:w="1113" w:type="dxa"/>
          </w:tcPr>
          <w:p w14:paraId="48181C75" w14:textId="77777777" w:rsidR="009C3A0E" w:rsidRDefault="00994197">
            <w:pPr>
              <w:pStyle w:val="cTableBody"/>
              <w:spacing w:before="0"/>
            </w:pPr>
            <w:r>
              <w:t>High-T electrolysis</w:t>
            </w:r>
          </w:p>
        </w:tc>
        <w:tc>
          <w:tcPr>
            <w:tcW w:w="1599" w:type="dxa"/>
          </w:tcPr>
          <w:p w14:paraId="60087D2F" w14:textId="77777777" w:rsidR="009C3A0E" w:rsidRDefault="00994197">
            <w:pPr>
              <w:pStyle w:val="cTableBody"/>
              <w:spacing w:before="0"/>
            </w:pPr>
            <w:r>
              <w:t>PWR/HTR steam + nuclear electricity</w:t>
            </w:r>
          </w:p>
        </w:tc>
        <w:tc>
          <w:tcPr>
            <w:tcW w:w="2016" w:type="dxa"/>
          </w:tcPr>
          <w:p w14:paraId="40B75542" w14:textId="77777777" w:rsidR="009C3A0E" w:rsidRDefault="00994197">
            <w:pPr>
              <w:pStyle w:val="cTableBody"/>
              <w:spacing w:before="0"/>
            </w:pPr>
            <w:r>
              <w:t>Replaces fossil H₂ used in conventional ammonia and chemicals</w:t>
            </w:r>
          </w:p>
        </w:tc>
        <w:tc>
          <w:tcPr>
            <w:tcW w:w="1876" w:type="dxa"/>
          </w:tcPr>
          <w:p w14:paraId="544E8F01" w14:textId="77777777" w:rsidR="009C3A0E" w:rsidRDefault="00994197">
            <w:pPr>
              <w:pStyle w:val="cTableBody"/>
              <w:spacing w:before="0"/>
            </w:pPr>
            <w:r>
              <w:t>Extremely high for green-ammonia chain</w:t>
            </w:r>
          </w:p>
        </w:tc>
      </w:tr>
      <w:tr w:rsidR="009C3A0E" w14:paraId="28DDE049" w14:textId="77777777" w:rsidTr="009C3A0E">
        <w:trPr>
          <w:cantSplit/>
        </w:trPr>
        <w:tc>
          <w:tcPr>
            <w:tcW w:w="722" w:type="dxa"/>
          </w:tcPr>
          <w:p w14:paraId="41B5450B" w14:textId="77777777" w:rsidR="009C3A0E" w:rsidRDefault="00994197">
            <w:pPr>
              <w:pStyle w:val="cTableBody"/>
              <w:spacing w:before="0"/>
            </w:pPr>
            <w:r>
              <w:t>29</w:t>
            </w:r>
          </w:p>
        </w:tc>
        <w:tc>
          <w:tcPr>
            <w:tcW w:w="3031" w:type="dxa"/>
          </w:tcPr>
          <w:p w14:paraId="622682E6" w14:textId="77777777" w:rsidR="009C3A0E" w:rsidRDefault="00994197">
            <w:pPr>
              <w:pStyle w:val="cTableBody"/>
              <w:spacing w:before="0"/>
            </w:pPr>
            <w:r>
              <w:t>Air-separation / nitrogen-production platform</w:t>
            </w:r>
          </w:p>
        </w:tc>
        <w:tc>
          <w:tcPr>
            <w:tcW w:w="1113" w:type="dxa"/>
          </w:tcPr>
          <w:p w14:paraId="7A788B77" w14:textId="77777777" w:rsidR="009C3A0E" w:rsidRDefault="00994197">
            <w:pPr>
              <w:pStyle w:val="cTableBody"/>
              <w:spacing w:before="0"/>
            </w:pPr>
            <w:r>
              <w:t>Near ambient</w:t>
            </w:r>
          </w:p>
        </w:tc>
        <w:tc>
          <w:tcPr>
            <w:tcW w:w="1599" w:type="dxa"/>
          </w:tcPr>
          <w:p w14:paraId="7D8B533B" w14:textId="77777777" w:rsidR="009C3A0E" w:rsidRDefault="00994197">
            <w:pPr>
              <w:pStyle w:val="cTableBody"/>
              <w:spacing w:before="0"/>
            </w:pPr>
            <w:r>
              <w:t>PWR electricity</w:t>
            </w:r>
          </w:p>
        </w:tc>
        <w:tc>
          <w:tcPr>
            <w:tcW w:w="2016" w:type="dxa"/>
          </w:tcPr>
          <w:p w14:paraId="6504FA23" w14:textId="77777777" w:rsidR="009C3A0E" w:rsidRDefault="00994197">
            <w:pPr>
              <w:pStyle w:val="cTableBody"/>
              <w:spacing w:before="0"/>
            </w:pPr>
            <w:r>
              <w:t>Supplies N₂ for ammonia without fossil-powered auxiliary electricity</w:t>
            </w:r>
          </w:p>
        </w:tc>
        <w:tc>
          <w:tcPr>
            <w:tcW w:w="1876" w:type="dxa"/>
          </w:tcPr>
          <w:p w14:paraId="0AFD0CBA" w14:textId="77777777" w:rsidR="009C3A0E" w:rsidRDefault="00994197">
            <w:pPr>
              <w:pStyle w:val="cTableBody"/>
              <w:spacing w:before="0"/>
            </w:pPr>
            <w:r>
              <w:t>High / enabling</w:t>
            </w:r>
          </w:p>
        </w:tc>
      </w:tr>
      <w:tr w:rsidR="009C3A0E" w14:paraId="6325BBD1" w14:textId="77777777" w:rsidTr="009C3A0E">
        <w:trPr>
          <w:cantSplit/>
        </w:trPr>
        <w:tc>
          <w:tcPr>
            <w:tcW w:w="722" w:type="dxa"/>
          </w:tcPr>
          <w:p w14:paraId="62F22A82" w14:textId="77777777" w:rsidR="009C3A0E" w:rsidRDefault="00994197">
            <w:pPr>
              <w:pStyle w:val="cTableBody"/>
              <w:spacing w:before="0"/>
            </w:pPr>
            <w:r>
              <w:lastRenderedPageBreak/>
              <w:t>30</w:t>
            </w:r>
          </w:p>
        </w:tc>
        <w:tc>
          <w:tcPr>
            <w:tcW w:w="3031" w:type="dxa"/>
          </w:tcPr>
          <w:p w14:paraId="7F559CD5" w14:textId="77777777" w:rsidR="009C3A0E" w:rsidRDefault="00994197">
            <w:pPr>
              <w:pStyle w:val="cTableBody"/>
              <w:spacing w:before="0"/>
            </w:pPr>
            <w:r>
              <w:t>Haber-Bosch ammonia synthesis, recycle and heat-recovery platform</w:t>
            </w:r>
          </w:p>
        </w:tc>
        <w:tc>
          <w:tcPr>
            <w:tcW w:w="1113" w:type="dxa"/>
          </w:tcPr>
          <w:p w14:paraId="126E8EE5" w14:textId="77777777" w:rsidR="009C3A0E" w:rsidRDefault="00994197">
            <w:pPr>
              <w:pStyle w:val="cTableBody"/>
              <w:spacing w:before="0"/>
            </w:pPr>
            <w:r>
              <w:t>350–500°C</w:t>
            </w:r>
          </w:p>
        </w:tc>
        <w:tc>
          <w:tcPr>
            <w:tcW w:w="1599" w:type="dxa"/>
          </w:tcPr>
          <w:p w14:paraId="366C8FE1" w14:textId="77777777" w:rsidR="009C3A0E" w:rsidRDefault="00994197">
            <w:pPr>
              <w:pStyle w:val="cTableBody"/>
              <w:spacing w:before="0"/>
            </w:pPr>
            <w:r>
              <w:t>Nuclear H₂ + electricity; PWR/HTR heat integration</w:t>
            </w:r>
          </w:p>
        </w:tc>
        <w:tc>
          <w:tcPr>
            <w:tcW w:w="2016" w:type="dxa"/>
          </w:tcPr>
          <w:p w14:paraId="7DD8766A" w14:textId="77777777" w:rsidR="009C3A0E" w:rsidRDefault="00994197">
            <w:pPr>
              <w:pStyle w:val="cTableBody"/>
              <w:spacing w:before="0"/>
            </w:pPr>
            <w:r>
              <w:t>Replaces conventional fossil-hydrogen ammonia production</w:t>
            </w:r>
          </w:p>
        </w:tc>
        <w:tc>
          <w:tcPr>
            <w:tcW w:w="1876" w:type="dxa"/>
          </w:tcPr>
          <w:p w14:paraId="7443ABE1" w14:textId="77777777" w:rsidR="009C3A0E" w:rsidRDefault="00994197">
            <w:pPr>
              <w:pStyle w:val="cTableBody"/>
              <w:spacing w:before="0"/>
            </w:pPr>
            <w:r>
              <w:t>Extremely high with green H₂</w:t>
            </w:r>
          </w:p>
        </w:tc>
      </w:tr>
      <w:tr w:rsidR="009C3A0E" w14:paraId="11C9682B" w14:textId="77777777" w:rsidTr="009C3A0E">
        <w:trPr>
          <w:cantSplit/>
        </w:trPr>
        <w:tc>
          <w:tcPr>
            <w:tcW w:w="722" w:type="dxa"/>
          </w:tcPr>
          <w:p w14:paraId="39A31C1D" w14:textId="77777777" w:rsidR="009C3A0E" w:rsidRDefault="00994197">
            <w:pPr>
              <w:pStyle w:val="cTableBody"/>
              <w:spacing w:before="0"/>
            </w:pPr>
            <w:r>
              <w:t>31</w:t>
            </w:r>
          </w:p>
        </w:tc>
        <w:tc>
          <w:tcPr>
            <w:tcW w:w="3031" w:type="dxa"/>
          </w:tcPr>
          <w:p w14:paraId="417A608C" w14:textId="77777777" w:rsidR="009C3A0E" w:rsidRDefault="00994197">
            <w:pPr>
              <w:pStyle w:val="cTableBody"/>
              <w:spacing w:before="0"/>
            </w:pPr>
            <w:r>
              <w:t>Ammonia refrigeration, storage and loading platform</w:t>
            </w:r>
          </w:p>
        </w:tc>
        <w:tc>
          <w:tcPr>
            <w:tcW w:w="1113" w:type="dxa"/>
          </w:tcPr>
          <w:p w14:paraId="0ED6B6CD" w14:textId="77777777" w:rsidR="009C3A0E" w:rsidRDefault="00994197">
            <w:pPr>
              <w:pStyle w:val="cTableBody"/>
              <w:spacing w:before="0"/>
            </w:pPr>
            <w:r>
              <w:t>Low-temp / ambient</w:t>
            </w:r>
          </w:p>
        </w:tc>
        <w:tc>
          <w:tcPr>
            <w:tcW w:w="1599" w:type="dxa"/>
          </w:tcPr>
          <w:p w14:paraId="5E2F8514" w14:textId="77777777" w:rsidR="009C3A0E" w:rsidRDefault="00994197">
            <w:pPr>
              <w:pStyle w:val="cTableBody"/>
              <w:spacing w:before="0"/>
            </w:pPr>
            <w:r>
              <w:t>PWR electricity</w:t>
            </w:r>
          </w:p>
        </w:tc>
        <w:tc>
          <w:tcPr>
            <w:tcW w:w="2016" w:type="dxa"/>
          </w:tcPr>
          <w:p w14:paraId="6011295B" w14:textId="77777777" w:rsidR="009C3A0E" w:rsidRDefault="00994197">
            <w:pPr>
              <w:pStyle w:val="cTableBody"/>
              <w:spacing w:before="0"/>
            </w:pPr>
            <w:r>
              <w:t>Completes green-ammonia chain for fertilizer, export and marine fuel</w:t>
            </w:r>
          </w:p>
        </w:tc>
        <w:tc>
          <w:tcPr>
            <w:tcW w:w="1876" w:type="dxa"/>
          </w:tcPr>
          <w:p w14:paraId="0D6C60C7" w14:textId="77777777" w:rsidR="009C3A0E" w:rsidRDefault="00994197">
            <w:pPr>
              <w:pStyle w:val="cTableBody"/>
              <w:spacing w:before="0"/>
            </w:pPr>
            <w:r>
              <w:t>High / enabling</w:t>
            </w:r>
          </w:p>
        </w:tc>
      </w:tr>
    </w:tbl>
    <w:p w14:paraId="76AE0419" w14:textId="77777777" w:rsidR="009C3A0E" w:rsidRDefault="00205390">
      <w:pPr>
        <w:pStyle w:val="Heading2"/>
        <w:spacing w:before="280"/>
      </w:pPr>
      <w:r>
        <w:t>DAC and Ammonia</w:t>
      </w:r>
    </w:p>
    <w:p w14:paraId="0CE0220E" w14:textId="77777777" w:rsidR="009C3A0E" w:rsidRDefault="00994197">
      <w:pPr>
        <w:spacing w:before="280" w:after="280"/>
      </w:pPr>
      <w:r>
        <w:t>Rows 26–27 make DAC</w:t>
      </w:r>
      <w:r w:rsidR="00205390">
        <w:t xml:space="preserve"> (Direct Air Capture)</w:t>
      </w:r>
      <w:r>
        <w:t xml:space="preserve"> modular. A large DAC facility would use many replicated air-contact/regeneration trains, followed by common CO₂ dehydration, compression, metering and storage-interface equipment. The PWR is the preferred energy source for low-temperature solid-sorbent DAC because the current planning model gives it both cheaper electricity and cheaper low-temperature heat than HTR-PM.</w:t>
      </w:r>
    </w:p>
    <w:p w14:paraId="0D872704" w14:textId="77777777" w:rsidR="009C3A0E" w:rsidRDefault="00994197">
      <w:pPr>
        <w:spacing w:before="280" w:after="280"/>
      </w:pPr>
      <w:r>
        <w:t>Rows 28–31 make the ammonia chain explicit in the standardized-platform table rather than leaving ammonia only in a separate work package. They correspond directly to the existing program’s HTSE/SOEC hydrogen, nitrogen/air separation, Haber-Bosch synthesis/recycle/heat recovery, and refrigeration/storage/loading functions. Most prototype spending for these four rows remains in Work Package 3, so their appearance in the 31-platform architecture does not double the $1B budget.</w:t>
      </w:r>
    </w:p>
    <w:p w14:paraId="14F07336" w14:textId="77777777" w:rsidR="009C3A0E" w:rsidRDefault="00994197">
      <w:pPr>
        <w:rPr>
          <w:rFonts w:asciiTheme="majorHAnsi" w:eastAsia="Times New Roman" w:hAnsiTheme="majorHAnsi" w:cstheme="majorHAnsi"/>
          <w:szCs w:val="24"/>
        </w:rPr>
      </w:pPr>
      <w:r>
        <w:rPr>
          <w:rFonts w:eastAsia="Times New Roman" w:cstheme="majorHAnsi"/>
          <w:szCs w:val="24"/>
        </w:rPr>
        <w:t xml:space="preserve">I would </w:t>
      </w:r>
      <w:r>
        <w:rPr>
          <w:rFonts w:eastAsia="Times New Roman" w:cstheme="majorHAnsi"/>
          <w:b/>
          <w:bCs/>
          <w:szCs w:val="24"/>
        </w:rPr>
        <w:t>not divide the R&amp;D funding equally among these 31</w:t>
      </w:r>
      <w:r>
        <w:rPr>
          <w:rFonts w:eastAsia="Times New Roman" w:cstheme="majorHAnsi"/>
          <w:szCs w:val="24"/>
        </w:rPr>
        <w:t>.</w:t>
      </w:r>
    </w:p>
    <w:p w14:paraId="67809F47" w14:textId="77777777" w:rsidR="009C3A0E" w:rsidRDefault="00994197">
      <w:pPr>
        <w:pStyle w:val="Heading2"/>
        <w:spacing w:before="280"/>
      </w:pPr>
      <w:r>
        <w:t>The first five matter disproportionately</w:t>
      </w:r>
    </w:p>
    <w:p w14:paraId="4C6B5DA1" w14:textId="77777777" w:rsidR="009C3A0E" w:rsidRPr="001478EC" w:rsidRDefault="00994197">
      <w:pPr>
        <w:spacing w:before="280" w:after="280"/>
        <w:rPr>
          <w:rFonts w:asciiTheme="majorHAnsi" w:eastAsia="Times New Roman" w:hAnsiTheme="majorHAnsi" w:cstheme="majorHAnsi"/>
          <w:szCs w:val="24"/>
        </w:rPr>
      </w:pPr>
      <w:r w:rsidRPr="001478EC">
        <w:rPr>
          <w:rFonts w:eastAsia="Times New Roman" w:cstheme="majorHAnsi"/>
          <w:szCs w:val="24"/>
        </w:rPr>
        <w:t>If the purpose is maximum CO₂ reduction per development dollar, I would put perhaps 50–60% of the process-platform R&amp;D effort into Platforms 1–5.</w:t>
      </w:r>
    </w:p>
    <w:p w14:paraId="4DF3C67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reason is that they are generic rather than industry-specific.</w:t>
      </w:r>
    </w:p>
    <w:p w14:paraId="1C11F9C2" w14:textId="77777777" w:rsidR="009C3A0E" w:rsidRDefault="00994197">
      <w:pPr>
        <w:spacing w:before="280" w:after="280"/>
        <w:rPr>
          <w:rFonts w:asciiTheme="majorHAnsi" w:eastAsia="Times New Roman" w:hAnsiTheme="majorHAnsi" w:cstheme="majorHAnsi"/>
          <w:szCs w:val="24"/>
        </w:rPr>
      </w:pPr>
      <w:r>
        <w:rPr>
          <w:rFonts w:eastAsia="Times New Roman" w:cstheme="majorHAnsi"/>
          <w:b/>
          <w:bCs/>
          <w:szCs w:val="24"/>
        </w:rPr>
        <w:t>#1 Heat-pump steam platform</w:t>
      </w:r>
      <w:r>
        <w:rPr>
          <w:rFonts w:eastAsia="Times New Roman" w:cstheme="majorHAnsi"/>
          <w:szCs w:val="24"/>
        </w:rPr>
        <w:t xml:space="preserve"> could service food, chemicals, paper, pharmaceuticals, textiles, fermentation and dozens of other industries. Industrial heat pumps can already provide a meaningful portion of low-temperature industrial heat; IEA identifies paper, food and chemicals as the largest near-term opportunities. </w:t>
      </w:r>
    </w:p>
    <w:p w14:paraId="78A74D3B" w14:textId="77777777" w:rsidR="009C3A0E" w:rsidRDefault="00994197">
      <w:pPr>
        <w:spacing w:before="280" w:after="280"/>
        <w:rPr>
          <w:rFonts w:asciiTheme="majorHAnsi" w:eastAsia="Times New Roman" w:hAnsiTheme="majorHAnsi" w:cstheme="majorHAnsi"/>
          <w:szCs w:val="24"/>
        </w:rPr>
      </w:pPr>
      <w:r>
        <w:rPr>
          <w:rFonts w:eastAsia="Times New Roman" w:cstheme="majorHAnsi"/>
          <w:b/>
          <w:bCs/>
          <w:szCs w:val="24"/>
        </w:rPr>
        <w:t>#2 MVR platform</w:t>
      </w:r>
      <w:r>
        <w:rPr>
          <w:rFonts w:eastAsia="Times New Roman" w:cstheme="majorHAnsi"/>
          <w:szCs w:val="24"/>
        </w:rPr>
        <w:t xml:space="preserve"> is potentially even more important for plants that evaporate water. Instead of repeatedly boiling water with fresh steam and throwing away the latent heat, the system compresses </w:t>
      </w:r>
      <w:r>
        <w:rPr>
          <w:rFonts w:eastAsia="Times New Roman" w:cstheme="majorHAnsi"/>
          <w:szCs w:val="24"/>
        </w:rPr>
        <w:lastRenderedPageBreak/>
        <w:t>the vapor and uses it again. This can radically reduce the energy purchased per tonne of water evaporated.</w:t>
      </w:r>
    </w:p>
    <w:p w14:paraId="454AD4C2" w14:textId="77777777" w:rsidR="009C3A0E" w:rsidRDefault="00994197">
      <w:pPr>
        <w:spacing w:before="280" w:after="280"/>
        <w:rPr>
          <w:rFonts w:asciiTheme="majorHAnsi" w:eastAsia="Times New Roman" w:hAnsiTheme="majorHAnsi" w:cstheme="majorHAnsi"/>
          <w:szCs w:val="24"/>
        </w:rPr>
      </w:pPr>
      <w:r>
        <w:rPr>
          <w:rFonts w:eastAsia="Times New Roman" w:cstheme="majorHAnsi"/>
          <w:b/>
          <w:bCs/>
          <w:szCs w:val="24"/>
        </w:rPr>
        <w:t>#3 PWR steam platform</w:t>
      </w:r>
      <w:r>
        <w:rPr>
          <w:rFonts w:eastAsia="Times New Roman" w:cstheme="majorHAnsi"/>
          <w:szCs w:val="24"/>
        </w:rPr>
        <w:t xml:space="preserve"> is the simplest concept: take low-cost nuclear heat through an isolated heat exchanger and replace a coal/gas boiler.</w:t>
      </w:r>
    </w:p>
    <w:p w14:paraId="62D0E7EC" w14:textId="77777777" w:rsidR="009C3A0E" w:rsidRDefault="00994197">
      <w:pPr>
        <w:spacing w:before="280" w:after="280"/>
        <w:rPr>
          <w:rFonts w:asciiTheme="majorHAnsi" w:eastAsia="Times New Roman" w:hAnsiTheme="majorHAnsi" w:cstheme="majorHAnsi"/>
          <w:szCs w:val="24"/>
        </w:rPr>
      </w:pPr>
      <w:r>
        <w:rPr>
          <w:rFonts w:eastAsia="Times New Roman" w:cstheme="majorHAnsi"/>
          <w:b/>
          <w:bCs/>
          <w:szCs w:val="24"/>
        </w:rPr>
        <w:t>#4 Distillation/reboiler platform</w:t>
      </w:r>
      <w:r>
        <w:rPr>
          <w:rFonts w:eastAsia="Times New Roman" w:cstheme="majorHAnsi"/>
          <w:szCs w:val="24"/>
        </w:rPr>
        <w:t xml:space="preserve"> attacks one of the enormous thermal loads in chemicals and refining.</w:t>
      </w:r>
    </w:p>
    <w:p w14:paraId="035E3396" w14:textId="77777777" w:rsidR="009C3A0E" w:rsidRDefault="00994197">
      <w:pPr>
        <w:spacing w:before="280" w:after="280"/>
        <w:rPr>
          <w:rFonts w:asciiTheme="majorHAnsi" w:eastAsia="Times New Roman" w:hAnsiTheme="majorHAnsi" w:cstheme="majorHAnsi"/>
          <w:szCs w:val="24"/>
        </w:rPr>
      </w:pPr>
      <w:r>
        <w:rPr>
          <w:rFonts w:eastAsia="Times New Roman" w:cstheme="majorHAnsi"/>
          <w:b/>
          <w:bCs/>
          <w:szCs w:val="24"/>
        </w:rPr>
        <w:t>#5 HTR-PM high-temperature heat platform</w:t>
      </w:r>
      <w:r>
        <w:rPr>
          <w:rFonts w:eastAsia="Times New Roman" w:cstheme="majorHAnsi"/>
          <w:szCs w:val="24"/>
        </w:rPr>
        <w:t xml:space="preserve"> extends the plug-and-play system into approximately 300–500°C applications where PWR heat can't go.</w:t>
      </w:r>
    </w:p>
    <w:p w14:paraId="4FEDB5B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Your existing Discussion document reaches essentially the same strategic conclusion: the strongest initial sectors are </w:t>
      </w:r>
      <w:r>
        <w:rPr>
          <w:rFonts w:eastAsia="Times New Roman" w:cstheme="majorHAnsi"/>
          <w:b/>
          <w:bCs/>
          <w:szCs w:val="24"/>
        </w:rPr>
        <w:t>food, pulp and paper, chemicals and alumina</w:t>
      </w:r>
      <w:r>
        <w:rPr>
          <w:rFonts w:eastAsia="Times New Roman" w:cstheme="majorHAnsi"/>
          <w:szCs w:val="24"/>
        </w:rPr>
        <w:t xml:space="preserve">, and the overall architecture should emphasize heat pumps/MVR below ~160–200°C, nuclear steam at intermediate temperatures, and HTR-PM direct heat around 300–500°C. </w:t>
      </w:r>
    </w:p>
    <w:p w14:paraId="6D611E78" w14:textId="77777777" w:rsidR="009C3A0E" w:rsidRDefault="00994197">
      <w:pPr>
        <w:pStyle w:val="Heading2"/>
        <w:spacing w:before="280"/>
      </w:pPr>
      <w:r>
        <w:t>Why I would make #1 a heat-pump platform rather than simply a steam platform</w:t>
      </w:r>
    </w:p>
    <w:p w14:paraId="41DADE8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This is potentially one of the most economically important aspects of the whole concept.</w:t>
      </w:r>
    </w:p>
    <w:p w14:paraId="0496A68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At your assumed Automated China PWR electricity price of $31/MWh, a heat pump with COP = 3.5 uses:</w:t>
      </w:r>
    </w:p>
    <w:p w14:paraId="22801EBB" w14:textId="77777777" w:rsidR="009C3A0E" w:rsidRDefault="00994197">
      <w:pPr>
        <w:spacing w:before="280" w:after="280"/>
        <w:rPr>
          <w:rFonts w:asciiTheme="majorHAnsi" w:eastAsia="Times New Roman" w:hAnsiTheme="majorHAnsi" w:cstheme="majorHAnsi"/>
          <w:szCs w:val="24"/>
        </w:rPr>
      </w:pPr>
      <w:r>
        <w:t>31 / 3.5 = $8.86/MWhₜₕ of electricity.</w:t>
      </w:r>
    </w:p>
    <w:p w14:paraId="2827A58E" w14:textId="77777777" w:rsidR="009C3A0E" w:rsidRDefault="00994197">
      <w:pPr>
        <w:spacing w:before="280" w:after="280"/>
        <w:rPr>
          <w:rFonts w:asciiTheme="majorHAnsi" w:eastAsia="Times New Roman" w:hAnsiTheme="majorHAnsi" w:cstheme="majorHAnsi"/>
          <w:szCs w:val="24"/>
        </w:rPr>
      </w:pPr>
      <w:r>
        <w:t>COP = 4 gives: 31 / 4 = $7.75/MWhₜₕ of electricity.</w:t>
      </w:r>
    </w:p>
    <w:p w14:paraId="14070637" w14:textId="77777777" w:rsidR="009C3A0E" w:rsidRDefault="00994197" w:rsidP="00CC7965">
      <w:pPr>
        <w:spacing w:before="280" w:after="280"/>
        <w:rPr>
          <w:rFonts w:asciiTheme="majorHAnsi" w:eastAsia="Times New Roman" w:hAnsiTheme="majorHAnsi" w:cstheme="majorHAnsi"/>
          <w:szCs w:val="24"/>
        </w:rPr>
      </w:pPr>
      <w:r>
        <w:rPr>
          <w:rFonts w:eastAsia="Times New Roman" w:cstheme="majorHAnsi"/>
          <w:szCs w:val="24"/>
        </w:rPr>
        <w:t xml:space="preserve">Those aren't complete delivered-heat costs because the heat pump has capital and maintenance costs. But your own nuclear model puts existing Chinese coal heat around </w:t>
      </w:r>
      <w:r>
        <w:rPr>
          <w:rFonts w:eastAsia="Times New Roman" w:cstheme="majorHAnsi"/>
          <w:b/>
          <w:bCs/>
          <w:szCs w:val="24"/>
        </w:rPr>
        <w:t>$18/MWh</w:t>
      </w:r>
      <w:r>
        <w:rPr>
          <w:rFonts w:eastAsia="Times New Roman" w:cstheme="majorHAnsi"/>
          <w:szCs w:val="24"/>
        </w:rPr>
        <w:t xml:space="preserve"> and new coal around </w:t>
      </w:r>
      <w:r>
        <w:rPr>
          <w:rFonts w:eastAsia="Times New Roman" w:cstheme="majorHAnsi"/>
          <w:b/>
          <w:bCs/>
          <w:szCs w:val="24"/>
        </w:rPr>
        <w:t>$21/MWh</w:t>
      </w:r>
      <w:r>
        <w:rPr>
          <w:rFonts w:eastAsia="Times New Roman" w:cstheme="majorHAnsi"/>
          <w:szCs w:val="24"/>
        </w:rPr>
        <w:t xml:space="preserve">. </w:t>
      </w:r>
    </w:p>
    <w:p w14:paraId="6C86265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leaves substantial room to pay for the heat pump.</w:t>
      </w:r>
    </w:p>
    <w:p w14:paraId="717A114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More importantly, the machine isn't creating all of the heat from nuclear electricity. It is </w:t>
      </w:r>
      <w:r>
        <w:rPr>
          <w:rFonts w:eastAsia="Times New Roman" w:cstheme="majorHAnsi"/>
          <w:b/>
          <w:bCs/>
          <w:szCs w:val="24"/>
        </w:rPr>
        <w:t>recycling heat that the factory previously discarded</w:t>
      </w:r>
      <w:r>
        <w:rPr>
          <w:rFonts w:eastAsia="Times New Roman" w:cstheme="majorHAnsi"/>
          <w:szCs w:val="24"/>
        </w:rPr>
        <w:t>. That is why it can displace several units of fossil heat for every unit of nuclear electricity consumed.</w:t>
      </w:r>
    </w:p>
    <w:p w14:paraId="72F5AED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IEA notes that about three-quarters of the heat demand in food, textiles and similar lighter industries is below 200°C and therefore potentially addressable with existing low-emission heat technologies. </w:t>
      </w:r>
    </w:p>
    <w:p w14:paraId="5640D35B" w14:textId="77777777" w:rsidR="009C3A0E" w:rsidRDefault="00994197">
      <w:pPr>
        <w:pStyle w:val="Heading2"/>
        <w:spacing w:before="280"/>
      </w:pPr>
      <w:r>
        <w:lastRenderedPageBreak/>
        <w:t>Platforms 2, 4 and 6 could be an especially powerful family</w:t>
      </w:r>
    </w:p>
    <w:p w14:paraId="0FF929E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I'd actually design these together.</w:t>
      </w:r>
    </w:p>
    <w:p w14:paraId="64C8F5E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chemical plant frequently has:</w:t>
      </w:r>
    </w:p>
    <w:p w14:paraId="0C8DA1B7" w14:textId="77777777" w:rsidR="009C3A0E" w:rsidRDefault="00994197" w:rsidP="00CC7965">
      <w:pPr>
        <w:pStyle w:val="bblueindent"/>
      </w:pPr>
      <w:r>
        <w:t>distillation → condensation → evaporation → cooling</w:t>
      </w:r>
    </w:p>
    <w:p w14:paraId="3081AF5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at different temperatures.</w:t>
      </w:r>
    </w:p>
    <w:p w14:paraId="7A2F74F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Today it may burn gas or coal to create reboiler steam at one location while simultaneously throwing heat into a cooling tower somewhere else.</w:t>
      </w:r>
    </w:p>
    <w:p w14:paraId="09A8017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platform system should instead do:</w:t>
      </w:r>
    </w:p>
    <w:p w14:paraId="0D4C7637" w14:textId="77777777" w:rsidR="009C3A0E" w:rsidRDefault="00994197" w:rsidP="00CC7965">
      <w:pPr>
        <w:pStyle w:val="bblueindent"/>
      </w:pPr>
      <w:r>
        <w:t>hot condenser/waste heat</w:t>
      </w:r>
      <w:r>
        <w:br/>
        <w:t>→ heat pump</w:t>
      </w:r>
      <w:r>
        <w:br/>
        <w:t>→ reboiler</w:t>
      </w:r>
    </w:p>
    <w:p w14:paraId="495FE2D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and:</w:t>
      </w:r>
    </w:p>
    <w:p w14:paraId="7E8F0BAD" w14:textId="77777777" w:rsidR="009C3A0E" w:rsidRDefault="00994197" w:rsidP="00CC7965">
      <w:pPr>
        <w:pStyle w:val="bblueindent"/>
      </w:pPr>
      <w:r>
        <w:t>evaporated process vapor</w:t>
      </w:r>
      <w:r>
        <w:br/>
        <w:t>→ MVR compressor</w:t>
      </w:r>
      <w:r>
        <w:br/>
      </w:r>
      <w:r>
        <w:t>→ same evaporator heating surface</w:t>
      </w:r>
    </w:p>
    <w:p w14:paraId="50BFF26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with nuclear steam supplying only the temperature/energy deficit.</w:t>
      </w:r>
    </w:p>
    <w:p w14:paraId="6EC3D56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could make nuclear industrial decarbonization much cheaper than simply replacing every fossil boiler with a nuclear boiler on a one-for-one basis.</w:t>
      </w:r>
    </w:p>
    <w:p w14:paraId="69DEA4C9" w14:textId="77777777" w:rsidR="009C3A0E" w:rsidRDefault="00994197">
      <w:pPr>
        <w:pStyle w:val="Heading2"/>
        <w:spacing w:before="280"/>
      </w:pPr>
      <w:r>
        <w:t>Alumina deserves two or three dedicated platforms</w:t>
      </w:r>
    </w:p>
    <w:p w14:paraId="1D64A13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would put alumina unusually high in the program because it combines </w:t>
      </w:r>
      <w:r>
        <w:rPr>
          <w:rFonts w:eastAsia="Times New Roman" w:cstheme="majorHAnsi"/>
          <w:b/>
          <w:bCs/>
          <w:szCs w:val="24"/>
        </w:rPr>
        <w:t>huge industrial scale with favorable temperatures</w:t>
      </w:r>
      <w:r>
        <w:rPr>
          <w:rFonts w:eastAsia="Times New Roman" w:cstheme="majorHAnsi"/>
          <w:szCs w:val="24"/>
        </w:rPr>
        <w:t>.</w:t>
      </w:r>
    </w:p>
    <w:p w14:paraId="388A826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existing Discussion document identifies alumina as a strong early demonstration because digestion, evaporation and caustic recovery can use nuclear steam and heat recovery, while higher-temperature calcination can be separately electrified or hybridized. </w:t>
      </w:r>
    </w:p>
    <w:p w14:paraId="34BA13D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Rather than try to fit an alumina refinery onto one platform, I would use:</w:t>
      </w:r>
    </w:p>
    <w:p w14:paraId="6199130C" w14:textId="77777777" w:rsidR="009C3A0E" w:rsidRDefault="00994197">
      <w:pPr>
        <w:spacing w:before="280" w:after="280"/>
        <w:rPr>
          <w:rFonts w:asciiTheme="majorHAnsi" w:eastAsia="Times New Roman" w:hAnsiTheme="majorHAnsi" w:cstheme="majorHAnsi"/>
          <w:szCs w:val="24"/>
        </w:rPr>
      </w:pPr>
      <w:r>
        <w:rPr>
          <w:rFonts w:eastAsia="Times New Roman" w:cstheme="majorHAnsi"/>
          <w:b/>
          <w:bCs/>
          <w:szCs w:val="24"/>
        </w:rPr>
        <w:t>Platform 14:</w:t>
      </w:r>
      <w:r>
        <w:rPr>
          <w:rFonts w:eastAsia="Times New Roman" w:cstheme="majorHAnsi"/>
          <w:szCs w:val="24"/>
        </w:rPr>
        <w:t xml:space="preserve"> bauxite slurry + digestion heat exchangers.</w:t>
      </w:r>
    </w:p>
    <w:p w14:paraId="487CA6AC" w14:textId="77777777" w:rsidR="009C3A0E" w:rsidRDefault="00994197">
      <w:pPr>
        <w:spacing w:before="280" w:after="280"/>
        <w:rPr>
          <w:rFonts w:asciiTheme="majorHAnsi" w:eastAsia="Times New Roman" w:hAnsiTheme="majorHAnsi" w:cstheme="majorHAnsi"/>
          <w:szCs w:val="24"/>
        </w:rPr>
      </w:pPr>
      <w:r>
        <w:rPr>
          <w:rFonts w:eastAsia="Times New Roman" w:cstheme="majorHAnsi"/>
          <w:b/>
          <w:bCs/>
          <w:szCs w:val="24"/>
        </w:rPr>
        <w:lastRenderedPageBreak/>
        <w:t>Platform 15:</w:t>
      </w:r>
      <w:r>
        <w:rPr>
          <w:rFonts w:eastAsia="Times New Roman" w:cstheme="majorHAnsi"/>
          <w:szCs w:val="24"/>
        </w:rPr>
        <w:t xml:space="preserve"> evaporation + caustic concentration + MVR.</w:t>
      </w:r>
    </w:p>
    <w:p w14:paraId="7113033A" w14:textId="77777777" w:rsidR="009C3A0E" w:rsidRDefault="00994197">
      <w:pPr>
        <w:spacing w:before="280" w:after="280"/>
        <w:rPr>
          <w:rFonts w:asciiTheme="majorHAnsi" w:eastAsia="Times New Roman" w:hAnsiTheme="majorHAnsi" w:cstheme="majorHAnsi"/>
          <w:szCs w:val="24"/>
        </w:rPr>
      </w:pPr>
      <w:r>
        <w:rPr>
          <w:rFonts w:eastAsia="Times New Roman" w:cstheme="majorHAnsi"/>
          <w:b/>
          <w:bCs/>
          <w:szCs w:val="24"/>
        </w:rPr>
        <w:t>Platform 19:</w:t>
      </w:r>
      <w:r>
        <w:rPr>
          <w:rFonts w:eastAsia="Times New Roman" w:cstheme="majorHAnsi"/>
          <w:szCs w:val="24"/>
        </w:rPr>
        <w:t xml:space="preserve"> calcination.</w:t>
      </w:r>
    </w:p>
    <w:p w14:paraId="016FB3B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Multiple identical platforms would operate in parallel for a large refinery.</w:t>
      </w:r>
    </w:p>
    <w:p w14:paraId="354F5A9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That is exactly the advantage of fixing the transportation envelope at 12 m × 96 m: </w:t>
      </w:r>
      <w:r>
        <w:rPr>
          <w:rFonts w:eastAsia="Times New Roman" w:cstheme="majorHAnsi"/>
          <w:b/>
          <w:bCs/>
          <w:szCs w:val="24"/>
        </w:rPr>
        <w:t>capacity is obtained by replication instead of building ever-larger one-off equipment.</w:t>
      </w:r>
    </w:p>
    <w:p w14:paraId="405403AA" w14:textId="77777777" w:rsidR="009C3A0E" w:rsidRDefault="00994197">
      <w:pPr>
        <w:pStyle w:val="Heading2"/>
        <w:spacing w:before="280"/>
      </w:pPr>
      <w:r>
        <w:t>Chemical plants may be the single largest customer</w:t>
      </w:r>
    </w:p>
    <w:p w14:paraId="721D72C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Platforms </w:t>
      </w:r>
      <w:r>
        <w:rPr>
          <w:rFonts w:eastAsia="Times New Roman" w:cstheme="majorHAnsi"/>
          <w:b/>
          <w:bCs/>
          <w:szCs w:val="24"/>
        </w:rPr>
        <w:t>4, 6, 16, 17 and 18</w:t>
      </w:r>
      <w:r>
        <w:rPr>
          <w:rFonts w:eastAsia="Times New Roman" w:cstheme="majorHAnsi"/>
          <w:szCs w:val="24"/>
        </w:rPr>
        <w:t xml:space="preserve"> form a temperature ladder for chemical and petrochemical processing:</w:t>
      </w:r>
    </w:p>
    <w:p w14:paraId="6ECA0321" w14:textId="77777777" w:rsidR="009C3A0E" w:rsidRDefault="00994197" w:rsidP="001478EC">
      <w:pPr>
        <w:tabs>
          <w:tab w:val="left" w:pos="2250"/>
        </w:tabs>
        <w:spacing w:before="160" w:beforeAutospacing="0" w:after="160" w:afterAutospacing="0"/>
        <w:ind w:left="360"/>
        <w:rPr>
          <w:rFonts w:asciiTheme="majorHAnsi" w:eastAsia="Times New Roman" w:hAnsiTheme="majorHAnsi" w:cstheme="majorHAnsi"/>
          <w:szCs w:val="24"/>
        </w:rPr>
      </w:pPr>
      <w:r>
        <w:rPr>
          <w:rFonts w:eastAsia="Times New Roman" w:cstheme="majorHAnsi"/>
          <w:b/>
          <w:bCs/>
          <w:szCs w:val="24"/>
        </w:rPr>
        <w:t>&lt;200°C:</w:t>
      </w:r>
      <w:r>
        <w:rPr>
          <w:rFonts w:eastAsia="Times New Roman" w:cstheme="majorHAnsi"/>
          <w:szCs w:val="24"/>
        </w:rPr>
        <w:t xml:space="preserve"> </w:t>
      </w:r>
      <w:r>
        <w:rPr>
          <w:rFonts w:eastAsia="Times New Roman" w:cstheme="majorHAnsi"/>
          <w:szCs w:val="24"/>
        </w:rPr>
        <w:tab/>
        <w:t>Heat pumps, MVR, evaporation.</w:t>
      </w:r>
    </w:p>
    <w:p w14:paraId="56E6EF1D" w14:textId="77777777" w:rsidR="009C3A0E" w:rsidRDefault="00994197" w:rsidP="001478EC">
      <w:pPr>
        <w:tabs>
          <w:tab w:val="left" w:pos="2250"/>
        </w:tabs>
        <w:spacing w:before="160" w:beforeAutospacing="0" w:after="160" w:afterAutospacing="0"/>
        <w:ind w:left="360"/>
        <w:rPr>
          <w:rFonts w:asciiTheme="majorHAnsi" w:eastAsia="Times New Roman" w:hAnsiTheme="majorHAnsi" w:cstheme="majorHAnsi"/>
          <w:szCs w:val="24"/>
        </w:rPr>
      </w:pPr>
      <w:r>
        <w:rPr>
          <w:rFonts w:eastAsia="Times New Roman" w:cstheme="majorHAnsi"/>
          <w:b/>
          <w:bCs/>
          <w:szCs w:val="24"/>
        </w:rPr>
        <w:t>150–300°C:</w:t>
      </w:r>
      <w:r>
        <w:rPr>
          <w:rFonts w:eastAsia="Times New Roman" w:cstheme="majorHAnsi"/>
          <w:szCs w:val="24"/>
        </w:rPr>
        <w:t xml:space="preserve"> </w:t>
      </w:r>
      <w:r>
        <w:rPr>
          <w:rFonts w:eastAsia="Times New Roman" w:cstheme="majorHAnsi"/>
          <w:szCs w:val="24"/>
        </w:rPr>
        <w:tab/>
        <w:t>PWR steam and reboilers.</w:t>
      </w:r>
    </w:p>
    <w:p w14:paraId="74701B8D" w14:textId="77777777" w:rsidR="009C3A0E" w:rsidRDefault="00994197" w:rsidP="001478EC">
      <w:pPr>
        <w:tabs>
          <w:tab w:val="left" w:pos="2250"/>
        </w:tabs>
        <w:spacing w:before="160" w:beforeAutospacing="0" w:after="160" w:afterAutospacing="0"/>
        <w:ind w:left="360"/>
        <w:rPr>
          <w:rFonts w:asciiTheme="majorHAnsi" w:eastAsia="Times New Roman" w:hAnsiTheme="majorHAnsi" w:cstheme="majorHAnsi"/>
          <w:szCs w:val="24"/>
        </w:rPr>
      </w:pPr>
      <w:r>
        <w:rPr>
          <w:rFonts w:eastAsia="Times New Roman" w:cstheme="majorHAnsi"/>
          <w:b/>
          <w:bCs/>
          <w:szCs w:val="24"/>
        </w:rPr>
        <w:t>300–500°C:</w:t>
      </w:r>
      <w:r>
        <w:rPr>
          <w:rFonts w:eastAsia="Times New Roman" w:cstheme="majorHAnsi"/>
          <w:szCs w:val="24"/>
        </w:rPr>
        <w:t xml:space="preserve"> </w:t>
      </w:r>
      <w:r>
        <w:rPr>
          <w:rFonts w:eastAsia="Times New Roman" w:cstheme="majorHAnsi"/>
          <w:szCs w:val="24"/>
        </w:rPr>
        <w:tab/>
      </w:r>
      <w:r>
        <w:rPr>
          <w:rFonts w:eastAsia="Times New Roman" w:cstheme="majorHAnsi"/>
          <w:szCs w:val="24"/>
        </w:rPr>
        <w:t>HTR-PM heat-transfer fluid.</w:t>
      </w:r>
    </w:p>
    <w:p w14:paraId="0BDDDF45" w14:textId="77777777" w:rsidR="009C3A0E" w:rsidRDefault="00994197" w:rsidP="001478EC">
      <w:pPr>
        <w:tabs>
          <w:tab w:val="left" w:pos="2250"/>
        </w:tabs>
        <w:spacing w:before="160" w:beforeAutospacing="0" w:after="160" w:afterAutospacing="0"/>
        <w:ind w:left="360"/>
        <w:rPr>
          <w:rFonts w:asciiTheme="majorHAnsi" w:eastAsia="Times New Roman" w:hAnsiTheme="majorHAnsi" w:cstheme="majorHAnsi"/>
          <w:szCs w:val="24"/>
        </w:rPr>
      </w:pPr>
      <w:r>
        <w:rPr>
          <w:rFonts w:eastAsia="Times New Roman" w:cstheme="majorHAnsi"/>
          <w:b/>
          <w:bCs/>
          <w:szCs w:val="24"/>
        </w:rPr>
        <w:t>500–900°C:</w:t>
      </w:r>
      <w:r>
        <w:rPr>
          <w:rFonts w:eastAsia="Times New Roman" w:cstheme="majorHAnsi"/>
          <w:szCs w:val="24"/>
        </w:rPr>
        <w:t xml:space="preserve"> </w:t>
      </w:r>
      <w:r>
        <w:rPr>
          <w:rFonts w:eastAsia="Times New Roman" w:cstheme="majorHAnsi"/>
          <w:szCs w:val="24"/>
        </w:rPr>
        <w:tab/>
        <w:t>HTR-PM preheat + electric topping.</w:t>
      </w:r>
    </w:p>
    <w:p w14:paraId="59CB1509" w14:textId="77777777" w:rsidR="009C3A0E" w:rsidRDefault="00CC7965" w:rsidP="001478EC">
      <w:pPr>
        <w:spacing w:before="160" w:beforeAutospacing="0" w:after="160" w:afterAutospacing="0"/>
        <w:ind w:left="2250" w:hanging="1890"/>
        <w:rPr>
          <w:rFonts w:asciiTheme="majorHAnsi" w:eastAsia="Times New Roman" w:hAnsiTheme="majorHAnsi" w:cstheme="majorHAnsi"/>
          <w:szCs w:val="24"/>
        </w:rPr>
      </w:pPr>
      <w:r>
        <w:rPr>
          <w:rFonts w:eastAsia="Times New Roman" w:cstheme="majorHAnsi"/>
          <w:b/>
          <w:bCs/>
          <w:szCs w:val="24"/>
        </w:rPr>
        <w:t>&gt; ~900–1,000°C:</w:t>
      </w:r>
      <w:r>
        <w:rPr>
          <w:rFonts w:eastAsia="Times New Roman" w:cstheme="majorHAnsi"/>
          <w:szCs w:val="24"/>
        </w:rPr>
        <w:t xml:space="preserve"> </w:t>
      </w:r>
      <w:r>
        <w:rPr>
          <w:rFonts w:eastAsia="Times New Roman" w:cstheme="majorHAnsi"/>
          <w:szCs w:val="24"/>
        </w:rPr>
        <w:tab/>
        <w:t>primarily electric furnace, with HTR-PM supplying whatever preheat can economically be recovered.</w:t>
      </w:r>
    </w:p>
    <w:p w14:paraId="5EF2D23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This matters because many chemical processes require fossil fuels both as </w:t>
      </w:r>
      <w:r>
        <w:rPr>
          <w:rFonts w:eastAsia="Times New Roman" w:cstheme="majorHAnsi"/>
          <w:b/>
          <w:bCs/>
          <w:szCs w:val="24"/>
        </w:rPr>
        <w:t>feedstocks</w:t>
      </w:r>
      <w:r>
        <w:rPr>
          <w:rFonts w:eastAsia="Times New Roman" w:cstheme="majorHAnsi"/>
          <w:szCs w:val="24"/>
        </w:rPr>
        <w:t xml:space="preserve"> and as </w:t>
      </w:r>
      <w:r>
        <w:rPr>
          <w:rFonts w:eastAsia="Times New Roman" w:cstheme="majorHAnsi"/>
          <w:b/>
          <w:bCs/>
          <w:szCs w:val="24"/>
        </w:rPr>
        <w:t>heat sources</w:t>
      </w:r>
      <w:r>
        <w:rPr>
          <w:rFonts w:eastAsia="Times New Roman" w:cstheme="majorHAnsi"/>
          <w:szCs w:val="24"/>
        </w:rPr>
        <w:t>. We're deliberately addressing only the second category here.</w:t>
      </w:r>
    </w:p>
    <w:p w14:paraId="24782B1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For example, an ethylene steam cracker may still consume hydrocarbon feedstock. But its enormous gas-fired furnace can potentially be replaced by an electrically heated cracking furnace, with HTR-PM supplying feed preheat and recovered heat being cascaded into other platforms. IEA notes that conventional steam cracking requires temperatures near </w:t>
      </w:r>
      <w:r>
        <w:rPr>
          <w:rFonts w:eastAsia="Times New Roman" w:cstheme="majorHAnsi"/>
          <w:b/>
          <w:bCs/>
          <w:szCs w:val="24"/>
        </w:rPr>
        <w:t>1,000°C</w:t>
      </w:r>
      <w:r>
        <w:rPr>
          <w:rFonts w:eastAsia="Times New Roman" w:cstheme="majorHAnsi"/>
          <w:szCs w:val="24"/>
        </w:rPr>
        <w:t xml:space="preserve">, illustrating why this belongs in the harder high-temperature tier rather than among the initial PWR steam applications. </w:t>
      </w:r>
    </w:p>
    <w:p w14:paraId="31196B98" w14:textId="77777777" w:rsidR="009C3A0E" w:rsidRDefault="00994197">
      <w:pPr>
        <w:pStyle w:val="Heading2"/>
        <w:spacing w:before="280"/>
      </w:pPr>
      <w:r>
        <w:t>Cement is different</w:t>
      </w:r>
    </w:p>
    <w:p w14:paraId="37416B1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 would still develop Platform #24 because cement is so large globally, but I wouldn't let it dominate the first-generation program.</w:t>
      </w:r>
    </w:p>
    <w:p w14:paraId="63B5B55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 kiln can potentially eliminate much of its </w:t>
      </w:r>
      <w:r>
        <w:rPr>
          <w:rFonts w:eastAsia="Times New Roman" w:cstheme="majorHAnsi"/>
          <w:b/>
          <w:bCs/>
          <w:szCs w:val="24"/>
        </w:rPr>
        <w:t>fuel-combustion CO₂</w:t>
      </w:r>
      <w:r>
        <w:rPr>
          <w:rFonts w:eastAsia="Times New Roman" w:cstheme="majorHAnsi"/>
          <w:szCs w:val="24"/>
        </w:rPr>
        <w:t xml:space="preserve"> by replacing coal/petcoke heat with nuclear-derived heat/electric heating.</w:t>
      </w:r>
    </w:p>
    <w:p w14:paraId="4CFA5A4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But limestone undergoes:</w:t>
      </w:r>
    </w:p>
    <w:p w14:paraId="3B65BB1E" w14:textId="77777777" w:rsidR="00B41F9C" w:rsidRDefault="00994197" w:rsidP="001478EC">
      <w:pPr>
        <w:pStyle w:val="bblueindent"/>
      </w:pPr>
      <w:r>
        <w:t>CaCO₃ → CaO + CO₂</w:t>
      </w:r>
    </w:p>
    <w:p w14:paraId="48C854A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lastRenderedPageBreak/>
        <w:t>so nuclear heat cannot eliminate that process CO₂.</w:t>
      </w:r>
    </w:p>
    <w:p w14:paraId="4863591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High-temperature heat represents a very large industrial energy load, but IEA estimates industrial process emissions themselves account for roughly one-quarter of industrial emissions; fuel substitution doesn't address them. </w:t>
      </w:r>
    </w:p>
    <w:p w14:paraId="265D8E77" w14:textId="77777777" w:rsidR="009C3A0E" w:rsidRDefault="001478EC">
      <w:pPr>
        <w:spacing w:before="280" w:after="280"/>
        <w:rPr>
          <w:rFonts w:asciiTheme="majorHAnsi" w:eastAsia="Times New Roman" w:hAnsiTheme="majorHAnsi" w:cstheme="majorHAnsi"/>
          <w:szCs w:val="24"/>
        </w:rPr>
      </w:pPr>
      <w:r>
        <w:rPr>
          <w:rFonts w:eastAsia="Times New Roman" w:cstheme="majorHAnsi"/>
          <w:szCs w:val="24"/>
        </w:rPr>
        <w:t>Thus, cement gives large absolute reductions, but less CO₂ reduction per tonne of product than one might initially expect from replacing the kiln fuel alone.</w:t>
      </w:r>
    </w:p>
    <w:p w14:paraId="6E2F2D2A" w14:textId="77777777" w:rsidR="009C3A0E" w:rsidRDefault="00994197">
      <w:pPr>
        <w:pStyle w:val="Heading2"/>
        <w:spacing w:before="280"/>
      </w:pPr>
      <w:r>
        <w:t>An important 26th item: not really a chemical platform</w:t>
      </w:r>
    </w:p>
    <w:p w14:paraId="22E49E78" w14:textId="77777777" w:rsidR="009C3A0E" w:rsidRDefault="00994197">
      <w:pPr>
        <w:spacing w:before="280" w:after="280"/>
        <w:rPr>
          <w:rFonts w:asciiTheme="majorHAnsi" w:eastAsia="Times New Roman" w:hAnsiTheme="majorHAnsi" w:cstheme="majorHAnsi"/>
          <w:szCs w:val="24"/>
        </w:rPr>
      </w:pPr>
      <w:r>
        <w:t>In addition to the 31 processing platforms, I would still develop one common utility module outside the numbered portfolio:</w:t>
      </w:r>
    </w:p>
    <w:p w14:paraId="37A01EF6" w14:textId="77777777" w:rsidR="009C3A0E" w:rsidRDefault="00994197" w:rsidP="00CC7965">
      <w:pPr>
        <w:pStyle w:val="bblueindent"/>
      </w:pPr>
      <w:r>
        <w:t>Nuclear Industrial Heat Hub</w:t>
      </w:r>
    </w:p>
    <w:p w14:paraId="14D0942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It would contain the standardized boundary between reactor and chemical yard:</w:t>
      </w:r>
    </w:p>
    <w:p w14:paraId="20CFFB94" w14:textId="77777777" w:rsidR="009C3A0E" w:rsidRDefault="00994197" w:rsidP="00CC7965">
      <w:pPr>
        <w:pStyle w:val="bblueindent"/>
      </w:pPr>
      <w:r>
        <w:t>PWR steam</w:t>
      </w:r>
      <w:r>
        <w:br/>
        <w:t>HTR-PM heat-transfer loop</w:t>
      </w:r>
      <w:r>
        <w:br/>
        <w:t>electricity</w:t>
      </w:r>
      <w:r>
        <w:br/>
        <w:t>cooling water</w:t>
      </w:r>
      <w:r>
        <w:br/>
        <w:t>demineralized water</w:t>
      </w:r>
      <w:r>
        <w:br/>
        <w:t>condensate return</w:t>
      </w:r>
      <w:r>
        <w:br/>
        <w:t>thermal storage</w:t>
      </w:r>
      <w:r>
        <w:br/>
        <w:t>meters</w:t>
      </w:r>
      <w:r>
        <w:br/>
        <w:t>isolation valves</w:t>
      </w:r>
      <w:r>
        <w:br/>
        <w:t>emergency shutdown</w:t>
      </w:r>
      <w:r>
        <w:br/>
        <w:t>controls</w:t>
      </w:r>
    </w:p>
    <w:p w14:paraId="65F30FB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Then every one of the 31 platforms plugs into the same headers.</w:t>
      </w:r>
    </w:p>
    <w:p w14:paraId="38AECD1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That architecture is already implicit in your $1B platform proposal: the fund calls for an open nuclear-to-process interface with an intermediate isolation loop so industrial equipment isn't directly connected to the reactor primary system. </w:t>
      </w:r>
    </w:p>
    <w:p w14:paraId="24FF2E52" w14:textId="77777777" w:rsidR="009C3A0E" w:rsidRDefault="00994197">
      <w:pPr>
        <w:pStyle w:val="Heading2"/>
        <w:spacing w:before="280"/>
      </w:pPr>
      <w:r>
        <w:t>The physical site I envision</w:t>
      </w:r>
    </w:p>
    <w:p w14:paraId="6CA0CB6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interesting result is that these platforms shouldn't be scattered randomly around the nuclear plant.</w:t>
      </w:r>
    </w:p>
    <w:p w14:paraId="6FA79FB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would arrange them </w:t>
      </w:r>
      <w:r>
        <w:rPr>
          <w:rFonts w:eastAsia="Times New Roman" w:cstheme="majorHAnsi"/>
          <w:b/>
          <w:bCs/>
          <w:szCs w:val="24"/>
        </w:rPr>
        <w:t>by decreasing temperature</w:t>
      </w:r>
      <w:r>
        <w:rPr>
          <w:rFonts w:eastAsia="Times New Roman" w:cstheme="majorHAnsi"/>
          <w:szCs w:val="24"/>
        </w:rPr>
        <w:t>, allowing heat to cascade:</w:t>
      </w:r>
    </w:p>
    <w:p w14:paraId="0CA7B210" w14:textId="77777777" w:rsidR="009C3A0E" w:rsidRDefault="00994197" w:rsidP="00CC7965">
      <w:pPr>
        <w:spacing w:before="280" w:after="280"/>
        <w:ind w:left="360"/>
        <w:rPr>
          <w:rFonts w:ascii="Courier New" w:eastAsia="Times New Roman" w:hAnsi="Courier New" w:cs="Courier New"/>
          <w:color w:val="4F81BD" w:themeColor="accent1"/>
          <w:szCs w:val="24"/>
        </w:rPr>
      </w:pPr>
      <w:r>
        <w:rPr>
          <w:rFonts w:ascii="Courier New" w:eastAsia="Times New Roman" w:hAnsi="Courier New" w:cs="Courier New"/>
          <w:b/>
          <w:bCs/>
          <w:color w:val="4F81BD" w:themeColor="accent1"/>
          <w:szCs w:val="24"/>
        </w:rPr>
        <w:lastRenderedPageBreak/>
        <w:t>HTR-PM ~500°C header</w:t>
      </w:r>
      <w:r>
        <w:rPr>
          <w:rFonts w:ascii="Courier New" w:eastAsia="Times New Roman" w:hAnsi="Courier New" w:cs="Courier New"/>
          <w:color w:val="4F81BD" w:themeColor="accent1"/>
          <w:szCs w:val="24"/>
        </w:rPr>
        <w:br/>
      </w:r>
      <w:r>
        <w:rPr>
          <w:rFonts w:ascii="Courier New" w:eastAsia="Times New Roman" w:hAnsi="Courier New" w:cs="Courier New"/>
          <w:color w:val="4F81BD" w:themeColor="accent1"/>
          <w:szCs w:val="24"/>
        </w:rPr>
        <w:t>→ chemical reactors / high-temperature preheaters</w:t>
      </w:r>
      <w:r>
        <w:rPr>
          <w:rFonts w:ascii="Courier New" w:eastAsia="Times New Roman" w:hAnsi="Courier New" w:cs="Courier New"/>
          <w:color w:val="4F81BD" w:themeColor="accent1"/>
          <w:szCs w:val="24"/>
        </w:rPr>
        <w:br/>
        <w:t xml:space="preserve">→ </w:t>
      </w:r>
      <w:r>
        <w:rPr>
          <w:rFonts w:ascii="Courier New" w:eastAsia="Times New Roman" w:hAnsi="Courier New" w:cs="Courier New"/>
          <w:b/>
          <w:bCs/>
          <w:color w:val="4F81BD" w:themeColor="accent1"/>
          <w:szCs w:val="24"/>
        </w:rPr>
        <w:t>300°C heat</w:t>
      </w:r>
      <w:r>
        <w:rPr>
          <w:rFonts w:ascii="Courier New" w:eastAsia="Times New Roman" w:hAnsi="Courier New" w:cs="Courier New"/>
          <w:color w:val="4F81BD" w:themeColor="accent1"/>
          <w:szCs w:val="24"/>
        </w:rPr>
        <w:br/>
        <w:t>→ distillation / alumina / drying</w:t>
      </w:r>
      <w:r>
        <w:rPr>
          <w:rFonts w:ascii="Courier New" w:eastAsia="Times New Roman" w:hAnsi="Courier New" w:cs="Courier New"/>
          <w:color w:val="4F81BD" w:themeColor="accent1"/>
          <w:szCs w:val="24"/>
        </w:rPr>
        <w:br/>
        <w:t xml:space="preserve">→ </w:t>
      </w:r>
      <w:r>
        <w:rPr>
          <w:rFonts w:ascii="Courier New" w:eastAsia="Times New Roman" w:hAnsi="Courier New" w:cs="Courier New"/>
          <w:b/>
          <w:bCs/>
          <w:color w:val="4F81BD" w:themeColor="accent1"/>
          <w:szCs w:val="24"/>
        </w:rPr>
        <w:t>150–200°C heat</w:t>
      </w:r>
      <w:r>
        <w:rPr>
          <w:rFonts w:ascii="Courier New" w:eastAsia="Times New Roman" w:hAnsi="Courier New" w:cs="Courier New"/>
          <w:color w:val="4F81BD" w:themeColor="accent1"/>
          <w:szCs w:val="24"/>
        </w:rPr>
        <w:br/>
        <w:t>→ evaporation / steam / paper / food</w:t>
      </w:r>
      <w:r>
        <w:rPr>
          <w:rFonts w:ascii="Courier New" w:eastAsia="Times New Roman" w:hAnsi="Courier New" w:cs="Courier New"/>
          <w:color w:val="4F81BD" w:themeColor="accent1"/>
          <w:szCs w:val="24"/>
        </w:rPr>
        <w:br/>
        <w:t xml:space="preserve">→ </w:t>
      </w:r>
      <w:r>
        <w:rPr>
          <w:rFonts w:ascii="Courier New" w:eastAsia="Times New Roman" w:hAnsi="Courier New" w:cs="Courier New"/>
          <w:b/>
          <w:bCs/>
          <w:color w:val="4F81BD" w:themeColor="accent1"/>
          <w:szCs w:val="24"/>
        </w:rPr>
        <w:t>60–120°C heat</w:t>
      </w:r>
      <w:r>
        <w:rPr>
          <w:rFonts w:ascii="Courier New" w:eastAsia="Times New Roman" w:hAnsi="Courier New" w:cs="Courier New"/>
          <w:color w:val="4F81BD" w:themeColor="accent1"/>
          <w:szCs w:val="24"/>
        </w:rPr>
        <w:br/>
        <w:t>→ heat pumps</w:t>
      </w:r>
      <w:r>
        <w:rPr>
          <w:rFonts w:ascii="Courier New" w:eastAsia="Times New Roman" w:hAnsi="Courier New" w:cs="Courier New"/>
          <w:color w:val="4F81BD" w:themeColor="accent1"/>
          <w:szCs w:val="24"/>
        </w:rPr>
        <w:br/>
        <w:t>→ hot water / lowest-temperature processing</w:t>
      </w:r>
      <w:r>
        <w:rPr>
          <w:rFonts w:ascii="Courier New" w:eastAsia="Times New Roman" w:hAnsi="Courier New" w:cs="Courier New"/>
          <w:color w:val="4F81BD" w:themeColor="accent1"/>
          <w:szCs w:val="24"/>
        </w:rPr>
        <w:br/>
        <w:t>→ cooling system.</w:t>
      </w:r>
    </w:p>
    <w:p w14:paraId="1866BD4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Meanwhile, the Automated PWR supplies tremendous quantities of the cheapest low-temperature nuclear heat and cheap electricity to the heat pumps, MVR compressors and high-temperature electric topping heaters.</w:t>
      </w:r>
    </w:p>
    <w:p w14:paraId="3878C9E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is much better thermodynamically than connecting each platform independently to the reactor and throwing away its exhaust heat.</w:t>
      </w:r>
    </w:p>
    <w:p w14:paraId="0CE66CBA" w14:textId="77777777" w:rsidR="009C3A0E" w:rsidRDefault="00994197">
      <w:pPr>
        <w:pStyle w:val="Heading2"/>
        <w:spacing w:before="280"/>
      </w:pPr>
      <w:r>
        <w:t>Therefore, if I had to prioritize the expanded portfolio</w:t>
      </w:r>
    </w:p>
    <w:p w14:paraId="7EE5CBD2" w14:textId="77777777" w:rsidR="009C3A0E" w:rsidRDefault="00994197">
      <w:pPr>
        <w:spacing w:before="280" w:after="280"/>
        <w:rPr>
          <w:rFonts w:asciiTheme="majorHAnsi" w:eastAsia="Times New Roman" w:hAnsiTheme="majorHAnsi" w:cstheme="majorHAnsi"/>
          <w:szCs w:val="24"/>
        </w:rPr>
      </w:pPr>
      <w:r>
        <w:t>I would spend the development effort heavily toward generic heat manipulation rather than treating all 31 platform families as equally large, product-specific development programs.</w:t>
      </w:r>
    </w:p>
    <w:p w14:paraId="50C9369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My first five would be:</w:t>
      </w:r>
    </w:p>
    <w:p w14:paraId="52403012" w14:textId="77777777" w:rsidR="009C3A0E" w:rsidRDefault="00994197">
      <w:pPr>
        <w:pStyle w:val="blist-bullets"/>
        <w:numPr>
          <w:ilvl w:val="0"/>
          <w:numId w:val="12"/>
        </w:numPr>
        <w:spacing w:before="280"/>
        <w:rPr>
          <w:rFonts w:asciiTheme="majorHAnsi" w:eastAsia="Times New Roman" w:hAnsiTheme="majorHAnsi" w:cstheme="majorHAnsi"/>
          <w:szCs w:val="24"/>
        </w:rPr>
      </w:pPr>
      <w:r>
        <w:rPr>
          <w:rFonts w:eastAsia="Times New Roman" w:cstheme="majorHAnsi"/>
          <w:b/>
          <w:bCs/>
          <w:szCs w:val="24"/>
        </w:rPr>
        <w:t>Industrial heat-pump steam generator</w:t>
      </w:r>
      <w:r>
        <w:rPr>
          <w:rFonts w:eastAsia="Times New Roman" w:cstheme="majorHAnsi"/>
          <w:szCs w:val="24"/>
        </w:rPr>
        <w:t xml:space="preserve"> </w:t>
      </w:r>
    </w:p>
    <w:p w14:paraId="03810DFE" w14:textId="77777777" w:rsidR="009C3A0E" w:rsidRDefault="00994197">
      <w:pPr>
        <w:pStyle w:val="blist-bullets"/>
        <w:numPr>
          <w:ilvl w:val="0"/>
          <w:numId w:val="12"/>
        </w:numPr>
        <w:rPr>
          <w:rFonts w:asciiTheme="majorHAnsi" w:eastAsia="Times New Roman" w:hAnsiTheme="majorHAnsi" w:cstheme="majorHAnsi"/>
          <w:szCs w:val="24"/>
        </w:rPr>
      </w:pPr>
      <w:r>
        <w:rPr>
          <w:rFonts w:eastAsia="Times New Roman" w:cstheme="majorHAnsi"/>
          <w:b/>
          <w:bCs/>
          <w:szCs w:val="24"/>
        </w:rPr>
        <w:t>MVR evaporator</w:t>
      </w:r>
      <w:r>
        <w:rPr>
          <w:rFonts w:eastAsia="Times New Roman" w:cstheme="majorHAnsi"/>
          <w:szCs w:val="24"/>
        </w:rPr>
        <w:t xml:space="preserve"> </w:t>
      </w:r>
    </w:p>
    <w:p w14:paraId="09026886" w14:textId="77777777" w:rsidR="009C3A0E" w:rsidRDefault="00994197">
      <w:pPr>
        <w:pStyle w:val="blist-bullets"/>
        <w:numPr>
          <w:ilvl w:val="0"/>
          <w:numId w:val="12"/>
        </w:numPr>
        <w:rPr>
          <w:rFonts w:asciiTheme="majorHAnsi" w:eastAsia="Times New Roman" w:hAnsiTheme="majorHAnsi" w:cstheme="majorHAnsi"/>
          <w:szCs w:val="24"/>
        </w:rPr>
      </w:pPr>
      <w:r>
        <w:rPr>
          <w:rFonts w:eastAsia="Times New Roman" w:cstheme="majorHAnsi"/>
          <w:b/>
          <w:bCs/>
          <w:szCs w:val="24"/>
        </w:rPr>
        <w:t>PWR process-steam platform</w:t>
      </w:r>
      <w:r>
        <w:rPr>
          <w:rFonts w:eastAsia="Times New Roman" w:cstheme="majorHAnsi"/>
          <w:szCs w:val="24"/>
        </w:rPr>
        <w:t xml:space="preserve"> </w:t>
      </w:r>
    </w:p>
    <w:p w14:paraId="3C708657" w14:textId="77777777" w:rsidR="009C3A0E" w:rsidRDefault="00994197">
      <w:pPr>
        <w:pStyle w:val="blist-bullets"/>
        <w:numPr>
          <w:ilvl w:val="0"/>
          <w:numId w:val="12"/>
        </w:numPr>
        <w:rPr>
          <w:rFonts w:asciiTheme="majorHAnsi" w:eastAsia="Times New Roman" w:hAnsiTheme="majorHAnsi" w:cstheme="majorHAnsi"/>
          <w:szCs w:val="24"/>
        </w:rPr>
      </w:pPr>
      <w:r>
        <w:rPr>
          <w:rFonts w:eastAsia="Times New Roman" w:cstheme="majorHAnsi"/>
          <w:b/>
          <w:bCs/>
          <w:szCs w:val="24"/>
        </w:rPr>
        <w:t>Distillation/reboiler platform</w:t>
      </w:r>
      <w:r>
        <w:rPr>
          <w:rFonts w:eastAsia="Times New Roman" w:cstheme="majorHAnsi"/>
          <w:szCs w:val="24"/>
        </w:rPr>
        <w:t xml:space="preserve"> </w:t>
      </w:r>
    </w:p>
    <w:p w14:paraId="43DE9125" w14:textId="77777777" w:rsidR="009C3A0E" w:rsidRDefault="00994197">
      <w:pPr>
        <w:pStyle w:val="blist-bullets"/>
        <w:numPr>
          <w:ilvl w:val="0"/>
          <w:numId w:val="12"/>
        </w:numPr>
        <w:spacing w:after="280"/>
        <w:rPr>
          <w:rFonts w:asciiTheme="majorHAnsi" w:eastAsia="Times New Roman" w:hAnsiTheme="majorHAnsi" w:cstheme="majorHAnsi"/>
          <w:szCs w:val="24"/>
        </w:rPr>
      </w:pPr>
      <w:r>
        <w:rPr>
          <w:rFonts w:eastAsia="Times New Roman" w:cstheme="majorHAnsi"/>
          <w:b/>
          <w:bCs/>
          <w:szCs w:val="24"/>
        </w:rPr>
        <w:t>HTR-PM 300–500°C heat platform</w:t>
      </w:r>
      <w:r>
        <w:rPr>
          <w:rFonts w:eastAsia="Times New Roman" w:cstheme="majorHAnsi"/>
          <w:szCs w:val="24"/>
        </w:rPr>
        <w:t xml:space="preserve"> </w:t>
      </w:r>
    </w:p>
    <w:p w14:paraId="4C73149A" w14:textId="77777777" w:rsidR="009C3A0E" w:rsidRDefault="00994197">
      <w:pPr>
        <w:spacing w:before="280" w:after="280"/>
        <w:rPr>
          <w:rFonts w:asciiTheme="majorHAnsi" w:eastAsia="Times New Roman" w:hAnsiTheme="majorHAnsi" w:cstheme="majorHAnsi"/>
          <w:szCs w:val="24"/>
        </w:rPr>
      </w:pPr>
      <w:r>
        <w:t>Those five could probably be deployed in more factories and displace more fossil-fired process heat than the other 20 combined initially. Then the remaining 26 platforms adapt these basic thermal technologies to large sector-specific loads—paper, food, textiles, alumina, refining, petrochemicals, steel, glass, ceramics and cement.</w:t>
      </w:r>
    </w:p>
    <w:p w14:paraId="75EA41D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That is also why I would broaden the name from </w:t>
      </w:r>
      <w:r>
        <w:rPr>
          <w:rFonts w:eastAsia="Times New Roman" w:cstheme="majorHAnsi"/>
          <w:b/>
          <w:bCs/>
          <w:szCs w:val="24"/>
        </w:rPr>
        <w:t>“Chemical Processing Platforms”</w:t>
      </w:r>
      <w:r>
        <w:rPr>
          <w:rFonts w:eastAsia="Times New Roman" w:cstheme="majorHAnsi"/>
          <w:szCs w:val="24"/>
        </w:rPr>
        <w:t xml:space="preserve"> to something like </w:t>
      </w:r>
      <w:r>
        <w:rPr>
          <w:rFonts w:eastAsia="Times New Roman" w:cstheme="majorHAnsi"/>
          <w:b/>
          <w:bCs/>
          <w:szCs w:val="24"/>
        </w:rPr>
        <w:t>“Nuclear-Integrated Industrial Processing Platforms.”</w:t>
      </w:r>
      <w:r>
        <w:rPr>
          <w:rFonts w:eastAsia="Times New Roman" w:cstheme="majorHAnsi"/>
          <w:szCs w:val="24"/>
        </w:rPr>
        <w:t xml:space="preserve"> Much of the largest decarbonization opportunity is not making a new molecule; it is replacing the enormous amount of coal and gas presently burned to </w:t>
      </w:r>
      <w:r>
        <w:rPr>
          <w:rFonts w:eastAsia="Times New Roman" w:cstheme="majorHAnsi"/>
          <w:b/>
          <w:bCs/>
          <w:szCs w:val="24"/>
        </w:rPr>
        <w:t>boil, evaporate, dry, distill, heat, roast and calcine material</w:t>
      </w:r>
      <w:r>
        <w:rPr>
          <w:rFonts w:eastAsia="Times New Roman" w:cstheme="majorHAnsi"/>
          <w:szCs w:val="24"/>
        </w:rPr>
        <w:t>.</w:t>
      </w:r>
    </w:p>
    <w:p w14:paraId="36EBE204" w14:textId="77777777" w:rsidR="009C3A0E" w:rsidRDefault="00994197">
      <w:pPr>
        <w:pStyle w:val="Heading1"/>
        <w:spacing w:before="280" w:after="280"/>
        <w:rPr>
          <w:rFonts w:cstheme="majorHAnsi"/>
        </w:rPr>
      </w:pPr>
      <w:bookmarkStart w:id="32" w:name="_Toc237345526"/>
      <w:bookmarkStart w:id="33" w:name="_Toc237471107"/>
      <w:bookmarkStart w:id="34" w:name="_Toc238129762"/>
      <w:bookmarkStart w:id="35" w:name="_Toc238205549"/>
      <w:r>
        <w:rPr>
          <w:rFonts w:cstheme="majorHAnsi"/>
        </w:rPr>
        <w:lastRenderedPageBreak/>
        <w:t>Material Handling Costs</w:t>
      </w:r>
      <w:bookmarkEnd w:id="32"/>
      <w:bookmarkEnd w:id="33"/>
      <w:bookmarkEnd w:id="34"/>
      <w:bookmarkEnd w:id="35"/>
    </w:p>
    <w:p w14:paraId="124A8D4C" w14:textId="77777777" w:rsidR="009C3A0E" w:rsidRDefault="00994197">
      <w:pPr>
        <w:pStyle w:val="cUserPromptText"/>
        <w:spacing w:before="280" w:after="280"/>
        <w:rPr>
          <w:rFonts w:asciiTheme="majorHAnsi" w:hAnsiTheme="majorHAnsi" w:cstheme="majorHAnsi"/>
        </w:rPr>
      </w:pPr>
      <w:r>
        <w:rPr>
          <w:rStyle w:val="UserPromptHeadingChar"/>
        </w:rPr>
        <w:t xml:space="preserve">Prompt to AI: </w:t>
      </w:r>
      <w:r>
        <w:rPr>
          <w:rFonts w:cstheme="majorHAnsi"/>
        </w:rPr>
        <w:t>What kind of costs are associated with getting materials into and out of the chemical processing site (to/from ships)? How do these costs compare to the traditional fossil fuel-based approach? Also, there is two ways to look a</w:t>
      </w:r>
      <w:r>
        <w:rPr>
          <w:rFonts w:cstheme="majorHAnsi"/>
        </w:rPr>
        <w:t xml:space="preserve"> this: (a) new construction at nuclear site vs new construction at tradition fossil fuel site, (b) new construction at nuclear site vs margin cost of existing fossil fuel site. Note that existing fossil fuel site margin cost is cost of fuel plus cost of filtration. Assume we are in China and working with Coal.</w:t>
      </w:r>
    </w:p>
    <w:p w14:paraId="511B47EB" w14:textId="77777777" w:rsidR="009C3A0E" w:rsidRDefault="00994197">
      <w:pPr>
        <w:spacing w:before="280" w:after="280"/>
      </w:pPr>
      <w:r>
        <w:rPr>
          <w:b/>
          <w:color w:val="4F81BD"/>
          <w:u w:val="single"/>
        </w:rPr>
        <w:t>Response From AI:</w:t>
      </w:r>
    </w:p>
    <w:p w14:paraId="1EA2DBC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Yes. The main conclusion is that </w:t>
      </w:r>
      <w:r>
        <w:rPr>
          <w:rFonts w:eastAsia="Times New Roman" w:cstheme="majorHAnsi"/>
          <w:b/>
          <w:bCs/>
          <w:szCs w:val="24"/>
        </w:rPr>
        <w:t>material-handling cost is important, but it is usually much smaller than the process-heat advantage created by the assumed Automated PWR/HTR-PM costs</w:t>
      </w:r>
      <w:r>
        <w:rPr>
          <w:rFonts w:eastAsia="Times New Roman" w:cstheme="majorHAnsi"/>
          <w:szCs w:val="24"/>
        </w:rPr>
        <w:t>—provided the chemical yard is built at a deep-water site and the process chain is kept together.</w:t>
      </w:r>
    </w:p>
    <w:p w14:paraId="68D5961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Your concept already points in the right direction: 12 m × 96 m platforms are clustered next to the reactors, with shared underground material/utility corridors and a common waterfront, while entire platforms can be brought in and replaced through the double-rail system. The platform-development proposal also explicitly includes port transfer, marine transport, common storage, product export, and reusable utility systems. </w:t>
      </w:r>
    </w:p>
    <w:p w14:paraId="64EAD5E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would distinguish </w:t>
      </w:r>
      <w:r>
        <w:rPr>
          <w:rFonts w:eastAsia="Times New Roman" w:cstheme="majorHAnsi"/>
          <w:b/>
          <w:bCs/>
          <w:szCs w:val="24"/>
        </w:rPr>
        <w:t>three different logistics costs</w:t>
      </w:r>
      <w:r>
        <w:rPr>
          <w:rFonts w:eastAsia="Times New Roman" w:cstheme="majorHAnsi"/>
          <w:szCs w:val="24"/>
        </w:rPr>
        <w:t>:</w:t>
      </w:r>
    </w:p>
    <w:p w14:paraId="201DD771" w14:textId="77777777" w:rsidR="009C3A0E" w:rsidRDefault="00994197">
      <w:pPr>
        <w:pStyle w:val="blist-bullets"/>
        <w:numPr>
          <w:ilvl w:val="0"/>
          <w:numId w:val="13"/>
        </w:numPr>
        <w:spacing w:before="280"/>
        <w:rPr>
          <w:rFonts w:asciiTheme="majorHAnsi" w:eastAsia="Times New Roman" w:hAnsiTheme="majorHAnsi" w:cstheme="majorHAnsi"/>
          <w:szCs w:val="24"/>
        </w:rPr>
      </w:pPr>
      <w:r>
        <w:rPr>
          <w:rFonts w:eastAsia="Times New Roman" w:cstheme="majorHAnsi"/>
          <w:b/>
          <w:bCs/>
          <w:szCs w:val="24"/>
        </w:rPr>
        <w:t>Ship ↔ site</w:t>
      </w:r>
      <w:r>
        <w:rPr>
          <w:rFonts w:eastAsia="Times New Roman" w:cstheme="majorHAnsi"/>
          <w:szCs w:val="24"/>
        </w:rPr>
        <w:t xml:space="preserve">: loading/unloading, berth, pumps/conveyors, temporary storage. </w:t>
      </w:r>
    </w:p>
    <w:p w14:paraId="33DEC492" w14:textId="77777777" w:rsidR="009C3A0E" w:rsidRDefault="00994197">
      <w:pPr>
        <w:pStyle w:val="blist-bullets"/>
        <w:numPr>
          <w:ilvl w:val="0"/>
          <w:numId w:val="13"/>
        </w:numPr>
        <w:rPr>
          <w:rFonts w:asciiTheme="majorHAnsi" w:eastAsia="Times New Roman" w:hAnsiTheme="majorHAnsi" w:cstheme="majorHAnsi"/>
          <w:szCs w:val="24"/>
        </w:rPr>
      </w:pPr>
      <w:r>
        <w:rPr>
          <w:rFonts w:eastAsia="Times New Roman" w:cstheme="majorHAnsi"/>
          <w:b/>
          <w:bCs/>
          <w:szCs w:val="24"/>
        </w:rPr>
        <w:t>Within the site</w:t>
      </w:r>
      <w:r>
        <w:rPr>
          <w:rFonts w:eastAsia="Times New Roman" w:cstheme="majorHAnsi"/>
          <w:szCs w:val="24"/>
        </w:rPr>
        <w:t xml:space="preserve">: pipes, conveyors, rail carts, tunnels, manifolds, pumping/compression. </w:t>
      </w:r>
    </w:p>
    <w:p w14:paraId="0427E990" w14:textId="77777777" w:rsidR="009C3A0E" w:rsidRDefault="00994197">
      <w:pPr>
        <w:pStyle w:val="blist-bullets"/>
        <w:numPr>
          <w:ilvl w:val="0"/>
          <w:numId w:val="13"/>
        </w:numPr>
        <w:spacing w:after="280"/>
        <w:rPr>
          <w:rFonts w:asciiTheme="majorHAnsi" w:eastAsia="Times New Roman" w:hAnsiTheme="majorHAnsi" w:cstheme="majorHAnsi"/>
          <w:szCs w:val="24"/>
        </w:rPr>
      </w:pPr>
      <w:r>
        <w:rPr>
          <w:rFonts w:eastAsia="Times New Roman" w:cstheme="majorHAnsi"/>
          <w:b/>
          <w:bCs/>
          <w:szCs w:val="24"/>
        </w:rPr>
        <w:t>Moving intermediates off-site and back again</w:t>
      </w:r>
      <w:r>
        <w:rPr>
          <w:rFonts w:eastAsia="Times New Roman" w:cstheme="majorHAnsi"/>
          <w:szCs w:val="24"/>
        </w:rPr>
        <w:t xml:space="preserve">: this is the one I would try hardest to eliminate. </w:t>
      </w:r>
    </w:p>
    <w:p w14:paraId="0A37E899" w14:textId="77777777" w:rsidR="009C3A0E" w:rsidRDefault="00994197">
      <w:pPr>
        <w:pStyle w:val="Heading2"/>
        <w:spacing w:before="280"/>
      </w:pPr>
      <w:r>
        <w:t>1. What does ship-to-site material handling cost?</w:t>
      </w:r>
    </w:p>
    <w:p w14:paraId="1DE2DA4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Chinese port data give a useful reality check. A Tangshan import-coal tariff listed about </w:t>
      </w:r>
      <w:r>
        <w:rPr>
          <w:rFonts w:eastAsia="Times New Roman" w:cstheme="majorHAnsi"/>
          <w:b/>
          <w:bCs/>
          <w:szCs w:val="24"/>
        </w:rPr>
        <w:t>RMB 27.5/t</w:t>
      </w:r>
      <w:r>
        <w:rPr>
          <w:rFonts w:eastAsia="Times New Roman" w:cstheme="majorHAnsi"/>
          <w:szCs w:val="24"/>
        </w:rPr>
        <w:t xml:space="preserve">, roughly </w:t>
      </w:r>
      <w:r>
        <w:rPr>
          <w:rFonts w:eastAsia="Times New Roman" w:cstheme="majorHAnsi"/>
          <w:b/>
          <w:bCs/>
          <w:szCs w:val="24"/>
        </w:rPr>
        <w:t>$4/t</w:t>
      </w:r>
      <w:r>
        <w:rPr>
          <w:rFonts w:eastAsia="Times New Roman" w:cstheme="majorHAnsi"/>
          <w:szCs w:val="24"/>
        </w:rPr>
        <w:t xml:space="preserve">, for a package including ship unloading, weighing and internal port handling. A 2024 Qingdao Port filing gives liquid-bulk port handling around </w:t>
      </w:r>
      <w:r>
        <w:rPr>
          <w:rFonts w:eastAsia="Times New Roman" w:cstheme="majorHAnsi"/>
          <w:b/>
          <w:bCs/>
          <w:szCs w:val="24"/>
        </w:rPr>
        <w:t>RMB 15.09/t (~$2.2/t)</w:t>
      </w:r>
      <w:r>
        <w:rPr>
          <w:rFonts w:eastAsia="Times New Roman" w:cstheme="majorHAnsi"/>
          <w:szCs w:val="24"/>
        </w:rPr>
        <w:t xml:space="preserve"> and tank storage around RMB 9.4–13/t; longer pipeline transportation to customers is substantially more expensive, which is exactly what co-location avoids. </w:t>
      </w:r>
    </w:p>
    <w:p w14:paraId="22DD6F9A" w14:textId="77777777" w:rsidR="009C3A0E" w:rsidRDefault="00994197">
      <w:pPr>
        <w:rPr>
          <w:rFonts w:asciiTheme="majorHAnsi" w:eastAsia="Times New Roman" w:hAnsiTheme="majorHAnsi" w:cstheme="majorHAnsi"/>
          <w:szCs w:val="24"/>
        </w:rPr>
      </w:pPr>
      <w:r>
        <w:rPr>
          <w:rFonts w:eastAsia="Times New Roman" w:cstheme="majorHAnsi"/>
          <w:szCs w:val="24"/>
        </w:rPr>
        <w:t>For your highly automated captive terminal, I would therefore use these planning numbers:</w:t>
      </w:r>
    </w:p>
    <w:tbl>
      <w:tblPr>
        <w:tblStyle w:val="gswTableStyle"/>
        <w:tblW w:w="8230" w:type="dxa"/>
        <w:tblLayout w:type="fixed"/>
        <w:tblLook w:val="04A0" w:firstRow="1" w:lastRow="0" w:firstColumn="1" w:lastColumn="0" w:noHBand="0" w:noVBand="1"/>
      </w:tblPr>
      <w:tblGrid>
        <w:gridCol w:w="4399"/>
        <w:gridCol w:w="3831"/>
      </w:tblGrid>
      <w:tr w:rsidR="009C3A0E" w14:paraId="49F3E140" w14:textId="77777777" w:rsidTr="005554BF">
        <w:trPr>
          <w:cnfStyle w:val="100000000000" w:firstRow="1" w:lastRow="0" w:firstColumn="0" w:lastColumn="0" w:oddVBand="0" w:evenVBand="0" w:oddHBand="0" w:evenHBand="0" w:firstRowFirstColumn="0" w:firstRowLastColumn="0" w:lastRowFirstColumn="0" w:lastRowLastColumn="0"/>
        </w:trPr>
        <w:tc>
          <w:tcPr>
            <w:tcW w:w="4398" w:type="dxa"/>
          </w:tcPr>
          <w:p w14:paraId="240F2031" w14:textId="77777777" w:rsidR="009C3A0E" w:rsidRDefault="00994197">
            <w:pPr>
              <w:pStyle w:val="cTableHeader"/>
              <w:spacing w:before="0" w:after="0"/>
            </w:pPr>
            <w:r>
              <w:t>Material movement</w:t>
            </w:r>
          </w:p>
        </w:tc>
        <w:tc>
          <w:tcPr>
            <w:tcW w:w="3831" w:type="dxa"/>
          </w:tcPr>
          <w:p w14:paraId="7352C8F2" w14:textId="77777777" w:rsidR="009C3A0E" w:rsidRDefault="00994197">
            <w:pPr>
              <w:pStyle w:val="cTableHeader"/>
              <w:spacing w:before="0" w:after="0"/>
            </w:pPr>
            <w:r>
              <w:t>New integrated China site: planning cost</w:t>
            </w:r>
          </w:p>
        </w:tc>
      </w:tr>
      <w:tr w:rsidR="009C3A0E" w14:paraId="5B75AE91" w14:textId="77777777" w:rsidTr="005554BF">
        <w:tc>
          <w:tcPr>
            <w:tcW w:w="4398" w:type="dxa"/>
          </w:tcPr>
          <w:p w14:paraId="2C153F79" w14:textId="77777777" w:rsidR="009C3A0E" w:rsidRDefault="00994197">
            <w:pPr>
              <w:pStyle w:val="cTableBody"/>
              <w:spacing w:before="0"/>
            </w:pPr>
            <w:r>
              <w:t>Liquid transferred ship ↔ nearby platform by pipe</w:t>
            </w:r>
          </w:p>
        </w:tc>
        <w:tc>
          <w:tcPr>
            <w:tcW w:w="3831" w:type="dxa"/>
          </w:tcPr>
          <w:p w14:paraId="4630DC06" w14:textId="77777777" w:rsidR="009C3A0E" w:rsidRDefault="00994197">
            <w:pPr>
              <w:pStyle w:val="cTableBody"/>
              <w:spacing w:before="0"/>
            </w:pPr>
            <w:r>
              <w:t>$2–5/t</w:t>
            </w:r>
          </w:p>
        </w:tc>
      </w:tr>
      <w:tr w:rsidR="009C3A0E" w14:paraId="021F2699" w14:textId="77777777" w:rsidTr="005554BF">
        <w:tc>
          <w:tcPr>
            <w:tcW w:w="4398" w:type="dxa"/>
          </w:tcPr>
          <w:p w14:paraId="4CB6C917" w14:textId="77777777" w:rsidR="009C3A0E" w:rsidRDefault="00994197">
            <w:pPr>
              <w:pStyle w:val="cTableBody"/>
              <w:spacing w:before="0"/>
            </w:pPr>
            <w:r>
              <w:lastRenderedPageBreak/>
              <w:t>Gas/liquefied gas / hazardous liquid</w:t>
            </w:r>
          </w:p>
        </w:tc>
        <w:tc>
          <w:tcPr>
            <w:tcW w:w="3831" w:type="dxa"/>
          </w:tcPr>
          <w:p w14:paraId="1B4D5E16" w14:textId="77777777" w:rsidR="009C3A0E" w:rsidRDefault="00994197">
            <w:pPr>
              <w:pStyle w:val="cTableBody"/>
              <w:spacing w:before="0"/>
            </w:pPr>
            <w:r>
              <w:t>$3–7/t</w:t>
            </w:r>
          </w:p>
        </w:tc>
      </w:tr>
      <w:tr w:rsidR="009C3A0E" w14:paraId="696F80FB" w14:textId="77777777" w:rsidTr="005554BF">
        <w:tc>
          <w:tcPr>
            <w:tcW w:w="4398" w:type="dxa"/>
          </w:tcPr>
          <w:p w14:paraId="00185C54" w14:textId="77777777" w:rsidR="009C3A0E" w:rsidRDefault="00994197">
            <w:pPr>
              <w:pStyle w:val="cTableBody"/>
              <w:spacing w:before="0"/>
            </w:pPr>
            <w:r>
              <w:t>High-volume dry bulk by enclosed conveyor</w:t>
            </w:r>
          </w:p>
        </w:tc>
        <w:tc>
          <w:tcPr>
            <w:tcW w:w="3831" w:type="dxa"/>
          </w:tcPr>
          <w:p w14:paraId="419AC475" w14:textId="77777777" w:rsidR="009C3A0E" w:rsidRDefault="00994197">
            <w:pPr>
              <w:pStyle w:val="cTableBody"/>
              <w:spacing w:before="0"/>
            </w:pPr>
            <w:r>
              <w:t>$3–6/t</w:t>
            </w:r>
          </w:p>
        </w:tc>
      </w:tr>
      <w:tr w:rsidR="009C3A0E" w14:paraId="0A655E60" w14:textId="77777777" w:rsidTr="005554BF">
        <w:tc>
          <w:tcPr>
            <w:tcW w:w="4398" w:type="dxa"/>
          </w:tcPr>
          <w:p w14:paraId="75B40D33" w14:textId="77777777" w:rsidR="009C3A0E" w:rsidRDefault="00994197">
            <w:pPr>
              <w:pStyle w:val="cTableBody"/>
              <w:spacing w:before="0"/>
            </w:pPr>
            <w:r>
              <w:t>Less convenient dry bulk</w:t>
            </w:r>
          </w:p>
        </w:tc>
        <w:tc>
          <w:tcPr>
            <w:tcW w:w="3831" w:type="dxa"/>
          </w:tcPr>
          <w:p w14:paraId="176B4C93" w14:textId="77777777" w:rsidR="009C3A0E" w:rsidRDefault="00994197">
            <w:pPr>
              <w:pStyle w:val="cTableBody"/>
              <w:spacing w:before="0"/>
            </w:pPr>
            <w:r>
              <w:t>$4–8/t</w:t>
            </w:r>
          </w:p>
        </w:tc>
      </w:tr>
      <w:tr w:rsidR="009C3A0E" w14:paraId="274A0A59" w14:textId="77777777" w:rsidTr="005554BF">
        <w:tc>
          <w:tcPr>
            <w:tcW w:w="4398" w:type="dxa"/>
          </w:tcPr>
          <w:p w14:paraId="6DE23A7A" w14:textId="77777777" w:rsidR="009C3A0E" w:rsidRDefault="00994197">
            <w:pPr>
              <w:pStyle w:val="cTableBody"/>
              <w:spacing w:before="0"/>
            </w:pPr>
            <w:r>
              <w:t>Packaged/drummed/palletized solids by rail cart</w:t>
            </w:r>
          </w:p>
        </w:tc>
        <w:tc>
          <w:tcPr>
            <w:tcW w:w="3831" w:type="dxa"/>
          </w:tcPr>
          <w:p w14:paraId="1AEA3D9A" w14:textId="77777777" w:rsidR="009C3A0E" w:rsidRDefault="00994197">
            <w:pPr>
              <w:pStyle w:val="cTableBody"/>
              <w:spacing w:before="0"/>
            </w:pPr>
            <w:r>
              <w:t>$6–15/t</w:t>
            </w:r>
          </w:p>
        </w:tc>
      </w:tr>
      <w:tr w:rsidR="009C3A0E" w14:paraId="0C9BB3DF" w14:textId="77777777" w:rsidTr="005554BF">
        <w:tc>
          <w:tcPr>
            <w:tcW w:w="4398" w:type="dxa"/>
          </w:tcPr>
          <w:p w14:paraId="5E7BC428" w14:textId="77777777" w:rsidR="009C3A0E" w:rsidRDefault="00994197">
            <w:pPr>
              <w:pStyle w:val="cTableBody"/>
              <w:spacing w:before="0"/>
            </w:pPr>
            <w:r>
              <w:t>Platform-to-platform pumped liquid, short distance</w:t>
            </w:r>
          </w:p>
        </w:tc>
        <w:tc>
          <w:tcPr>
            <w:tcW w:w="3831" w:type="dxa"/>
          </w:tcPr>
          <w:p w14:paraId="4D212BD7" w14:textId="77777777" w:rsidR="009C3A0E" w:rsidRDefault="00994197">
            <w:pPr>
              <w:pStyle w:val="cTableBody"/>
              <w:spacing w:before="0"/>
            </w:pPr>
            <w:r>
              <w:t>~$0.2–1/t</w:t>
            </w:r>
          </w:p>
        </w:tc>
      </w:tr>
      <w:tr w:rsidR="009C3A0E" w14:paraId="678AF83C" w14:textId="77777777" w:rsidTr="005554BF">
        <w:tc>
          <w:tcPr>
            <w:tcW w:w="4398" w:type="dxa"/>
          </w:tcPr>
          <w:p w14:paraId="4C50208B" w14:textId="77777777" w:rsidR="009C3A0E" w:rsidRDefault="00994197">
            <w:pPr>
              <w:pStyle w:val="cTableBody"/>
              <w:spacing w:before="0"/>
            </w:pPr>
            <w:r>
              <w:t>Platform-to-platform bulk conveyor</w:t>
            </w:r>
          </w:p>
        </w:tc>
        <w:tc>
          <w:tcPr>
            <w:tcW w:w="3831" w:type="dxa"/>
          </w:tcPr>
          <w:p w14:paraId="38FD469E" w14:textId="77777777" w:rsidR="009C3A0E" w:rsidRDefault="00994197">
            <w:pPr>
              <w:pStyle w:val="cTableBody"/>
              <w:spacing w:before="0"/>
            </w:pPr>
            <w:r>
              <w:t>~$0.3–1.5/t</w:t>
            </w:r>
          </w:p>
        </w:tc>
      </w:tr>
      <w:tr w:rsidR="009C3A0E" w14:paraId="6CAF35E6" w14:textId="77777777" w:rsidTr="005554BF">
        <w:tc>
          <w:tcPr>
            <w:tcW w:w="4398" w:type="dxa"/>
          </w:tcPr>
          <w:p w14:paraId="5961F1A8" w14:textId="77777777" w:rsidR="009C3A0E" w:rsidRDefault="00994197">
            <w:pPr>
              <w:pStyle w:val="cTableBody"/>
              <w:spacing w:before="0"/>
            </w:pPr>
            <w:r>
              <w:t>Platform-to-platform rail-cart movement</w:t>
            </w:r>
          </w:p>
        </w:tc>
        <w:tc>
          <w:tcPr>
            <w:tcW w:w="3831" w:type="dxa"/>
          </w:tcPr>
          <w:p w14:paraId="1D80AE66" w14:textId="77777777" w:rsidR="009C3A0E" w:rsidRDefault="00994197">
            <w:pPr>
              <w:pStyle w:val="cTableBody"/>
              <w:spacing w:before="0"/>
            </w:pPr>
            <w:r>
              <w:t>~$1–3/t</w:t>
            </w:r>
          </w:p>
        </w:tc>
      </w:tr>
    </w:tbl>
    <w:p w14:paraId="18B3B743" w14:textId="77777777" w:rsidR="009C3A0E" w:rsidRDefault="00994197">
      <w:pPr>
        <w:rPr>
          <w:rFonts w:asciiTheme="majorHAnsi" w:eastAsia="Times New Roman" w:hAnsiTheme="majorHAnsi" w:cstheme="majorHAnsi"/>
          <w:szCs w:val="24"/>
        </w:rPr>
      </w:pPr>
      <w:r>
        <w:rPr>
          <w:rFonts w:eastAsia="Times New Roman" w:cstheme="majorHAnsi"/>
          <w:szCs w:val="24"/>
        </w:rPr>
        <w:t xml:space="preserve">These last several numbers are my </w:t>
      </w:r>
      <w:r>
        <w:rPr>
          <w:rFonts w:eastAsia="Times New Roman" w:cstheme="majorHAnsi"/>
          <w:b/>
          <w:bCs/>
          <w:szCs w:val="24"/>
        </w:rPr>
        <w:t>engineering planning estimates</w:t>
      </w:r>
      <w:r>
        <w:rPr>
          <w:rFonts w:eastAsia="Times New Roman" w:cstheme="majorHAnsi"/>
          <w:szCs w:val="24"/>
        </w:rPr>
        <w:t>, rather than published Chinese tariffs.</w:t>
      </w:r>
    </w:p>
    <w:p w14:paraId="418A3EC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actual energy required to pump a liquid several hundred meters is almost negligible. The money is mainly in </w:t>
      </w:r>
      <w:r>
        <w:rPr>
          <w:rFonts w:eastAsia="Times New Roman" w:cstheme="majorHAnsi"/>
          <w:b/>
          <w:bCs/>
          <w:szCs w:val="24"/>
        </w:rPr>
        <w:t>pipes, pumps, valves, manifolds, maintenance, inspections, containment and safety</w:t>
      </w:r>
      <w:r>
        <w:rPr>
          <w:rFonts w:eastAsia="Times New Roman" w:cstheme="majorHAnsi"/>
          <w:szCs w:val="24"/>
        </w:rPr>
        <w:t>, not electricity.</w:t>
      </w:r>
    </w:p>
    <w:p w14:paraId="6F987140" w14:textId="77777777" w:rsidR="009C3A0E" w:rsidRDefault="00994197">
      <w:pPr>
        <w:pStyle w:val="Heading2"/>
        <w:spacing w:before="280"/>
      </w:pPr>
      <w:r>
        <w:t>2. The new nuclear site needs significant logistics infrastructure</w:t>
      </w:r>
    </w:p>
    <w:p w14:paraId="463D8D3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Your concept isn't free. A new nuclear-processing super-site needs:</w:t>
      </w:r>
    </w:p>
    <w:p w14:paraId="425FAFFB" w14:textId="77777777" w:rsidR="009C3A0E" w:rsidRDefault="00994197" w:rsidP="00CC7965">
      <w:pPr>
        <w:pStyle w:val="bblueindent"/>
      </w:pPr>
      <w:r>
        <w:t>berths + loading arms + tanks/silos + pumps + enclosed conveyors + material tunnels + utility tunnels + rail-cart system + double-rail platform transporter + manifolds + safety systems + controls.</w:t>
      </w:r>
    </w:p>
    <w:p w14:paraId="6BEEF5B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Chinese projects show how wide the possible capital range is. A relatively modest liquid-bulk terminal at Tongling is about RMB 100 million for 1.1 Mt/y capacity, whereas the much larger and more sophisticated Huanghua liquid-chemical terminal—two berths plus </w:t>
      </w:r>
      <w:r>
        <w:rPr>
          <w:rFonts w:eastAsia="Times New Roman" w:cstheme="majorHAnsi"/>
          <w:b/>
          <w:bCs/>
          <w:szCs w:val="24"/>
        </w:rPr>
        <w:t>54 storage tanks</w:t>
      </w:r>
      <w:r>
        <w:rPr>
          <w:rFonts w:eastAsia="Times New Roman" w:cstheme="majorHAnsi"/>
          <w:szCs w:val="24"/>
        </w:rPr>
        <w:t>—is about RMB 4.214 billion for 4.27 Mt/y (i.e. “Mt” refers to million of tonnes, “y” refers to years).</w:t>
      </w:r>
    </w:p>
    <w:p w14:paraId="49555CE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At a 7% real capital cost over 30 years, those examples imply roughly </w:t>
      </w:r>
      <w:r>
        <w:rPr>
          <w:rFonts w:eastAsia="Times New Roman" w:cstheme="majorHAnsi"/>
          <w:b/>
          <w:bCs/>
          <w:szCs w:val="24"/>
        </w:rPr>
        <w:t>$1/t to $12/t of throughput just for capital recovery</w:t>
      </w:r>
      <w:r>
        <w:rPr>
          <w:rFonts w:eastAsia="Times New Roman" w:cstheme="majorHAnsi"/>
          <w:szCs w:val="24"/>
        </w:rPr>
        <w:t>, before operating cost. The huge range comes from how much storage, hazardous-material capability, dredging, berth work and ancillary equipment is included.</w:t>
      </w:r>
    </w:p>
    <w:p w14:paraId="6AD9C14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your very large super-site, I would aim for:</w:t>
      </w:r>
    </w:p>
    <w:p w14:paraId="3ED916A4" w14:textId="77777777" w:rsidR="009C3A0E" w:rsidRDefault="00994197" w:rsidP="00CC7965">
      <w:pPr>
        <w:pStyle w:val="bblueindent"/>
      </w:pPr>
      <w:r>
        <w:t>~$3–7 per tonne crossing the ship/site boundary, all-in, for high-volume ordinary bulk liquids/solids.</w:t>
      </w:r>
    </w:p>
    <w:p w14:paraId="294654A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More difficult hazardous chemicals could be </w:t>
      </w:r>
      <w:r>
        <w:rPr>
          <w:rFonts w:eastAsia="Times New Roman" w:cstheme="majorHAnsi"/>
          <w:b/>
          <w:bCs/>
          <w:szCs w:val="24"/>
        </w:rPr>
        <w:t>$5–12/t</w:t>
      </w:r>
      <w:r>
        <w:rPr>
          <w:rFonts w:eastAsia="Times New Roman" w:cstheme="majorHAnsi"/>
          <w:szCs w:val="24"/>
        </w:rPr>
        <w:t>.</w:t>
      </w:r>
    </w:p>
    <w:p w14:paraId="0A29E0D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scale of your facility helps enormously because the same terminal, tunnels, manifolds, storage and automation can support many platforms.</w:t>
      </w:r>
    </w:p>
    <w:p w14:paraId="03A42421" w14:textId="77777777" w:rsidR="009C3A0E" w:rsidRDefault="00994197">
      <w:pPr>
        <w:pStyle w:val="Heading2"/>
        <w:spacing w:before="280"/>
      </w:pPr>
      <w:r>
        <w:lastRenderedPageBreak/>
        <w:t>3. New nuclear versus a new coal-based chemical site</w:t>
      </w:r>
    </w:p>
    <w:p w14:paraId="4B0AAF0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This is the easiest comparison.</w:t>
      </w:r>
    </w:p>
    <w:p w14:paraId="73EA4DE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Both sites need essentially the same logistics for the </w:t>
      </w:r>
      <w:r>
        <w:rPr>
          <w:rFonts w:eastAsia="Times New Roman" w:cstheme="majorHAnsi"/>
          <w:b/>
          <w:bCs/>
          <w:szCs w:val="24"/>
        </w:rPr>
        <w:t>chemical feedstocks and finished products</w:t>
      </w:r>
      <w:r>
        <w:rPr>
          <w:rFonts w:eastAsia="Times New Roman" w:cstheme="majorHAnsi"/>
          <w:szCs w:val="24"/>
        </w:rPr>
        <w:t>. If we are making alumina, both need bauxite handling. If making petrochemicals, both need hydrocarbon feedstock handling. If exporting methanol, both need methanol tanks and loading equipment.</w:t>
      </w:r>
    </w:p>
    <w:p w14:paraId="7EBA878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So those costs largely </w:t>
      </w:r>
      <w:r>
        <w:rPr>
          <w:rFonts w:eastAsia="Times New Roman" w:cstheme="majorHAnsi"/>
          <w:b/>
          <w:bCs/>
          <w:szCs w:val="24"/>
        </w:rPr>
        <w:t>cancel</w:t>
      </w:r>
      <w:r>
        <w:rPr>
          <w:rFonts w:eastAsia="Times New Roman" w:cstheme="majorHAnsi"/>
          <w:szCs w:val="24"/>
        </w:rPr>
        <w:t>.</w:t>
      </w:r>
    </w:p>
    <w:p w14:paraId="54ED46E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But the new coal plant has additional logistics that the nuclear plant doesn't:</w:t>
      </w:r>
    </w:p>
    <w:p w14:paraId="2DC56961" w14:textId="77777777" w:rsidR="009C3A0E" w:rsidRDefault="00994197" w:rsidP="00CC7965">
      <w:pPr>
        <w:pStyle w:val="bblueindent"/>
      </w:pPr>
      <w:r>
        <w:t>coal ship unloading → coal storage → coal reclaim → conveyors → crushing/milling → furnace → ash/slag handling, plus pollution-control reagents and waste.</w:t>
      </w:r>
    </w:p>
    <w:p w14:paraId="09686BD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China's recent Huanghua coal-terminal expansion is a good indication of scale: roughly RMB 4.9 billion adds about 53 Mt/y of coal throughput. China is able to automate this extremely well—Huanghua already uses automated coal unloading, stacking, reclaiming and conveying. </w:t>
      </w:r>
    </w:p>
    <w:p w14:paraId="05FD89B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But it still costs money.</w:t>
      </w:r>
    </w:p>
    <w:p w14:paraId="6A9837CB" w14:textId="77777777" w:rsidR="009C3A0E" w:rsidRDefault="00994197">
      <w:pPr>
        <w:spacing w:before="280" w:after="280"/>
        <w:rPr>
          <w:rFonts w:asciiTheme="majorHAnsi" w:eastAsia="Times New Roman" w:hAnsiTheme="majorHAnsi" w:cstheme="majorHAnsi"/>
          <w:szCs w:val="24"/>
        </w:rPr>
      </w:pPr>
      <w:r>
        <w:t>A useful rule is that 5,500-kcal/kg coal contains about 6.4 MWhₜₕ/t. At ~85% useful industrial-boiler efficiency: 6.4 × 0.85 ≈ 5.44 MWhₜₕ of useful heat per tonne of coal.</w:t>
      </w:r>
    </w:p>
    <w:p w14:paraId="6CA1678C" w14:textId="77777777" w:rsidR="009C3A0E" w:rsidRDefault="00994197">
      <w:pPr>
        <w:spacing w:before="280" w:after="280"/>
        <w:rPr>
          <w:rFonts w:asciiTheme="majorHAnsi" w:eastAsia="Times New Roman" w:hAnsiTheme="majorHAnsi" w:cstheme="majorHAnsi"/>
          <w:szCs w:val="24"/>
        </w:rPr>
      </w:pPr>
      <w:r>
        <w:t>So, a ~$4/t coal port-handling cost represents only about $4 / 5.44 ≈ $0.74/MWhₜₕ of useful heat.</w:t>
      </w:r>
    </w:p>
    <w:p w14:paraId="070E48E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Add coal-yard/conveyor operation and ash handling and I would carry roughly:</w:t>
      </w:r>
    </w:p>
    <w:p w14:paraId="4A1017F1" w14:textId="77777777" w:rsidR="009C3A0E" w:rsidRDefault="00994197" w:rsidP="00CC7965">
      <w:pPr>
        <w:pStyle w:val="bblueindent"/>
      </w:pPr>
      <w:r>
        <w:t>$1–2/MWh</w:t>
      </w:r>
      <w:r>
        <w:rPr>
          <w:rFonts w:ascii="Cambria Math" w:hAnsi="Cambria Math" w:cs="Cambria Math"/>
        </w:rPr>
        <w:t>ₜₕ</w:t>
      </w:r>
      <w:r>
        <w:t xml:space="preserve"> of additional coal logistics</w:t>
      </w:r>
    </w:p>
    <w:p w14:paraId="667357B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a large coastal facility.</w:t>
      </w:r>
    </w:p>
    <w:p w14:paraId="71F8AED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isn't enormous—but nuclear avoids it entirely.</w:t>
      </w:r>
    </w:p>
    <w:p w14:paraId="6C576FA0" w14:textId="77777777" w:rsidR="009C3A0E" w:rsidRDefault="00994197">
      <w:pPr>
        <w:pStyle w:val="Heading2"/>
        <w:spacing w:before="280"/>
      </w:pPr>
      <w:r>
        <w:t>4. Now compare the actual economics</w:t>
      </w:r>
    </w:p>
    <w:p w14:paraId="716235F2" w14:textId="77777777" w:rsidR="009C3A0E" w:rsidRDefault="00994197">
      <w:pPr>
        <w:rPr>
          <w:rFonts w:asciiTheme="majorHAnsi" w:eastAsia="Times New Roman" w:hAnsiTheme="majorHAnsi" w:cstheme="majorHAnsi"/>
          <w:szCs w:val="24"/>
        </w:rPr>
      </w:pPr>
      <w:r>
        <w:t>Your the current companion site-construction proposal document currently uses:</w:t>
      </w:r>
    </w:p>
    <w:tbl>
      <w:tblPr>
        <w:tblStyle w:val="gswTableStyle"/>
        <w:tblW w:w="4644" w:type="dxa"/>
        <w:tblLayout w:type="fixed"/>
        <w:tblLook w:val="04A0" w:firstRow="1" w:lastRow="0" w:firstColumn="1" w:lastColumn="0" w:noHBand="0" w:noVBand="1"/>
      </w:tblPr>
      <w:tblGrid>
        <w:gridCol w:w="2021"/>
        <w:gridCol w:w="2623"/>
      </w:tblGrid>
      <w:tr w:rsidR="009C3A0E" w14:paraId="6F05E8BD" w14:textId="77777777" w:rsidTr="005554BF">
        <w:trPr>
          <w:cnfStyle w:val="100000000000" w:firstRow="1" w:lastRow="0" w:firstColumn="0" w:lastColumn="0" w:oddVBand="0" w:evenVBand="0" w:oddHBand="0" w:evenHBand="0" w:firstRowFirstColumn="0" w:firstRowLastColumn="0" w:lastRowFirstColumn="0" w:lastRowLastColumn="0"/>
        </w:trPr>
        <w:tc>
          <w:tcPr>
            <w:tcW w:w="2021" w:type="dxa"/>
          </w:tcPr>
          <w:p w14:paraId="5FBC899C" w14:textId="77777777" w:rsidR="009C3A0E" w:rsidRDefault="00994197" w:rsidP="001478EC">
            <w:pPr>
              <w:pStyle w:val="cTableHeader"/>
              <w:keepNext/>
              <w:spacing w:before="0" w:after="0"/>
            </w:pPr>
            <w:r>
              <w:t>Heat source, China</w:t>
            </w:r>
          </w:p>
        </w:tc>
        <w:tc>
          <w:tcPr>
            <w:tcW w:w="2622" w:type="dxa"/>
          </w:tcPr>
          <w:p w14:paraId="5EF819E2" w14:textId="77777777" w:rsidR="009C3A0E" w:rsidRDefault="00994197" w:rsidP="001478EC">
            <w:pPr>
              <w:pStyle w:val="cTableHeader"/>
              <w:keepNext/>
              <w:spacing w:before="0" w:after="0"/>
            </w:pPr>
            <w:r>
              <w:t>Cost of useful process heat</w:t>
            </w:r>
          </w:p>
        </w:tc>
      </w:tr>
      <w:tr w:rsidR="009C3A0E" w14:paraId="07A49F68" w14:textId="77777777" w:rsidTr="005554BF">
        <w:tc>
          <w:tcPr>
            <w:tcW w:w="2021" w:type="dxa"/>
          </w:tcPr>
          <w:p w14:paraId="50BE7B3E" w14:textId="77777777" w:rsidR="009C3A0E" w:rsidRDefault="00994197" w:rsidP="001478EC">
            <w:pPr>
              <w:pStyle w:val="cTableBody"/>
              <w:keepNext/>
              <w:spacing w:before="0" w:beforeAutospacing="0"/>
            </w:pPr>
            <w:r>
              <w:t>Automated PWR</w:t>
            </w:r>
          </w:p>
        </w:tc>
        <w:tc>
          <w:tcPr>
            <w:tcW w:w="2622" w:type="dxa"/>
          </w:tcPr>
          <w:p w14:paraId="368AD89C" w14:textId="77777777" w:rsidR="009C3A0E" w:rsidRDefault="00994197" w:rsidP="001478EC">
            <w:pPr>
              <w:pStyle w:val="cTableBody"/>
              <w:keepNext/>
              <w:spacing w:before="0" w:beforeAutospacing="0"/>
            </w:pPr>
            <w:r>
              <w:t>$10/MWh</w:t>
            </w:r>
            <w:r>
              <w:rPr>
                <w:rFonts w:ascii="Cambria Math" w:hAnsi="Cambria Math" w:cs="Cambria Math"/>
              </w:rPr>
              <w:t>ₜₕ</w:t>
            </w:r>
          </w:p>
        </w:tc>
      </w:tr>
      <w:tr w:rsidR="009C3A0E" w14:paraId="24D02C75" w14:textId="77777777" w:rsidTr="005554BF">
        <w:tc>
          <w:tcPr>
            <w:tcW w:w="2021" w:type="dxa"/>
          </w:tcPr>
          <w:p w14:paraId="51841E3D" w14:textId="77777777" w:rsidR="009C3A0E" w:rsidRDefault="00994197">
            <w:pPr>
              <w:pStyle w:val="cTableBody"/>
              <w:spacing w:before="0"/>
            </w:pPr>
            <w:r>
              <w:t>Automated HTR-PM</w:t>
            </w:r>
          </w:p>
        </w:tc>
        <w:tc>
          <w:tcPr>
            <w:tcW w:w="2622" w:type="dxa"/>
          </w:tcPr>
          <w:p w14:paraId="5488F29C" w14:textId="77777777" w:rsidR="009C3A0E" w:rsidRDefault="00994197">
            <w:pPr>
              <w:pStyle w:val="cTableBody"/>
              <w:spacing w:before="0"/>
            </w:pPr>
            <w:r>
              <w:t>$15/MWh</w:t>
            </w:r>
            <w:r>
              <w:rPr>
                <w:rFonts w:ascii="Cambria Math" w:hAnsi="Cambria Math" w:cs="Cambria Math"/>
              </w:rPr>
              <w:t>ₜₕ</w:t>
            </w:r>
          </w:p>
        </w:tc>
      </w:tr>
      <w:tr w:rsidR="009C3A0E" w14:paraId="44567FA7" w14:textId="77777777" w:rsidTr="005554BF">
        <w:tc>
          <w:tcPr>
            <w:tcW w:w="2021" w:type="dxa"/>
          </w:tcPr>
          <w:p w14:paraId="6146398D" w14:textId="77777777" w:rsidR="009C3A0E" w:rsidRDefault="00994197">
            <w:pPr>
              <w:pStyle w:val="cTableBody"/>
              <w:spacing w:before="0"/>
            </w:pPr>
            <w:r>
              <w:lastRenderedPageBreak/>
              <w:t>New coal</w:t>
            </w:r>
          </w:p>
        </w:tc>
        <w:tc>
          <w:tcPr>
            <w:tcW w:w="2622" w:type="dxa"/>
          </w:tcPr>
          <w:p w14:paraId="5E1AC723" w14:textId="77777777" w:rsidR="009C3A0E" w:rsidRDefault="00994197">
            <w:pPr>
              <w:pStyle w:val="cTableBody"/>
              <w:spacing w:before="0"/>
            </w:pPr>
            <w:r>
              <w:t>$21/MWh</w:t>
            </w:r>
            <w:r>
              <w:rPr>
                <w:rFonts w:ascii="Cambria Math" w:hAnsi="Cambria Math" w:cs="Cambria Math"/>
              </w:rPr>
              <w:t>ₜₕ</w:t>
            </w:r>
          </w:p>
        </w:tc>
      </w:tr>
      <w:tr w:rsidR="009C3A0E" w14:paraId="34779969" w14:textId="77777777" w:rsidTr="005554BF">
        <w:tc>
          <w:tcPr>
            <w:tcW w:w="2021" w:type="dxa"/>
          </w:tcPr>
          <w:p w14:paraId="456BFFC3" w14:textId="77777777" w:rsidR="009C3A0E" w:rsidRDefault="00994197">
            <w:pPr>
              <w:pStyle w:val="cTableBody"/>
              <w:spacing w:before="0"/>
            </w:pPr>
            <w:r>
              <w:t>Existing coal, marginal</w:t>
            </w:r>
          </w:p>
        </w:tc>
        <w:tc>
          <w:tcPr>
            <w:tcW w:w="2622" w:type="dxa"/>
          </w:tcPr>
          <w:p w14:paraId="5B3FAA5D" w14:textId="77777777" w:rsidR="009C3A0E" w:rsidRDefault="00994197">
            <w:pPr>
              <w:pStyle w:val="cTableBody"/>
              <w:spacing w:before="0"/>
            </w:pPr>
            <w:r>
              <w:t>$18/MWh</w:t>
            </w:r>
            <w:r>
              <w:rPr>
                <w:rFonts w:ascii="Cambria Math" w:hAnsi="Cambria Math" w:cs="Cambria Math"/>
              </w:rPr>
              <w:t>ₜₕ</w:t>
            </w:r>
          </w:p>
        </w:tc>
      </w:tr>
    </w:tbl>
    <w:p w14:paraId="6B453300" w14:textId="77777777" w:rsidR="009C3A0E" w:rsidRDefault="00994197">
      <w:pPr>
        <w:rPr>
          <w:rFonts w:asciiTheme="majorHAnsi" w:eastAsia="Times New Roman" w:hAnsiTheme="majorHAnsi" w:cstheme="majorHAnsi"/>
          <w:szCs w:val="24"/>
        </w:rPr>
      </w:pPr>
      <w:r>
        <w:rPr>
          <w:rFonts w:eastAsia="Times New Roman" w:cstheme="majorHAnsi"/>
          <w:szCs w:val="24"/>
        </w:rPr>
        <w:t>The nuclear values are R&amp;D target/scenario estimates, not demonstrated costs. That's an important qualification.</w:t>
      </w:r>
    </w:p>
    <w:p w14:paraId="58C26961" w14:textId="77777777" w:rsidR="009C3A0E" w:rsidRDefault="00994197">
      <w:pPr>
        <w:pStyle w:val="Heading3"/>
        <w:spacing w:before="280" w:after="280"/>
      </w:pPr>
      <w:r>
        <w:t>Case A — New nuclear site versus new coal site</w:t>
      </w:r>
    </w:p>
    <w:p w14:paraId="35519B1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energy advantage is therefore:</w:t>
      </w:r>
    </w:p>
    <w:p w14:paraId="16B85817" w14:textId="77777777" w:rsidR="009C3A0E" w:rsidRDefault="00994197" w:rsidP="001478EC">
      <w:pPr>
        <w:keepNext/>
        <w:ind w:left="1440" w:hanging="1080"/>
        <w:rPr>
          <w:rFonts w:asciiTheme="majorHAnsi" w:eastAsia="Times New Roman" w:hAnsiTheme="majorHAnsi" w:cstheme="majorHAnsi"/>
          <w:szCs w:val="24"/>
        </w:rPr>
      </w:pPr>
      <w:r w:rsidRPr="00CC7965">
        <w:rPr>
          <w:b/>
          <w:bCs/>
        </w:rPr>
        <w:t xml:space="preserve">PWR: </w:t>
      </w:r>
      <w:r w:rsidR="00CC7965">
        <w:tab/>
      </w:r>
      <w:r>
        <w:t>$21 - $10 = $11/MWhₜₕ lower than new coal.</w:t>
      </w:r>
    </w:p>
    <w:p w14:paraId="391838CE" w14:textId="77777777" w:rsidR="009C3A0E" w:rsidRDefault="00994197" w:rsidP="001478EC">
      <w:pPr>
        <w:keepNext/>
        <w:ind w:left="1440" w:hanging="1080"/>
        <w:rPr>
          <w:rFonts w:asciiTheme="majorHAnsi" w:eastAsia="Times New Roman" w:hAnsiTheme="majorHAnsi" w:cstheme="majorHAnsi"/>
          <w:szCs w:val="24"/>
        </w:rPr>
      </w:pPr>
      <w:r w:rsidRPr="00CC7965">
        <w:rPr>
          <w:b/>
          <w:bCs/>
        </w:rPr>
        <w:t>HTR-PM:</w:t>
      </w:r>
      <w:r w:rsidR="00CC7965">
        <w:tab/>
      </w:r>
      <w:r>
        <w:t>$21 - $15 = $6/MWhₜₕ lower than new coal.</w:t>
      </w:r>
    </w:p>
    <w:p w14:paraId="7148177E" w14:textId="77777777" w:rsidR="009C3A0E" w:rsidRDefault="00994197">
      <w:pPr>
        <w:rPr>
          <w:rFonts w:asciiTheme="majorHAnsi" w:eastAsia="Times New Roman" w:hAnsiTheme="majorHAnsi" w:cstheme="majorHAnsi"/>
          <w:szCs w:val="24"/>
        </w:rPr>
      </w:pPr>
      <w:r>
        <w:rPr>
          <w:rFonts w:eastAsia="Times New Roman" w:cstheme="majorHAnsi"/>
          <w:szCs w:val="24"/>
        </w:rPr>
        <w:t xml:space="preserve">Now consider a chemical product requiring </w:t>
      </w:r>
      <w:r>
        <w:rPr>
          <w:rFonts w:eastAsia="Times New Roman" w:cstheme="majorHAnsi"/>
          <w:b/>
          <w:bCs/>
          <w:szCs w:val="24"/>
        </w:rPr>
        <w:t>3 MWh of process heat per tonne of product</w:t>
      </w:r>
      <w:r>
        <w:rPr>
          <w:rFonts w:eastAsia="Times New Roman" w:cstheme="majorHAnsi"/>
          <w:szCs w:val="24"/>
        </w:rPr>
        <w:t>.</w:t>
      </w:r>
    </w:p>
    <w:tbl>
      <w:tblPr>
        <w:tblStyle w:val="gswTableStyle"/>
        <w:tblW w:w="6480" w:type="dxa"/>
        <w:tblLayout w:type="fixed"/>
        <w:tblLook w:val="04A0" w:firstRow="1" w:lastRow="0" w:firstColumn="1" w:lastColumn="0" w:noHBand="0" w:noVBand="1"/>
      </w:tblPr>
      <w:tblGrid>
        <w:gridCol w:w="2240"/>
        <w:gridCol w:w="2075"/>
        <w:gridCol w:w="2165"/>
      </w:tblGrid>
      <w:tr w:rsidR="009C3A0E" w14:paraId="08755F48" w14:textId="77777777" w:rsidTr="005554BF">
        <w:trPr>
          <w:cnfStyle w:val="100000000000" w:firstRow="1" w:lastRow="0" w:firstColumn="0" w:lastColumn="0" w:oddVBand="0" w:evenVBand="0" w:oddHBand="0" w:evenHBand="0" w:firstRowFirstColumn="0" w:firstRowLastColumn="0" w:lastRowFirstColumn="0" w:lastRowLastColumn="0"/>
        </w:trPr>
        <w:tc>
          <w:tcPr>
            <w:tcW w:w="2240" w:type="dxa"/>
          </w:tcPr>
          <w:p w14:paraId="75BA22BF" w14:textId="77777777" w:rsidR="009C3A0E" w:rsidRDefault="00994197">
            <w:pPr>
              <w:pStyle w:val="cTableHeader"/>
              <w:spacing w:before="0" w:after="0"/>
            </w:pPr>
            <w:r>
              <w:t>New-build comparison</w:t>
            </w:r>
          </w:p>
        </w:tc>
        <w:tc>
          <w:tcPr>
            <w:tcW w:w="2075" w:type="dxa"/>
          </w:tcPr>
          <w:p w14:paraId="00D401D6" w14:textId="77777777" w:rsidR="009C3A0E" w:rsidRDefault="00994197">
            <w:pPr>
              <w:pStyle w:val="cTableHeader"/>
              <w:spacing w:before="0" w:after="0"/>
            </w:pPr>
            <w:r>
              <w:t>Heat cost / t product</w:t>
            </w:r>
          </w:p>
        </w:tc>
        <w:tc>
          <w:tcPr>
            <w:tcW w:w="2165" w:type="dxa"/>
          </w:tcPr>
          <w:p w14:paraId="60571960" w14:textId="77777777" w:rsidR="009C3A0E" w:rsidRDefault="00994197">
            <w:pPr>
              <w:pStyle w:val="cTableHeader"/>
              <w:spacing w:before="0" w:after="0"/>
            </w:pPr>
            <w:r>
              <w:t>Relative difference</w:t>
            </w:r>
          </w:p>
        </w:tc>
      </w:tr>
      <w:tr w:rsidR="009C3A0E" w14:paraId="1EB0DAEA" w14:textId="77777777" w:rsidTr="005554BF">
        <w:tc>
          <w:tcPr>
            <w:tcW w:w="2240" w:type="dxa"/>
          </w:tcPr>
          <w:p w14:paraId="19D4FF36" w14:textId="77777777" w:rsidR="009C3A0E" w:rsidRDefault="00994197">
            <w:pPr>
              <w:pStyle w:val="cTableBody"/>
              <w:spacing w:before="0"/>
            </w:pPr>
            <w:r>
              <w:t>Automated PWR</w:t>
            </w:r>
          </w:p>
        </w:tc>
        <w:tc>
          <w:tcPr>
            <w:tcW w:w="2075" w:type="dxa"/>
          </w:tcPr>
          <w:p w14:paraId="1B4F7AFC" w14:textId="77777777" w:rsidR="009C3A0E" w:rsidRDefault="00994197">
            <w:pPr>
              <w:pStyle w:val="cTableBody"/>
              <w:spacing w:before="0"/>
            </w:pPr>
            <w:r>
              <w:t>$30/t</w:t>
            </w:r>
          </w:p>
        </w:tc>
        <w:tc>
          <w:tcPr>
            <w:tcW w:w="2165" w:type="dxa"/>
          </w:tcPr>
          <w:p w14:paraId="532DCA25" w14:textId="77777777" w:rsidR="009C3A0E" w:rsidRDefault="00994197">
            <w:pPr>
              <w:pStyle w:val="cTableBody"/>
              <w:spacing w:before="0"/>
            </w:pPr>
            <w:r>
              <w:t>$33/t cheaper than coal</w:t>
            </w:r>
          </w:p>
        </w:tc>
      </w:tr>
      <w:tr w:rsidR="009C3A0E" w14:paraId="64717A28" w14:textId="77777777" w:rsidTr="005554BF">
        <w:tc>
          <w:tcPr>
            <w:tcW w:w="2240" w:type="dxa"/>
          </w:tcPr>
          <w:p w14:paraId="01CB04F3" w14:textId="77777777" w:rsidR="009C3A0E" w:rsidRDefault="00994197">
            <w:pPr>
              <w:pStyle w:val="cTableBody"/>
              <w:spacing w:before="0"/>
            </w:pPr>
            <w:r>
              <w:t>Automated HTR-PM</w:t>
            </w:r>
          </w:p>
        </w:tc>
        <w:tc>
          <w:tcPr>
            <w:tcW w:w="2075" w:type="dxa"/>
          </w:tcPr>
          <w:p w14:paraId="64898BC2" w14:textId="77777777" w:rsidR="009C3A0E" w:rsidRDefault="00994197">
            <w:pPr>
              <w:pStyle w:val="cTableBody"/>
              <w:spacing w:before="0"/>
            </w:pPr>
            <w:r>
              <w:t>$45/t</w:t>
            </w:r>
          </w:p>
        </w:tc>
        <w:tc>
          <w:tcPr>
            <w:tcW w:w="2165" w:type="dxa"/>
          </w:tcPr>
          <w:p w14:paraId="0BC37523" w14:textId="77777777" w:rsidR="009C3A0E" w:rsidRDefault="00994197">
            <w:pPr>
              <w:pStyle w:val="cTableBody"/>
              <w:spacing w:before="0"/>
            </w:pPr>
            <w:r>
              <w:t>$18/t cheaper than coal</w:t>
            </w:r>
          </w:p>
        </w:tc>
      </w:tr>
      <w:tr w:rsidR="009C3A0E" w14:paraId="45600DD6" w14:textId="77777777" w:rsidTr="005554BF">
        <w:tc>
          <w:tcPr>
            <w:tcW w:w="2240" w:type="dxa"/>
          </w:tcPr>
          <w:p w14:paraId="70684471" w14:textId="77777777" w:rsidR="009C3A0E" w:rsidRDefault="00994197">
            <w:pPr>
              <w:pStyle w:val="cTableBody"/>
              <w:spacing w:before="0"/>
            </w:pPr>
            <w:r>
              <w:t>New coal</w:t>
            </w:r>
          </w:p>
        </w:tc>
        <w:tc>
          <w:tcPr>
            <w:tcW w:w="2075" w:type="dxa"/>
          </w:tcPr>
          <w:p w14:paraId="6B16A32D" w14:textId="77777777" w:rsidR="009C3A0E" w:rsidRDefault="00994197">
            <w:pPr>
              <w:pStyle w:val="cTableBody"/>
              <w:spacing w:before="0"/>
            </w:pPr>
            <w:r>
              <w:t>$63/t</w:t>
            </w:r>
          </w:p>
        </w:tc>
        <w:tc>
          <w:tcPr>
            <w:tcW w:w="2165" w:type="dxa"/>
          </w:tcPr>
          <w:p w14:paraId="5E7EE690" w14:textId="77777777" w:rsidR="009C3A0E" w:rsidRDefault="00994197">
            <w:pPr>
              <w:pStyle w:val="cTableBody"/>
              <w:spacing w:before="0"/>
            </w:pPr>
            <w:r>
              <w:t>baseline</w:t>
            </w:r>
          </w:p>
        </w:tc>
      </w:tr>
    </w:tbl>
    <w:p w14:paraId="10FF9752" w14:textId="77777777" w:rsidR="009C3A0E" w:rsidRDefault="00994197">
      <w:pPr>
        <w:rPr>
          <w:rFonts w:asciiTheme="majorHAnsi" w:eastAsia="Times New Roman" w:hAnsiTheme="majorHAnsi" w:cstheme="majorHAnsi"/>
          <w:szCs w:val="24"/>
        </w:rPr>
      </w:pPr>
      <w:r>
        <w:rPr>
          <w:rFonts w:eastAsia="Times New Roman" w:cstheme="majorHAnsi"/>
          <w:szCs w:val="24"/>
        </w:rPr>
        <w:t>On top of that, coal has roughly another few dollars per tonne of product for coal handling/ash logistics.</w:t>
      </w:r>
    </w:p>
    <w:p w14:paraId="385CF0B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nuclear yard may have somewhat more expensive plug-and-play tunnels and modular platform interfaces than a conventional chemical plant, but </w:t>
      </w:r>
      <w:r>
        <w:rPr>
          <w:rFonts w:eastAsia="Times New Roman" w:cstheme="majorHAnsi"/>
          <w:b/>
          <w:bCs/>
          <w:szCs w:val="24"/>
        </w:rPr>
        <w:t>there is plenty of economic headroom</w:t>
      </w:r>
      <w:r>
        <w:rPr>
          <w:rFonts w:eastAsia="Times New Roman" w:cstheme="majorHAnsi"/>
          <w:szCs w:val="24"/>
        </w:rPr>
        <w:t xml:space="preserve"> in a 3-MWh/t process.</w:t>
      </w:r>
    </w:p>
    <w:p w14:paraId="608A903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 would expect:</w:t>
      </w:r>
    </w:p>
    <w:p w14:paraId="3ECB669F" w14:textId="77777777" w:rsidR="009C3A0E" w:rsidRPr="001478EC" w:rsidRDefault="00994197" w:rsidP="001478EC">
      <w:pPr>
        <w:pStyle w:val="blist-bullets"/>
        <w:numPr>
          <w:ilvl w:val="0"/>
          <w:numId w:val="38"/>
        </w:numPr>
        <w:ind w:left="360"/>
        <w:rPr>
          <w:rFonts w:asciiTheme="majorHAnsi" w:eastAsia="Times New Roman" w:hAnsiTheme="majorHAnsi" w:cstheme="majorHAnsi"/>
          <w:szCs w:val="24"/>
        </w:rPr>
      </w:pPr>
      <w:r w:rsidRPr="001478EC">
        <w:rPr>
          <w:rFonts w:eastAsia="Times New Roman" w:cstheme="majorHAnsi"/>
          <w:szCs w:val="24"/>
        </w:rPr>
        <w:t>New PWR processing site versus new coal site: nuclear strongly favored.</w:t>
      </w:r>
    </w:p>
    <w:p w14:paraId="1C2CB708" w14:textId="77777777" w:rsidR="009C3A0E" w:rsidRPr="001478EC" w:rsidRDefault="00994197" w:rsidP="001478EC">
      <w:pPr>
        <w:pStyle w:val="blist-bullets"/>
        <w:numPr>
          <w:ilvl w:val="0"/>
          <w:numId w:val="38"/>
        </w:numPr>
        <w:ind w:left="360"/>
        <w:rPr>
          <w:rFonts w:asciiTheme="majorHAnsi" w:eastAsia="Times New Roman" w:hAnsiTheme="majorHAnsi" w:cstheme="majorHAnsi"/>
          <w:szCs w:val="24"/>
        </w:rPr>
      </w:pPr>
      <w:r w:rsidRPr="001478EC">
        <w:rPr>
          <w:rFonts w:eastAsia="Times New Roman" w:cstheme="majorHAnsi"/>
          <w:szCs w:val="24"/>
        </w:rPr>
        <w:t>New HTR-PM processing site versus new coal site: nuclear favored when its higher-temperature heat is genuinely useful.</w:t>
      </w:r>
    </w:p>
    <w:p w14:paraId="7A767C81" w14:textId="77777777" w:rsidR="009C3A0E" w:rsidRDefault="00994197">
      <w:pPr>
        <w:pStyle w:val="Heading3"/>
        <w:spacing w:before="280" w:after="280"/>
      </w:pPr>
      <w:r>
        <w:t>Case B — New nuclear versus an existing coal site</w:t>
      </w:r>
    </w:p>
    <w:p w14:paraId="2E934F7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This is much harder and is the comparison that should receive the most attention.</w:t>
      </w:r>
    </w:p>
    <w:p w14:paraId="645C193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the existing coal plant, the furnace, coal yard, conveyors, buildings, port equipment and pollution-control hardware are already built. Under your definition, we count essentially:</w:t>
      </w:r>
    </w:p>
    <w:p w14:paraId="3C411BEB" w14:textId="77777777" w:rsidR="009C3A0E" w:rsidRDefault="00994197">
      <w:pPr>
        <w:spacing w:before="280" w:after="280"/>
      </w:pPr>
      <w:r>
        <w:rPr>
          <w:b/>
        </w:rPr>
        <w:lastRenderedPageBreak/>
        <w:t xml:space="preserve">Marginal-cost definition. </w:t>
      </w:r>
      <w:r>
        <w:t>The $18/MWhₜₕ existing-coal benchmark used below is not fuel only. It includes coal fuel plus variable pollution-control/filtration cost, while excluding sunk capital and fixed plant costs.</w:t>
      </w:r>
    </w:p>
    <w:p w14:paraId="28D8C949" w14:textId="77777777" w:rsidR="009C3A0E" w:rsidRDefault="00994197" w:rsidP="00CC7965">
      <w:pPr>
        <w:pStyle w:val="bblueindent"/>
      </w:pPr>
      <w:r>
        <w:t>coal fuel + variable pollution-control/filtration cost</w:t>
      </w:r>
    </w:p>
    <w:p w14:paraId="1FAEB0D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rather than recovering sunk capital.</w:t>
      </w:r>
    </w:p>
    <w:p w14:paraId="0BC3E2BC" w14:textId="77777777" w:rsidR="009C3A0E" w:rsidRDefault="00994197">
      <w:pPr>
        <w:spacing w:before="280" w:after="280"/>
        <w:rPr>
          <w:rFonts w:asciiTheme="majorHAnsi" w:eastAsia="Times New Roman" w:hAnsiTheme="majorHAnsi" w:cstheme="majorHAnsi"/>
          <w:szCs w:val="24"/>
        </w:rPr>
      </w:pPr>
      <w:r>
        <w:t xml:space="preserve">Your the current companion site-construction proposal central value is about $18/MWhₜₕ for that situation. </w:t>
      </w:r>
    </w:p>
    <w:p w14:paraId="74DDEE9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Therefore:</w:t>
      </w:r>
    </w:p>
    <w:p w14:paraId="0117A5E0" w14:textId="77777777" w:rsidR="009C3A0E" w:rsidRDefault="00994197" w:rsidP="005554BF">
      <w:pPr>
        <w:pStyle w:val="bblueindent"/>
        <w:spacing w:before="160" w:beforeAutospacing="0" w:after="160" w:afterAutospacing="0"/>
        <w:ind w:right="14"/>
      </w:pPr>
      <w:r>
        <w:t>Automated PWR advantage: $18 - $10 = $8/MWh</w:t>
      </w:r>
      <w:r>
        <w:rPr>
          <w:rFonts w:ascii="Cambria Math" w:hAnsi="Cambria Math" w:cs="Cambria Math"/>
        </w:rPr>
        <w:t>ₜₕ</w:t>
      </w:r>
      <w:r>
        <w:t>.</w:t>
      </w:r>
    </w:p>
    <w:p w14:paraId="034335B4" w14:textId="77777777" w:rsidR="009C3A0E" w:rsidRDefault="00994197" w:rsidP="005554BF">
      <w:pPr>
        <w:pStyle w:val="bblueindent"/>
        <w:spacing w:before="160" w:beforeAutospacing="0" w:after="160" w:afterAutospacing="0"/>
        <w:ind w:right="14"/>
      </w:pPr>
      <w:r>
        <w:t>Automated HTR-PM advantage: $18 - $15 = $3/MWh</w:t>
      </w:r>
      <w:r>
        <w:rPr>
          <w:rFonts w:ascii="Cambria Math" w:hAnsi="Cambria Math" w:cs="Cambria Math"/>
        </w:rPr>
        <w:t>ₜₕ</w:t>
      </w:r>
      <w:r>
        <w:t>.</w:t>
      </w:r>
    </w:p>
    <w:p w14:paraId="446FFE21" w14:textId="77777777" w:rsidR="009C3A0E" w:rsidRDefault="00994197">
      <w:pPr>
        <w:rPr>
          <w:rFonts w:asciiTheme="majorHAnsi" w:eastAsia="Times New Roman" w:hAnsiTheme="majorHAnsi" w:cstheme="majorHAnsi"/>
          <w:szCs w:val="24"/>
        </w:rPr>
      </w:pPr>
      <w:r>
        <w:rPr>
          <w:rFonts w:eastAsia="Times New Roman" w:cstheme="majorHAnsi"/>
          <w:szCs w:val="24"/>
        </w:rPr>
        <w:t>Using our same 3-MWh/t chemical:</w:t>
      </w:r>
    </w:p>
    <w:tbl>
      <w:tblPr>
        <w:tblStyle w:val="gswTableStyle"/>
        <w:tblW w:w="7577" w:type="dxa"/>
        <w:tblLayout w:type="fixed"/>
        <w:tblLook w:val="04A0" w:firstRow="1" w:lastRow="0" w:firstColumn="1" w:lastColumn="0" w:noHBand="0" w:noVBand="1"/>
      </w:tblPr>
      <w:tblGrid>
        <w:gridCol w:w="3130"/>
        <w:gridCol w:w="2385"/>
        <w:gridCol w:w="2062"/>
      </w:tblGrid>
      <w:tr w:rsidR="009C3A0E" w14:paraId="5474B1CC" w14:textId="77777777" w:rsidTr="005554BF">
        <w:trPr>
          <w:cnfStyle w:val="100000000000" w:firstRow="1" w:lastRow="0" w:firstColumn="0" w:lastColumn="0" w:oddVBand="0" w:evenVBand="0" w:oddHBand="0" w:evenHBand="0" w:firstRowFirstColumn="0" w:firstRowLastColumn="0" w:lastRowFirstColumn="0" w:lastRowLastColumn="0"/>
        </w:trPr>
        <w:tc>
          <w:tcPr>
            <w:tcW w:w="3130" w:type="dxa"/>
          </w:tcPr>
          <w:p w14:paraId="1774FEC2" w14:textId="77777777" w:rsidR="009C3A0E" w:rsidRDefault="00994197">
            <w:pPr>
              <w:pStyle w:val="cTableHeader"/>
              <w:spacing w:before="0" w:after="0"/>
            </w:pPr>
            <w:r>
              <w:t>Comparison against existing coal</w:t>
            </w:r>
          </w:p>
        </w:tc>
        <w:tc>
          <w:tcPr>
            <w:tcW w:w="2385" w:type="dxa"/>
          </w:tcPr>
          <w:p w14:paraId="7E5E1DA2" w14:textId="77777777" w:rsidR="009C3A0E" w:rsidRDefault="00994197">
            <w:pPr>
              <w:pStyle w:val="cTableHeader"/>
              <w:spacing w:before="0" w:after="0"/>
            </w:pPr>
            <w:r>
              <w:t>Process-heat cost</w:t>
            </w:r>
          </w:p>
        </w:tc>
        <w:tc>
          <w:tcPr>
            <w:tcW w:w="2062" w:type="dxa"/>
          </w:tcPr>
          <w:p w14:paraId="7BA3C2CA" w14:textId="77777777" w:rsidR="009C3A0E" w:rsidRDefault="00994197">
            <w:pPr>
              <w:pStyle w:val="cTableHeader"/>
              <w:spacing w:before="0" w:after="0"/>
            </w:pPr>
            <w:r>
              <w:t>Heat-cost advantage</w:t>
            </w:r>
          </w:p>
        </w:tc>
      </w:tr>
      <w:tr w:rsidR="009C3A0E" w14:paraId="1A2B968B" w14:textId="77777777" w:rsidTr="005554BF">
        <w:tc>
          <w:tcPr>
            <w:tcW w:w="3130" w:type="dxa"/>
          </w:tcPr>
          <w:p w14:paraId="1BD5C70A" w14:textId="77777777" w:rsidR="009C3A0E" w:rsidRDefault="00994197">
            <w:pPr>
              <w:pStyle w:val="cTableBody"/>
              <w:spacing w:before="0"/>
            </w:pPr>
            <w:r>
              <w:t>New Automated PWR</w:t>
            </w:r>
          </w:p>
        </w:tc>
        <w:tc>
          <w:tcPr>
            <w:tcW w:w="2385" w:type="dxa"/>
          </w:tcPr>
          <w:p w14:paraId="73417BA2" w14:textId="77777777" w:rsidR="009C3A0E" w:rsidRDefault="00994197">
            <w:pPr>
              <w:pStyle w:val="cTableBody"/>
              <w:spacing w:before="0"/>
            </w:pPr>
            <w:r>
              <w:t>$30/t</w:t>
            </w:r>
          </w:p>
        </w:tc>
        <w:tc>
          <w:tcPr>
            <w:tcW w:w="2062" w:type="dxa"/>
          </w:tcPr>
          <w:p w14:paraId="3230EE1D" w14:textId="77777777" w:rsidR="009C3A0E" w:rsidRDefault="00994197">
            <w:pPr>
              <w:pStyle w:val="cTableBody"/>
              <w:spacing w:before="0"/>
            </w:pPr>
            <w:r>
              <w:t>saves $24/t product</w:t>
            </w:r>
          </w:p>
        </w:tc>
      </w:tr>
      <w:tr w:rsidR="009C3A0E" w14:paraId="212F2B41" w14:textId="77777777" w:rsidTr="005554BF">
        <w:tc>
          <w:tcPr>
            <w:tcW w:w="3130" w:type="dxa"/>
          </w:tcPr>
          <w:p w14:paraId="153B1B54" w14:textId="77777777" w:rsidR="009C3A0E" w:rsidRDefault="00994197">
            <w:pPr>
              <w:pStyle w:val="cTableBody"/>
              <w:spacing w:before="0"/>
            </w:pPr>
            <w:r>
              <w:t>New Automated HTR-PM</w:t>
            </w:r>
          </w:p>
        </w:tc>
        <w:tc>
          <w:tcPr>
            <w:tcW w:w="2385" w:type="dxa"/>
          </w:tcPr>
          <w:p w14:paraId="17942E46" w14:textId="77777777" w:rsidR="009C3A0E" w:rsidRDefault="00994197">
            <w:pPr>
              <w:pStyle w:val="cTableBody"/>
              <w:spacing w:before="0"/>
            </w:pPr>
            <w:r>
              <w:t>$45/t</w:t>
            </w:r>
          </w:p>
        </w:tc>
        <w:tc>
          <w:tcPr>
            <w:tcW w:w="2062" w:type="dxa"/>
          </w:tcPr>
          <w:p w14:paraId="2ABFF538" w14:textId="77777777" w:rsidR="009C3A0E" w:rsidRDefault="00994197">
            <w:pPr>
              <w:pStyle w:val="cTableBody"/>
              <w:spacing w:before="0"/>
            </w:pPr>
            <w:r>
              <w:t>saves $9/t product</w:t>
            </w:r>
          </w:p>
        </w:tc>
      </w:tr>
      <w:tr w:rsidR="009C3A0E" w14:paraId="3C9304EB" w14:textId="77777777" w:rsidTr="005554BF">
        <w:tc>
          <w:tcPr>
            <w:tcW w:w="3130" w:type="dxa"/>
          </w:tcPr>
          <w:p w14:paraId="299B2226" w14:textId="77777777" w:rsidR="009C3A0E" w:rsidRDefault="00994197">
            <w:pPr>
              <w:pStyle w:val="cTableBody"/>
              <w:spacing w:before="0"/>
            </w:pPr>
            <w:r>
              <w:t>Existing coal, strict marginal</w:t>
            </w:r>
          </w:p>
        </w:tc>
        <w:tc>
          <w:tcPr>
            <w:tcW w:w="2385" w:type="dxa"/>
          </w:tcPr>
          <w:p w14:paraId="3F79D4DC" w14:textId="77777777" w:rsidR="009C3A0E" w:rsidRDefault="00994197">
            <w:pPr>
              <w:pStyle w:val="cTableBody"/>
              <w:spacing w:before="0"/>
            </w:pPr>
            <w:r>
              <w:t>$54/t</w:t>
            </w:r>
          </w:p>
        </w:tc>
        <w:tc>
          <w:tcPr>
            <w:tcW w:w="2062" w:type="dxa"/>
          </w:tcPr>
          <w:p w14:paraId="3FE7D995" w14:textId="77777777" w:rsidR="009C3A0E" w:rsidRDefault="00994197">
            <w:pPr>
              <w:pStyle w:val="cTableBody"/>
              <w:spacing w:before="0"/>
            </w:pPr>
            <w:r>
              <w:t>baseline</w:t>
            </w:r>
          </w:p>
        </w:tc>
      </w:tr>
    </w:tbl>
    <w:p w14:paraId="6F307267" w14:textId="77777777" w:rsidR="009C3A0E" w:rsidRDefault="00994197">
      <w:pPr>
        <w:rPr>
          <w:rFonts w:asciiTheme="majorHAnsi" w:eastAsia="Times New Roman" w:hAnsiTheme="majorHAnsi" w:cstheme="majorHAnsi"/>
          <w:szCs w:val="24"/>
        </w:rPr>
      </w:pPr>
      <w:r>
        <w:rPr>
          <w:rFonts w:eastAsia="Times New Roman" w:cstheme="majorHAnsi"/>
          <w:szCs w:val="24"/>
        </w:rPr>
        <w:t xml:space="preserve">But now the new nuclear complex must recover its </w:t>
      </w:r>
      <w:r>
        <w:rPr>
          <w:rFonts w:eastAsia="Times New Roman" w:cstheme="majorHAnsi"/>
          <w:b/>
          <w:bCs/>
          <w:szCs w:val="24"/>
        </w:rPr>
        <w:t>new waterfront, tunnels, manifolds, storage and other common infrastructure</w:t>
      </w:r>
      <w:r>
        <w:rPr>
          <w:rFonts w:eastAsia="Times New Roman" w:cstheme="majorHAnsi"/>
          <w:szCs w:val="24"/>
        </w:rPr>
        <w:t>, whereas much of the existing site's infrastructure is sunk.</w:t>
      </w:r>
    </w:p>
    <w:p w14:paraId="30A1BAC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would provisionally allow roughly </w:t>
      </w:r>
      <w:r>
        <w:rPr>
          <w:rFonts w:eastAsia="Times New Roman" w:cstheme="majorHAnsi"/>
          <w:b/>
          <w:bCs/>
          <w:szCs w:val="24"/>
        </w:rPr>
        <w:t>$4–8/t of product</w:t>
      </w:r>
      <w:r>
        <w:rPr>
          <w:rFonts w:eastAsia="Times New Roman" w:cstheme="majorHAnsi"/>
          <w:szCs w:val="24"/>
        </w:rPr>
        <w:t xml:space="preserve"> as the additional capital-recovery burden of the new integrated nuclear logistics system relative to an existing site, for a large high-throughput chemical complex.</w:t>
      </w:r>
    </w:p>
    <w:p w14:paraId="47862FCA" w14:textId="77777777" w:rsidR="009C3A0E" w:rsidRDefault="00994197">
      <w:pPr>
        <w:rPr>
          <w:rFonts w:asciiTheme="majorHAnsi" w:eastAsia="Times New Roman" w:hAnsiTheme="majorHAnsi" w:cstheme="majorHAnsi"/>
          <w:szCs w:val="24"/>
        </w:rPr>
      </w:pPr>
      <w:r>
        <w:rPr>
          <w:rFonts w:eastAsia="Times New Roman" w:cstheme="majorHAnsi"/>
          <w:szCs w:val="24"/>
        </w:rPr>
        <w:t>That gives roughly:</w:t>
      </w:r>
    </w:p>
    <w:tbl>
      <w:tblPr>
        <w:tblStyle w:val="gswTableStyle"/>
        <w:tblW w:w="7281" w:type="dxa"/>
        <w:tblLayout w:type="fixed"/>
        <w:tblLook w:val="04A0" w:firstRow="1" w:lastRow="0" w:firstColumn="1" w:lastColumn="0" w:noHBand="0" w:noVBand="1"/>
      </w:tblPr>
      <w:tblGrid>
        <w:gridCol w:w="2808"/>
        <w:gridCol w:w="4473"/>
      </w:tblGrid>
      <w:tr w:rsidR="009C3A0E" w14:paraId="36D7A6B0" w14:textId="77777777" w:rsidTr="005554BF">
        <w:trPr>
          <w:cnfStyle w:val="100000000000" w:firstRow="1" w:lastRow="0" w:firstColumn="0" w:lastColumn="0" w:oddVBand="0" w:evenVBand="0" w:oddHBand="0" w:evenHBand="0" w:firstRowFirstColumn="0" w:firstRowLastColumn="0" w:lastRowFirstColumn="0" w:lastRowLastColumn="0"/>
        </w:trPr>
        <w:tc>
          <w:tcPr>
            <w:tcW w:w="2808" w:type="dxa"/>
          </w:tcPr>
          <w:p w14:paraId="01E442A3" w14:textId="77777777" w:rsidR="009C3A0E" w:rsidRDefault="00994197" w:rsidP="001478EC">
            <w:pPr>
              <w:pStyle w:val="cTableHeader"/>
              <w:keepNext/>
              <w:spacing w:before="0" w:after="0"/>
            </w:pPr>
            <w:r>
              <w:t>Example: 3 MWh</w:t>
            </w:r>
            <w:r>
              <w:rPr>
                <w:rFonts w:ascii="Cambria Math" w:hAnsi="Cambria Math" w:cs="Cambria Math"/>
              </w:rPr>
              <w:t>ₜₕ</w:t>
            </w:r>
            <w:r>
              <w:t>/t product</w:t>
            </w:r>
          </w:p>
        </w:tc>
        <w:tc>
          <w:tcPr>
            <w:tcW w:w="4472" w:type="dxa"/>
          </w:tcPr>
          <w:p w14:paraId="2CDD0A0F" w14:textId="77777777" w:rsidR="009C3A0E" w:rsidRDefault="00994197" w:rsidP="001478EC">
            <w:pPr>
              <w:pStyle w:val="cTableHeader"/>
              <w:keepNext/>
              <w:spacing w:before="0" w:after="0"/>
            </w:pPr>
            <w:r>
              <w:t>Approx. advantage after extra new-site logistics</w:t>
            </w:r>
          </w:p>
        </w:tc>
      </w:tr>
      <w:tr w:rsidR="009C3A0E" w14:paraId="7C2A88B7" w14:textId="77777777" w:rsidTr="005554BF">
        <w:tc>
          <w:tcPr>
            <w:tcW w:w="2808" w:type="dxa"/>
          </w:tcPr>
          <w:p w14:paraId="0A227220" w14:textId="77777777" w:rsidR="009C3A0E" w:rsidRDefault="00994197" w:rsidP="001478EC">
            <w:pPr>
              <w:pStyle w:val="cTableBody"/>
              <w:keepNext/>
              <w:spacing w:before="0" w:beforeAutospacing="0"/>
            </w:pPr>
            <w:r>
              <w:t>PWR vs existing coal</w:t>
            </w:r>
          </w:p>
        </w:tc>
        <w:tc>
          <w:tcPr>
            <w:tcW w:w="4472" w:type="dxa"/>
          </w:tcPr>
          <w:p w14:paraId="6680F457" w14:textId="77777777" w:rsidR="009C3A0E" w:rsidRDefault="00994197" w:rsidP="001478EC">
            <w:pPr>
              <w:pStyle w:val="cTableBody"/>
              <w:keepNext/>
              <w:spacing w:before="0" w:beforeAutospacing="0"/>
            </w:pPr>
            <w:r>
              <w:t>~$16–20/t cheaper</w:t>
            </w:r>
          </w:p>
        </w:tc>
      </w:tr>
      <w:tr w:rsidR="009C3A0E" w14:paraId="2FDD2425" w14:textId="77777777" w:rsidTr="005554BF">
        <w:tc>
          <w:tcPr>
            <w:tcW w:w="2808" w:type="dxa"/>
          </w:tcPr>
          <w:p w14:paraId="06CBCFE4" w14:textId="77777777" w:rsidR="009C3A0E" w:rsidRDefault="00994197">
            <w:pPr>
              <w:pStyle w:val="cTableBody"/>
              <w:spacing w:before="0"/>
            </w:pPr>
            <w:r>
              <w:t>HTR-PM vs existing coal</w:t>
            </w:r>
          </w:p>
        </w:tc>
        <w:tc>
          <w:tcPr>
            <w:tcW w:w="4472" w:type="dxa"/>
          </w:tcPr>
          <w:p w14:paraId="53F31799" w14:textId="77777777" w:rsidR="009C3A0E" w:rsidRDefault="00994197">
            <w:pPr>
              <w:pStyle w:val="cTableBody"/>
              <w:spacing w:before="0"/>
            </w:pPr>
            <w:r>
              <w:t>~$1–5/t cheaper</w:t>
            </w:r>
          </w:p>
        </w:tc>
      </w:tr>
    </w:tbl>
    <w:p w14:paraId="51C077EE" w14:textId="77777777" w:rsidR="009C3A0E" w:rsidRDefault="00994197">
      <w:pPr>
        <w:rPr>
          <w:rFonts w:asciiTheme="majorHAnsi" w:eastAsia="Times New Roman" w:hAnsiTheme="majorHAnsi" w:cstheme="majorHAnsi"/>
          <w:szCs w:val="24"/>
        </w:rPr>
      </w:pPr>
      <w:r>
        <w:rPr>
          <w:rFonts w:eastAsia="Times New Roman" w:cstheme="majorHAnsi"/>
          <w:szCs w:val="24"/>
        </w:rPr>
        <w:t>This is why I am much more confident that an Automated PWR could beat the marginal-cost incumbent than that an HTR-PM necessarily would.</w:t>
      </w:r>
    </w:p>
    <w:p w14:paraId="5FC5D32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For HTR-PM, the customer should actually </w:t>
      </w:r>
      <w:r>
        <w:rPr>
          <w:rFonts w:eastAsia="Times New Roman" w:cstheme="majorHAnsi"/>
          <w:b/>
          <w:bCs/>
          <w:szCs w:val="24"/>
        </w:rPr>
        <w:t>need 300–500°C heat</w:t>
      </w:r>
      <w:r>
        <w:rPr>
          <w:rFonts w:eastAsia="Times New Roman" w:cstheme="majorHAnsi"/>
          <w:szCs w:val="24"/>
        </w:rPr>
        <w:t>. Otherwise PWR is the economically stronger heat source.</w:t>
      </w:r>
    </w:p>
    <w:p w14:paraId="43427C60" w14:textId="77777777" w:rsidR="009C3A0E" w:rsidRDefault="00994197">
      <w:pPr>
        <w:pStyle w:val="Heading2"/>
        <w:spacing w:before="280"/>
      </w:pPr>
      <w:r>
        <w:lastRenderedPageBreak/>
        <w:t>A useful break-even rule</w:t>
      </w:r>
    </w:p>
    <w:p w14:paraId="68AA365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Suppose construction of the new waterfront/platform infrastructure gives nuclear an additional disadvantage of </w:t>
      </w:r>
      <w:r>
        <w:rPr>
          <w:rFonts w:eastAsia="Times New Roman" w:cstheme="majorHAnsi"/>
          <w:b/>
          <w:bCs/>
          <w:szCs w:val="24"/>
        </w:rPr>
        <w:t>$4–8/t of finished product</w:t>
      </w:r>
      <w:r>
        <w:rPr>
          <w:rFonts w:eastAsia="Times New Roman" w:cstheme="majorHAnsi"/>
          <w:szCs w:val="24"/>
        </w:rPr>
        <w:t xml:space="preserve"> relative to an already-built coal plant.</w:t>
      </w:r>
    </w:p>
    <w:p w14:paraId="64F425D6" w14:textId="77777777" w:rsidR="009C3A0E" w:rsidRDefault="00994197">
      <w:pPr>
        <w:rPr>
          <w:rFonts w:asciiTheme="majorHAnsi" w:eastAsia="Times New Roman" w:hAnsiTheme="majorHAnsi" w:cstheme="majorHAnsi"/>
          <w:szCs w:val="24"/>
        </w:rPr>
      </w:pPr>
      <w:r>
        <w:rPr>
          <w:rFonts w:eastAsia="Times New Roman" w:cstheme="majorHAnsi"/>
          <w:szCs w:val="24"/>
        </w:rPr>
        <w:t>The heat intensity needed to recover that cost is:</w:t>
      </w:r>
    </w:p>
    <w:tbl>
      <w:tblPr>
        <w:tblStyle w:val="gswTableStyle"/>
        <w:tblW w:w="8560" w:type="dxa"/>
        <w:tblLayout w:type="fixed"/>
        <w:tblLook w:val="04A0" w:firstRow="1" w:lastRow="0" w:firstColumn="1" w:lastColumn="0" w:noHBand="0" w:noVBand="1"/>
      </w:tblPr>
      <w:tblGrid>
        <w:gridCol w:w="2725"/>
        <w:gridCol w:w="3240"/>
        <w:gridCol w:w="2595"/>
      </w:tblGrid>
      <w:tr w:rsidR="009C3A0E" w14:paraId="69EBA258" w14:textId="77777777" w:rsidTr="005554BF">
        <w:trPr>
          <w:cnfStyle w:val="100000000000" w:firstRow="1" w:lastRow="0" w:firstColumn="0" w:lastColumn="0" w:oddVBand="0" w:evenVBand="0" w:oddHBand="0" w:evenHBand="0" w:firstRowFirstColumn="0" w:firstRowLastColumn="0" w:lastRowFirstColumn="0" w:lastRowLastColumn="0"/>
        </w:trPr>
        <w:tc>
          <w:tcPr>
            <w:tcW w:w="2725" w:type="dxa"/>
          </w:tcPr>
          <w:p w14:paraId="055C6859" w14:textId="77777777" w:rsidR="009C3A0E" w:rsidRDefault="00994197">
            <w:pPr>
              <w:pStyle w:val="cTableHeader"/>
              <w:spacing w:before="0" w:after="0"/>
            </w:pPr>
            <w:r>
              <w:t>New nuclear vs existing coal</w:t>
            </w:r>
          </w:p>
        </w:tc>
        <w:tc>
          <w:tcPr>
            <w:tcW w:w="3240" w:type="dxa"/>
          </w:tcPr>
          <w:p w14:paraId="451BDD7F" w14:textId="77777777" w:rsidR="009C3A0E" w:rsidRDefault="00994197">
            <w:pPr>
              <w:pStyle w:val="cTableHeader"/>
              <w:spacing w:before="0" w:after="0"/>
            </w:pPr>
            <w:r>
              <w:t>$4/t logistics disadvantage</w:t>
            </w:r>
          </w:p>
        </w:tc>
        <w:tc>
          <w:tcPr>
            <w:tcW w:w="2595" w:type="dxa"/>
          </w:tcPr>
          <w:p w14:paraId="590D2FB2" w14:textId="77777777" w:rsidR="009C3A0E" w:rsidRDefault="00994197">
            <w:pPr>
              <w:pStyle w:val="cTableHeader"/>
              <w:spacing w:before="0" w:after="0"/>
            </w:pPr>
            <w:r>
              <w:t>$8/t logistics disadvantage</w:t>
            </w:r>
          </w:p>
        </w:tc>
      </w:tr>
      <w:tr w:rsidR="009C3A0E" w14:paraId="7B32CD8D" w14:textId="77777777" w:rsidTr="005554BF">
        <w:tc>
          <w:tcPr>
            <w:tcW w:w="2725" w:type="dxa"/>
          </w:tcPr>
          <w:p w14:paraId="0FBFEC47" w14:textId="77777777" w:rsidR="009C3A0E" w:rsidRDefault="00994197">
            <w:pPr>
              <w:pStyle w:val="cTableBody"/>
              <w:spacing w:before="0"/>
            </w:pPr>
            <w:r>
              <w:t>PWR — saves $8/MWh</w:t>
            </w:r>
            <w:r>
              <w:rPr>
                <w:rFonts w:ascii="Cambria Math" w:hAnsi="Cambria Math" w:cs="Cambria Math"/>
              </w:rPr>
              <w:t>ₜₕ</w:t>
            </w:r>
          </w:p>
        </w:tc>
        <w:tc>
          <w:tcPr>
            <w:tcW w:w="3240" w:type="dxa"/>
          </w:tcPr>
          <w:p w14:paraId="50D81F42" w14:textId="77777777" w:rsidR="009C3A0E" w:rsidRDefault="00994197">
            <w:pPr>
              <w:pStyle w:val="cTableBody"/>
              <w:spacing w:before="0"/>
            </w:pPr>
            <w:r>
              <w:t>0.5 MWh</w:t>
            </w:r>
            <w:r>
              <w:rPr>
                <w:rFonts w:ascii="Cambria Math" w:hAnsi="Cambria Math" w:cs="Cambria Math"/>
              </w:rPr>
              <w:t>ₜₕ</w:t>
            </w:r>
            <w:r>
              <w:t>/t product</w:t>
            </w:r>
          </w:p>
        </w:tc>
        <w:tc>
          <w:tcPr>
            <w:tcW w:w="2595" w:type="dxa"/>
          </w:tcPr>
          <w:p w14:paraId="0E33FB0D" w14:textId="77777777" w:rsidR="009C3A0E" w:rsidRDefault="00994197">
            <w:pPr>
              <w:pStyle w:val="cTableBody"/>
              <w:spacing w:before="0"/>
            </w:pPr>
            <w:r>
              <w:t>1.0 MWh</w:t>
            </w:r>
            <w:r>
              <w:rPr>
                <w:rFonts w:ascii="Cambria Math" w:hAnsi="Cambria Math" w:cs="Cambria Math"/>
              </w:rPr>
              <w:t>ₜₕ</w:t>
            </w:r>
            <w:r>
              <w:t>/t</w:t>
            </w:r>
          </w:p>
        </w:tc>
      </w:tr>
      <w:tr w:rsidR="009C3A0E" w14:paraId="0C6612B3" w14:textId="77777777" w:rsidTr="005554BF">
        <w:tc>
          <w:tcPr>
            <w:tcW w:w="2725" w:type="dxa"/>
          </w:tcPr>
          <w:p w14:paraId="6704A463" w14:textId="77777777" w:rsidR="009C3A0E" w:rsidRDefault="00994197">
            <w:pPr>
              <w:pStyle w:val="cTableBody"/>
              <w:spacing w:before="0"/>
            </w:pPr>
            <w:r>
              <w:t>HTR-PM — saves $3/MWh</w:t>
            </w:r>
            <w:r>
              <w:rPr>
                <w:rFonts w:ascii="Cambria Math" w:hAnsi="Cambria Math" w:cs="Cambria Math"/>
              </w:rPr>
              <w:t>ₜₕ</w:t>
            </w:r>
          </w:p>
        </w:tc>
        <w:tc>
          <w:tcPr>
            <w:tcW w:w="3240" w:type="dxa"/>
          </w:tcPr>
          <w:p w14:paraId="38236812" w14:textId="77777777" w:rsidR="009C3A0E" w:rsidRDefault="00994197">
            <w:pPr>
              <w:pStyle w:val="cTableBody"/>
              <w:spacing w:before="0"/>
            </w:pPr>
            <w:r>
              <w:t>1.3 MWh</w:t>
            </w:r>
            <w:r>
              <w:rPr>
                <w:rFonts w:ascii="Cambria Math" w:hAnsi="Cambria Math" w:cs="Cambria Math"/>
              </w:rPr>
              <w:t>ₜₕ</w:t>
            </w:r>
            <w:r>
              <w:t>/t</w:t>
            </w:r>
          </w:p>
        </w:tc>
        <w:tc>
          <w:tcPr>
            <w:tcW w:w="2595" w:type="dxa"/>
          </w:tcPr>
          <w:p w14:paraId="415C48EA" w14:textId="77777777" w:rsidR="009C3A0E" w:rsidRDefault="00994197">
            <w:pPr>
              <w:pStyle w:val="cTableBody"/>
              <w:spacing w:before="0"/>
            </w:pPr>
            <w:r>
              <w:t>2.7 MWh</w:t>
            </w:r>
            <w:r>
              <w:rPr>
                <w:rFonts w:ascii="Cambria Math" w:hAnsi="Cambria Math" w:cs="Cambria Math"/>
              </w:rPr>
              <w:t>ₜₕ</w:t>
            </w:r>
            <w:r>
              <w:t>/t</w:t>
            </w:r>
          </w:p>
        </w:tc>
      </w:tr>
    </w:tbl>
    <w:p w14:paraId="42E820C3" w14:textId="77777777" w:rsidR="009C3A0E" w:rsidRDefault="00994197">
      <w:pPr>
        <w:rPr>
          <w:rFonts w:asciiTheme="majorHAnsi" w:eastAsia="Times New Roman" w:hAnsiTheme="majorHAnsi" w:cstheme="majorHAnsi"/>
          <w:szCs w:val="24"/>
        </w:rPr>
      </w:pPr>
      <w:r>
        <w:rPr>
          <w:rFonts w:eastAsia="Times New Roman" w:cstheme="majorHAnsi"/>
          <w:szCs w:val="24"/>
        </w:rPr>
        <w:t>This is an extremely useful screening criterion.</w:t>
      </w:r>
    </w:p>
    <w:p w14:paraId="5E3DBA7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 process consuming </w:t>
      </w:r>
      <w:r>
        <w:rPr>
          <w:rFonts w:eastAsia="Times New Roman" w:cstheme="majorHAnsi"/>
          <w:b/>
          <w:bCs/>
          <w:szCs w:val="24"/>
        </w:rPr>
        <w:t>2–5 MWh</w:t>
      </w:r>
      <w:r>
        <w:rPr>
          <w:rFonts w:ascii="Cambria Math" w:eastAsia="Times New Roman" w:hAnsi="Cambria Math" w:cs="Cambria Math"/>
          <w:b/>
          <w:bCs/>
          <w:szCs w:val="24"/>
        </w:rPr>
        <w:t>ₜₕ</w:t>
      </w:r>
      <w:r>
        <w:rPr>
          <w:rFonts w:eastAsia="Times New Roman" w:cstheme="majorHAnsi"/>
          <w:b/>
          <w:bCs/>
          <w:szCs w:val="24"/>
        </w:rPr>
        <w:t xml:space="preserve"> per tonne</w:t>
      </w:r>
      <w:r>
        <w:rPr>
          <w:rFonts w:eastAsia="Times New Roman" w:cstheme="majorHAnsi"/>
          <w:szCs w:val="24"/>
        </w:rPr>
        <w:t xml:space="preserve"> looks quite promising for a new nuclear super-site.</w:t>
      </w:r>
    </w:p>
    <w:p w14:paraId="0127817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 process consuming only </w:t>
      </w:r>
      <w:r>
        <w:rPr>
          <w:rFonts w:eastAsia="Times New Roman" w:cstheme="majorHAnsi"/>
          <w:b/>
          <w:bCs/>
          <w:szCs w:val="24"/>
        </w:rPr>
        <w:t>0.2 MWh/t</w:t>
      </w:r>
      <w:r>
        <w:rPr>
          <w:rFonts w:eastAsia="Times New Roman" w:cstheme="majorHAnsi"/>
          <w:szCs w:val="24"/>
        </w:rPr>
        <w:t xml:space="preserve"> probably doesn't justify abandoning a functioning fossil site solely to obtain cheaper heat.</w:t>
      </w:r>
    </w:p>
    <w:p w14:paraId="639D521E" w14:textId="77777777" w:rsidR="009C3A0E" w:rsidRDefault="00994197">
      <w:pPr>
        <w:pStyle w:val="Heading2"/>
        <w:spacing w:before="280"/>
      </w:pPr>
      <w:r>
        <w:t>The much bigger opportunity: don't ship intermediate products away</w:t>
      </w:r>
    </w:p>
    <w:p w14:paraId="25643E1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think your comment about doing as much processing as possible at the nuclear site is </w:t>
      </w:r>
      <w:r>
        <w:rPr>
          <w:rFonts w:eastAsia="Times New Roman" w:cstheme="majorHAnsi"/>
          <w:b/>
          <w:bCs/>
          <w:szCs w:val="24"/>
        </w:rPr>
        <w:t>economically very important</w:t>
      </w:r>
      <w:r>
        <w:rPr>
          <w:rFonts w:eastAsia="Times New Roman" w:cstheme="majorHAnsi"/>
          <w:szCs w:val="24"/>
        </w:rPr>
        <w:t>.</w:t>
      </w:r>
    </w:p>
    <w:p w14:paraId="11AEBA9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Suppose Platform A makes an intermediate chemical.</w:t>
      </w:r>
    </w:p>
    <w:p w14:paraId="7739229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If you send it elsewhere, process it, and return it, you may incur:</w:t>
      </w:r>
    </w:p>
    <w:p w14:paraId="65F03492" w14:textId="77777777" w:rsidR="009C3A0E" w:rsidRDefault="00994197" w:rsidP="00CC7965">
      <w:pPr>
        <w:pStyle w:val="bblueindent"/>
      </w:pPr>
      <w:r>
        <w:t>Site A loading → Site B unloading → Site B loading → Site A unloading.</w:t>
      </w:r>
    </w:p>
    <w:p w14:paraId="4B1DB6D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At only </w:t>
      </w:r>
      <w:r>
        <w:rPr>
          <w:rFonts w:eastAsia="Times New Roman" w:cstheme="majorHAnsi"/>
          <w:b/>
          <w:bCs/>
          <w:szCs w:val="24"/>
        </w:rPr>
        <w:t>$3–6/t per terminal movement</w:t>
      </w:r>
      <w:r>
        <w:rPr>
          <w:rFonts w:eastAsia="Times New Roman" w:cstheme="majorHAnsi"/>
          <w:szCs w:val="24"/>
        </w:rPr>
        <w:t>, that becomes:</w:t>
      </w:r>
    </w:p>
    <w:p w14:paraId="4DFCC606" w14:textId="77777777" w:rsidR="009C3A0E" w:rsidRDefault="00994197">
      <w:pPr>
        <w:spacing w:before="280" w:after="280"/>
        <w:rPr>
          <w:rFonts w:asciiTheme="majorHAnsi" w:eastAsia="Times New Roman" w:hAnsiTheme="majorHAnsi" w:cstheme="majorHAnsi"/>
          <w:szCs w:val="24"/>
        </w:rPr>
      </w:pPr>
      <w:r>
        <w:t>4 terminal movements × $3–6/t = $12–24/t before paying any ocean freight at all.</w:t>
      </w:r>
    </w:p>
    <w:p w14:paraId="7545C58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Add storage, inventory financing, contamination/loss, paperwork and transport, and an out-and-back intermediate-product excursion could easily cost:</w:t>
      </w:r>
    </w:p>
    <w:p w14:paraId="10B85EE2" w14:textId="77777777" w:rsidR="009C3A0E" w:rsidRDefault="00994197">
      <w:pPr>
        <w:spacing w:before="280" w:after="280"/>
        <w:rPr>
          <w:rFonts w:asciiTheme="majorHAnsi" w:eastAsia="Times New Roman" w:hAnsiTheme="majorHAnsi" w:cstheme="majorHAnsi"/>
          <w:szCs w:val="24"/>
        </w:rPr>
      </w:pPr>
      <w:r>
        <w:rPr>
          <w:rFonts w:eastAsia="Times New Roman" w:cstheme="majorHAnsi"/>
          <w:b/>
          <w:bCs/>
          <w:szCs w:val="24"/>
        </w:rPr>
        <w:t>$15–35/t of intermediate material</w:t>
      </w:r>
      <w:r>
        <w:rPr>
          <w:rFonts w:eastAsia="Times New Roman" w:cstheme="majorHAnsi"/>
          <w:szCs w:val="24"/>
        </w:rPr>
        <w:t>, plus the actual ship voyage.</w:t>
      </w:r>
    </w:p>
    <w:p w14:paraId="0C1CC17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can be considerably larger than the difference between nuclear and fossil heat.</w:t>
      </w:r>
    </w:p>
    <w:p w14:paraId="4636E95E" w14:textId="77777777" w:rsidR="009C3A0E" w:rsidRDefault="00994197">
      <w:pPr>
        <w:spacing w:before="280" w:after="280"/>
        <w:rPr>
          <w:rFonts w:asciiTheme="majorHAnsi" w:eastAsia="Times New Roman" w:hAnsiTheme="majorHAnsi" w:cstheme="majorHAnsi"/>
          <w:szCs w:val="24"/>
        </w:rPr>
      </w:pPr>
      <w:r>
        <w:t>So I think a central design principle for the Industrial Processing Yard should be:</w:t>
      </w:r>
    </w:p>
    <w:p w14:paraId="43A38DA5" w14:textId="77777777" w:rsidR="009C3A0E" w:rsidRPr="005554BF" w:rsidRDefault="00994197" w:rsidP="005554BF">
      <w:pPr>
        <w:pStyle w:val="bblueindent"/>
      </w:pPr>
      <w:r w:rsidRPr="005554BF">
        <w:lastRenderedPageBreak/>
        <w:t>Raw material comes into the waterfront once. Keep it inside the site as it moves through as many processing stages as economically practical. Export the highest-value final product—not intermediate products that need to come back.</w:t>
      </w:r>
    </w:p>
    <w:p w14:paraId="747DCC4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is exactly where your underground pipes/conveyors/rail carts become economically interesting.</w:t>
      </w:r>
    </w:p>
    <w:p w14:paraId="1911C73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Moving something </w:t>
      </w:r>
      <w:r>
        <w:rPr>
          <w:rFonts w:eastAsia="Times New Roman" w:cstheme="majorHAnsi"/>
          <w:b/>
          <w:bCs/>
          <w:szCs w:val="24"/>
        </w:rPr>
        <w:t>300 meters from Platform A to Platform B</w:t>
      </w:r>
      <w:r>
        <w:rPr>
          <w:rFonts w:eastAsia="Times New Roman" w:cstheme="majorHAnsi"/>
          <w:szCs w:val="24"/>
        </w:rPr>
        <w:t xml:space="preserve"> can cost well under $1/t in a high-volume automated system.</w:t>
      </w:r>
    </w:p>
    <w:p w14:paraId="5A1518B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Moving the same material:</w:t>
      </w:r>
    </w:p>
    <w:p w14:paraId="766329F4" w14:textId="77777777" w:rsidR="009C3A0E" w:rsidRDefault="00994197" w:rsidP="00CC7965">
      <w:pPr>
        <w:pStyle w:val="bblueindent"/>
      </w:pPr>
      <w:r>
        <w:t>Platform A → storage → ship → another terminal → factory → terminal → ship → nuclear site → Platform B</w:t>
      </w:r>
    </w:p>
    <w:p w14:paraId="554D7C4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can cost tens of dollars per tonne.</w:t>
      </w:r>
    </w:p>
    <w:p w14:paraId="18A5E619" w14:textId="77777777" w:rsidR="009C3A0E" w:rsidRDefault="00994197">
      <w:pPr>
        <w:pStyle w:val="Heading2"/>
        <w:spacing w:before="280"/>
      </w:pPr>
      <w:r>
        <w:t>I would therefore design the yard somewhat differently</w:t>
      </w:r>
    </w:p>
    <w:p w14:paraId="2F78FDF0" w14:textId="77777777" w:rsidR="009C3A0E" w:rsidRDefault="00994197">
      <w:pPr>
        <w:rPr>
          <w:rFonts w:asciiTheme="majorHAnsi" w:eastAsia="Times New Roman" w:hAnsiTheme="majorHAnsi" w:cstheme="majorHAnsi"/>
          <w:szCs w:val="24"/>
        </w:rPr>
      </w:pPr>
      <w:r>
        <w:rPr>
          <w:rFonts w:eastAsia="Times New Roman" w:cstheme="majorHAnsi"/>
          <w:szCs w:val="24"/>
        </w:rPr>
        <w:t>I would make the transportation system hierarchical:</w:t>
      </w:r>
    </w:p>
    <w:tbl>
      <w:tblPr>
        <w:tblStyle w:val="gswTableStyle"/>
        <w:tblW w:w="7260" w:type="dxa"/>
        <w:tblLayout w:type="fixed"/>
        <w:tblLook w:val="04A0" w:firstRow="1" w:lastRow="0" w:firstColumn="1" w:lastColumn="0" w:noHBand="0" w:noVBand="1"/>
      </w:tblPr>
      <w:tblGrid>
        <w:gridCol w:w="3296"/>
        <w:gridCol w:w="3964"/>
      </w:tblGrid>
      <w:tr w:rsidR="009C3A0E" w14:paraId="0267FF4D" w14:textId="77777777" w:rsidTr="005554BF">
        <w:trPr>
          <w:cnfStyle w:val="100000000000" w:firstRow="1" w:lastRow="0" w:firstColumn="0" w:lastColumn="0" w:oddVBand="0" w:evenVBand="0" w:oddHBand="0" w:evenHBand="0" w:firstRowFirstColumn="0" w:firstRowLastColumn="0" w:lastRowFirstColumn="0" w:lastRowLastColumn="0"/>
        </w:trPr>
        <w:tc>
          <w:tcPr>
            <w:tcW w:w="3296" w:type="dxa"/>
          </w:tcPr>
          <w:p w14:paraId="4FB2A426" w14:textId="77777777" w:rsidR="009C3A0E" w:rsidRDefault="00994197">
            <w:pPr>
              <w:pStyle w:val="cTableHeader"/>
              <w:spacing w:before="0" w:after="0"/>
            </w:pPr>
            <w:r>
              <w:t>Material</w:t>
            </w:r>
          </w:p>
        </w:tc>
        <w:tc>
          <w:tcPr>
            <w:tcW w:w="3963" w:type="dxa"/>
          </w:tcPr>
          <w:p w14:paraId="135015FB" w14:textId="77777777" w:rsidR="009C3A0E" w:rsidRDefault="00994197">
            <w:pPr>
              <w:pStyle w:val="cTableHeader"/>
              <w:spacing w:before="0" w:after="0"/>
            </w:pPr>
            <w:r>
              <w:t>Preferred movement</w:t>
            </w:r>
          </w:p>
        </w:tc>
      </w:tr>
      <w:tr w:rsidR="009C3A0E" w14:paraId="098D17D0" w14:textId="77777777" w:rsidTr="005554BF">
        <w:tc>
          <w:tcPr>
            <w:tcW w:w="3296" w:type="dxa"/>
          </w:tcPr>
          <w:p w14:paraId="6AB9DA87" w14:textId="77777777" w:rsidR="009C3A0E" w:rsidRDefault="00994197">
            <w:pPr>
              <w:pStyle w:val="cTableBody"/>
              <w:spacing w:before="0"/>
            </w:pPr>
            <w:r>
              <w:t>Very-high-volume liquids</w:t>
            </w:r>
          </w:p>
        </w:tc>
        <w:tc>
          <w:tcPr>
            <w:tcW w:w="3963" w:type="dxa"/>
          </w:tcPr>
          <w:p w14:paraId="770157AA" w14:textId="77777777" w:rsidR="009C3A0E" w:rsidRDefault="00994197">
            <w:pPr>
              <w:pStyle w:val="cTableBody"/>
              <w:spacing w:before="0"/>
            </w:pPr>
            <w:r>
              <w:t>Permanent pipes/manifolds</w:t>
            </w:r>
          </w:p>
        </w:tc>
      </w:tr>
      <w:tr w:rsidR="009C3A0E" w14:paraId="78AB25FF" w14:textId="77777777" w:rsidTr="005554BF">
        <w:tc>
          <w:tcPr>
            <w:tcW w:w="3296" w:type="dxa"/>
          </w:tcPr>
          <w:p w14:paraId="04D72E34" w14:textId="77777777" w:rsidR="009C3A0E" w:rsidRDefault="00994197">
            <w:pPr>
              <w:pStyle w:val="cTableBody"/>
              <w:spacing w:before="0"/>
            </w:pPr>
            <w:r>
              <w:t>Very-high-volume gases</w:t>
            </w:r>
          </w:p>
        </w:tc>
        <w:tc>
          <w:tcPr>
            <w:tcW w:w="3963" w:type="dxa"/>
          </w:tcPr>
          <w:p w14:paraId="4E1437BD" w14:textId="77777777" w:rsidR="009C3A0E" w:rsidRDefault="00994197">
            <w:pPr>
              <w:pStyle w:val="cTableBody"/>
              <w:spacing w:before="0"/>
            </w:pPr>
            <w:r>
              <w:t>Permanent pipe headers</w:t>
            </w:r>
          </w:p>
        </w:tc>
      </w:tr>
      <w:tr w:rsidR="009C3A0E" w14:paraId="34F07CCA" w14:textId="77777777" w:rsidTr="005554BF">
        <w:tc>
          <w:tcPr>
            <w:tcW w:w="3296" w:type="dxa"/>
          </w:tcPr>
          <w:p w14:paraId="58DDADC2" w14:textId="77777777" w:rsidR="009C3A0E" w:rsidRDefault="00994197">
            <w:pPr>
              <w:pStyle w:val="cTableBody"/>
              <w:spacing w:before="0"/>
            </w:pPr>
            <w:r>
              <w:t>Ore, coal-like material, limestone, salt</w:t>
            </w:r>
          </w:p>
        </w:tc>
        <w:tc>
          <w:tcPr>
            <w:tcW w:w="3963" w:type="dxa"/>
          </w:tcPr>
          <w:p w14:paraId="4B5FCAB6" w14:textId="77777777" w:rsidR="009C3A0E" w:rsidRDefault="00994197">
            <w:pPr>
              <w:pStyle w:val="cTableBody"/>
              <w:spacing w:before="0"/>
            </w:pPr>
            <w:r>
              <w:t>Enclosed belt conveyors</w:t>
            </w:r>
          </w:p>
        </w:tc>
      </w:tr>
      <w:tr w:rsidR="009C3A0E" w14:paraId="79C48F64" w14:textId="77777777" w:rsidTr="005554BF">
        <w:tc>
          <w:tcPr>
            <w:tcW w:w="3296" w:type="dxa"/>
          </w:tcPr>
          <w:p w14:paraId="08F00E9A" w14:textId="77777777" w:rsidR="009C3A0E" w:rsidRDefault="00994197">
            <w:pPr>
              <w:pStyle w:val="cTableBody"/>
              <w:spacing w:before="0"/>
            </w:pPr>
            <w:r>
              <w:t>Powders requiring enclosure</w:t>
            </w:r>
          </w:p>
        </w:tc>
        <w:tc>
          <w:tcPr>
            <w:tcW w:w="3963" w:type="dxa"/>
          </w:tcPr>
          <w:p w14:paraId="7C6CECC7" w14:textId="77777777" w:rsidR="009C3A0E" w:rsidRDefault="00994197">
            <w:pPr>
              <w:pStyle w:val="cTableBody"/>
              <w:spacing w:before="0"/>
            </w:pPr>
            <w:r>
              <w:t>Pneumatic/screw conveyor or sealed rail carts</w:t>
            </w:r>
          </w:p>
        </w:tc>
      </w:tr>
      <w:tr w:rsidR="009C3A0E" w14:paraId="42E14846" w14:textId="77777777" w:rsidTr="005554BF">
        <w:tc>
          <w:tcPr>
            <w:tcW w:w="3296" w:type="dxa"/>
          </w:tcPr>
          <w:p w14:paraId="04BDEE56" w14:textId="77777777" w:rsidR="009C3A0E" w:rsidRDefault="00994197">
            <w:pPr>
              <w:pStyle w:val="cTableBody"/>
              <w:spacing w:before="0"/>
            </w:pPr>
            <w:r>
              <w:t>Drums, catalysts, bags, pallets</w:t>
            </w:r>
          </w:p>
        </w:tc>
        <w:tc>
          <w:tcPr>
            <w:tcW w:w="3963" w:type="dxa"/>
          </w:tcPr>
          <w:p w14:paraId="056D083A" w14:textId="77777777" w:rsidR="009C3A0E" w:rsidRDefault="00994197">
            <w:pPr>
              <w:pStyle w:val="cTableBody"/>
              <w:spacing w:before="0"/>
            </w:pPr>
            <w:r>
              <w:t>Automated rail carts</w:t>
            </w:r>
          </w:p>
        </w:tc>
      </w:tr>
      <w:tr w:rsidR="009C3A0E" w14:paraId="13C73EC8" w14:textId="77777777" w:rsidTr="005554BF">
        <w:tc>
          <w:tcPr>
            <w:tcW w:w="3296" w:type="dxa"/>
          </w:tcPr>
          <w:p w14:paraId="579E8FE7" w14:textId="77777777" w:rsidR="009C3A0E" w:rsidRDefault="00994197">
            <w:pPr>
              <w:pStyle w:val="cTableBody"/>
              <w:spacing w:before="0"/>
            </w:pPr>
            <w:r>
              <w:t>Intermediate liquid chemicals</w:t>
            </w:r>
          </w:p>
        </w:tc>
        <w:tc>
          <w:tcPr>
            <w:tcW w:w="3963" w:type="dxa"/>
          </w:tcPr>
          <w:p w14:paraId="79036F06" w14:textId="77777777" w:rsidR="009C3A0E" w:rsidRDefault="00994197">
            <w:pPr>
              <w:pStyle w:val="cTableBody"/>
              <w:spacing w:before="0"/>
            </w:pPr>
            <w:r>
              <w:t>Platform-to-platform pipe network</w:t>
            </w:r>
          </w:p>
        </w:tc>
      </w:tr>
      <w:tr w:rsidR="009C3A0E" w14:paraId="1D68E302" w14:textId="77777777" w:rsidTr="005554BF">
        <w:tc>
          <w:tcPr>
            <w:tcW w:w="3296" w:type="dxa"/>
          </w:tcPr>
          <w:p w14:paraId="5DC02D09" w14:textId="77777777" w:rsidR="009C3A0E" w:rsidRDefault="00994197">
            <w:pPr>
              <w:pStyle w:val="cTableBody"/>
              <w:spacing w:before="0"/>
            </w:pPr>
            <w:r>
              <w:t>Entire 12 × 96 m processing module</w:t>
            </w:r>
          </w:p>
        </w:tc>
        <w:tc>
          <w:tcPr>
            <w:tcW w:w="3963" w:type="dxa"/>
          </w:tcPr>
          <w:p w14:paraId="308C9CD2" w14:textId="77777777" w:rsidR="009C3A0E" w:rsidRDefault="00994197">
            <w:pPr>
              <w:pStyle w:val="cTableBody"/>
              <w:spacing w:before="0"/>
            </w:pPr>
            <w:r>
              <w:t>Double-rail platform transporter</w:t>
            </w:r>
          </w:p>
        </w:tc>
      </w:tr>
    </w:tbl>
    <w:p w14:paraId="5BD9787A" w14:textId="77777777" w:rsidR="009C3A0E" w:rsidRDefault="00994197">
      <w:pPr>
        <w:rPr>
          <w:rFonts w:asciiTheme="majorHAnsi" w:eastAsia="Times New Roman" w:hAnsiTheme="majorHAnsi" w:cstheme="majorHAnsi"/>
          <w:szCs w:val="24"/>
        </w:rPr>
      </w:pPr>
      <w:r>
        <w:rPr>
          <w:rFonts w:eastAsia="Times New Roman" w:cstheme="majorHAnsi"/>
          <w:szCs w:val="24"/>
        </w:rPr>
        <w:t xml:space="preserve">The giant double-rail transporter should </w:t>
      </w:r>
      <w:r>
        <w:rPr>
          <w:rFonts w:eastAsia="Times New Roman" w:cstheme="majorHAnsi"/>
          <w:b/>
          <w:bCs/>
          <w:szCs w:val="24"/>
        </w:rPr>
        <w:t>not</w:t>
      </w:r>
      <w:r>
        <w:rPr>
          <w:rFonts w:eastAsia="Times New Roman" w:cstheme="majorHAnsi"/>
          <w:szCs w:val="24"/>
        </w:rPr>
        <w:t xml:space="preserve"> ordinarily carry process material. Its job is moving entire platforms during installation, major overhaul and replacement. Your platform-development proposal makes the same basic distinction: ordinary product handling is through utilities/storage/export systems, while the large rigid-truss transport system exists to move the platform itself. </w:t>
      </w:r>
    </w:p>
    <w:p w14:paraId="40EFB55D" w14:textId="77777777" w:rsidR="009C3A0E" w:rsidRDefault="00994197">
      <w:pPr>
        <w:pStyle w:val="Heading2"/>
        <w:spacing w:before="280"/>
      </w:pPr>
      <w:r>
        <w:t>Bottom line</w:t>
      </w:r>
    </w:p>
    <w:p w14:paraId="470D90D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For </w:t>
      </w:r>
      <w:r>
        <w:rPr>
          <w:rFonts w:eastAsia="Times New Roman" w:cstheme="majorHAnsi"/>
          <w:b/>
          <w:bCs/>
          <w:szCs w:val="24"/>
        </w:rPr>
        <w:t>new construction versus new construction</w:t>
      </w:r>
      <w:r>
        <w:rPr>
          <w:rFonts w:eastAsia="Times New Roman" w:cstheme="majorHAnsi"/>
          <w:szCs w:val="24"/>
        </w:rPr>
        <w:t xml:space="preserve">, I don't see material logistics as a significant economic obstacle to the nuclear concept. Both plants need docks and product/feedstock handling; coal additionally needs a fuel-handling and waste-handling system. With your assumed heat costs, the </w:t>
      </w:r>
      <w:r>
        <w:rPr>
          <w:rFonts w:eastAsia="Times New Roman" w:cstheme="majorHAnsi"/>
          <w:szCs w:val="24"/>
        </w:rPr>
        <w:lastRenderedPageBreak/>
        <w:t>energy advantage—</w:t>
      </w:r>
      <w:r>
        <w:rPr>
          <w:rFonts w:eastAsia="Times New Roman" w:cstheme="majorHAnsi"/>
          <w:b/>
          <w:bCs/>
          <w:szCs w:val="24"/>
        </w:rPr>
        <w:t>$11/MWh</w:t>
      </w:r>
      <w:r>
        <w:rPr>
          <w:rFonts w:ascii="Cambria Math" w:eastAsia="Times New Roman" w:hAnsi="Cambria Math" w:cs="Cambria Math"/>
          <w:b/>
          <w:bCs/>
          <w:szCs w:val="24"/>
        </w:rPr>
        <w:t>ₜₕ</w:t>
      </w:r>
      <w:r>
        <w:rPr>
          <w:rFonts w:eastAsia="Times New Roman" w:cstheme="majorHAnsi"/>
          <w:b/>
          <w:bCs/>
          <w:szCs w:val="24"/>
        </w:rPr>
        <w:t xml:space="preserve"> for PWR and $6/MWh</w:t>
      </w:r>
      <w:r>
        <w:rPr>
          <w:rFonts w:ascii="Cambria Math" w:eastAsia="Times New Roman" w:hAnsi="Cambria Math" w:cs="Cambria Math"/>
          <w:b/>
          <w:bCs/>
          <w:szCs w:val="24"/>
        </w:rPr>
        <w:t>ₜₕ</w:t>
      </w:r>
      <w:r>
        <w:rPr>
          <w:rFonts w:eastAsia="Times New Roman" w:cstheme="majorHAnsi"/>
          <w:b/>
          <w:bCs/>
          <w:szCs w:val="24"/>
        </w:rPr>
        <w:t xml:space="preserve"> for HTR-PM versus new coal</w:t>
      </w:r>
      <w:r>
        <w:rPr>
          <w:rFonts w:eastAsia="Times New Roman" w:cstheme="majorHAnsi"/>
          <w:szCs w:val="24"/>
        </w:rPr>
        <w:t>—is considerably larger than the likely logistics differential.</w:t>
      </w:r>
    </w:p>
    <w:p w14:paraId="6E7A830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For </w:t>
      </w:r>
      <w:r>
        <w:rPr>
          <w:rFonts w:eastAsia="Times New Roman" w:cstheme="majorHAnsi"/>
          <w:b/>
          <w:bCs/>
          <w:szCs w:val="24"/>
        </w:rPr>
        <w:t>new nuclear versus an existing coal plant's marginal cost</w:t>
      </w:r>
      <w:r>
        <w:rPr>
          <w:rFonts w:eastAsia="Times New Roman" w:cstheme="majorHAnsi"/>
          <w:szCs w:val="24"/>
        </w:rPr>
        <w:t xml:space="preserve">, logistics matter much more because the existing infrastructure is sunk. At </w:t>
      </w:r>
      <w:r>
        <w:rPr>
          <w:rFonts w:eastAsia="Times New Roman" w:cstheme="majorHAnsi"/>
          <w:b/>
          <w:bCs/>
          <w:szCs w:val="24"/>
        </w:rPr>
        <w:t>$10 versus $18/MWh</w:t>
      </w:r>
      <w:r>
        <w:rPr>
          <w:rFonts w:ascii="Cambria Math" w:eastAsia="Times New Roman" w:hAnsi="Cambria Math" w:cs="Cambria Math"/>
          <w:b/>
          <w:bCs/>
          <w:szCs w:val="24"/>
        </w:rPr>
        <w:t>ₜₕ</w:t>
      </w:r>
      <w:r>
        <w:rPr>
          <w:rFonts w:eastAsia="Times New Roman" w:cstheme="majorHAnsi"/>
          <w:szCs w:val="24"/>
        </w:rPr>
        <w:t xml:space="preserve">, the Automated PWR still has a large $8/MWh heat advantage and could plausibly overcome the cost of constructing the new logistics network. At </w:t>
      </w:r>
      <w:r>
        <w:rPr>
          <w:rFonts w:eastAsia="Times New Roman" w:cstheme="majorHAnsi"/>
          <w:b/>
          <w:bCs/>
          <w:szCs w:val="24"/>
        </w:rPr>
        <w:t>$15 versus $18/MWh</w:t>
      </w:r>
      <w:r>
        <w:rPr>
          <w:rFonts w:ascii="Cambria Math" w:eastAsia="Times New Roman" w:hAnsi="Cambria Math" w:cs="Cambria Math"/>
          <w:b/>
          <w:bCs/>
          <w:szCs w:val="24"/>
        </w:rPr>
        <w:t>ₜₕ</w:t>
      </w:r>
      <w:r>
        <w:rPr>
          <w:rFonts w:eastAsia="Times New Roman" w:cstheme="majorHAnsi"/>
          <w:szCs w:val="24"/>
        </w:rPr>
        <w:t>, the HTR-PM has only $3/MWh of headroom, so I would use it primarily where its ~500°C heat produces a genuine process advantage.</w:t>
      </w:r>
    </w:p>
    <w:p w14:paraId="6D02D96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And I think the </w:t>
      </w:r>
      <w:r>
        <w:rPr>
          <w:rFonts w:eastAsia="Times New Roman" w:cstheme="majorHAnsi"/>
          <w:b/>
          <w:bCs/>
          <w:szCs w:val="24"/>
        </w:rPr>
        <w:t>largest logistics savings may come from site integration rather than nuclear itself</w:t>
      </w:r>
      <w:r>
        <w:rPr>
          <w:rFonts w:eastAsia="Times New Roman" w:cstheme="majorHAnsi"/>
          <w:szCs w:val="24"/>
        </w:rPr>
        <w:t xml:space="preserve">: arranging 31 or more different processing-platform types so that raw materials enter the site once, intermediates move cheaply from platform to platform, waste heat and byproducts are reused locally, and only final products leave by ship. That could save </w:t>
      </w:r>
      <w:r>
        <w:rPr>
          <w:rFonts w:eastAsia="Times New Roman" w:cstheme="majorHAnsi"/>
          <w:b/>
          <w:bCs/>
          <w:szCs w:val="24"/>
        </w:rPr>
        <w:t>tens of dollars per tonne</w:t>
      </w:r>
      <w:r>
        <w:rPr>
          <w:rFonts w:eastAsia="Times New Roman" w:cstheme="majorHAnsi"/>
          <w:szCs w:val="24"/>
        </w:rPr>
        <w:t xml:space="preserve"> in processes that otherwise move intermediate products between separate industrial sites.</w:t>
      </w:r>
    </w:p>
    <w:p w14:paraId="215BF18F" w14:textId="77777777" w:rsidR="009C3A0E" w:rsidRDefault="00994197">
      <w:pPr>
        <w:pStyle w:val="Heading1"/>
        <w:spacing w:before="280" w:after="280"/>
        <w:rPr>
          <w:rFonts w:cstheme="majorHAnsi"/>
        </w:rPr>
      </w:pPr>
      <w:bookmarkStart w:id="36" w:name="_Toc237345527"/>
      <w:bookmarkStart w:id="37" w:name="_Toc237471108"/>
      <w:bookmarkStart w:id="38" w:name="_Toc238129763"/>
      <w:bookmarkStart w:id="39" w:name="_Toc238205550"/>
      <w:r>
        <w:rPr>
          <w:rFonts w:cstheme="majorHAnsi"/>
        </w:rPr>
        <w:lastRenderedPageBreak/>
        <w:t>Large Material Handling Equipment</w:t>
      </w:r>
      <w:bookmarkEnd w:id="36"/>
      <w:bookmarkEnd w:id="37"/>
      <w:bookmarkEnd w:id="38"/>
      <w:bookmarkEnd w:id="39"/>
    </w:p>
    <w:p w14:paraId="5F4EAF06" w14:textId="77777777" w:rsidR="009C3A0E" w:rsidRDefault="00994197">
      <w:pPr>
        <w:pStyle w:val="cUserPromptText"/>
        <w:spacing w:before="280" w:after="280"/>
        <w:rPr>
          <w:rFonts w:asciiTheme="majorHAnsi" w:hAnsiTheme="majorHAnsi" w:cstheme="majorHAnsi"/>
        </w:rPr>
      </w:pPr>
      <w:r>
        <w:rPr>
          <w:rStyle w:val="UserPromptHeadingChar"/>
        </w:rPr>
        <w:t xml:space="preserve">Prompt to AI: </w:t>
      </w:r>
      <w:r>
        <w:rPr>
          <w:rFonts w:cstheme="majorHAnsi"/>
        </w:rPr>
        <w:t>If 12m x 96m platforms of chemical processing equipment are made at a factory or shipyard, and transported to a nuclear site, then what else that is large could be transported to the site to help with material handling, transport, storage, and ship loading/unloading?</w:t>
      </w:r>
    </w:p>
    <w:p w14:paraId="689D5C3C" w14:textId="77777777" w:rsidR="009C3A0E" w:rsidRDefault="00994197">
      <w:pPr>
        <w:spacing w:before="280" w:after="280"/>
      </w:pPr>
      <w:r>
        <w:rPr>
          <w:b/>
          <w:color w:val="4F81BD"/>
          <w:u w:val="single"/>
        </w:rPr>
        <w:t>Response From AI:</w:t>
      </w:r>
    </w:p>
    <w:p w14:paraId="77E8489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Yes. I would extend the same idea beyond the </w:t>
      </w:r>
      <w:r>
        <w:rPr>
          <w:rFonts w:eastAsia="Times New Roman" w:cstheme="majorHAnsi"/>
          <w:b/>
          <w:bCs/>
          <w:szCs w:val="24"/>
        </w:rPr>
        <w:t>chemical-processing platform</w:t>
      </w:r>
      <w:r>
        <w:rPr>
          <w:rFonts w:eastAsia="Times New Roman" w:cstheme="majorHAnsi"/>
          <w:szCs w:val="24"/>
        </w:rPr>
        <w:t xml:space="preserve"> and create a family of </w:t>
      </w:r>
      <w:r>
        <w:rPr>
          <w:rFonts w:eastAsia="Times New Roman" w:cstheme="majorHAnsi"/>
          <w:b/>
          <w:bCs/>
          <w:szCs w:val="24"/>
        </w:rPr>
        <w:t>large factory-made logistics modules</w:t>
      </w:r>
      <w:r>
        <w:rPr>
          <w:rFonts w:eastAsia="Times New Roman" w:cstheme="majorHAnsi"/>
          <w:szCs w:val="24"/>
        </w:rPr>
        <w:t xml:space="preserve"> that can be moved by the same special ship + extra-wide double-rail transportation system.</w:t>
      </w:r>
    </w:p>
    <w:p w14:paraId="25354D5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That is consistent with the architecture in your business plan: pages 54–56 envision 12 m × 96 m processing platforms, double-rail transportation, specially built ships, underground tunnels, and dedicated R&amp;D for the platform transportation system and chemical-processing yard. </w:t>
      </w:r>
    </w:p>
    <w:p w14:paraId="08E54BA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key idea would be:</w:t>
      </w:r>
    </w:p>
    <w:p w14:paraId="5F93932A" w14:textId="77777777" w:rsidR="009C3A0E" w:rsidRDefault="00994197" w:rsidP="00CC7965">
      <w:pPr>
        <w:pStyle w:val="bblueindent"/>
      </w:pPr>
      <w:r>
        <w:t>Do not merely factory-build the chemical plant. Factory-build as much of the port, storage, material-handling, utility, and interconnection infrastructure as practical.</w:t>
      </w:r>
    </w:p>
    <w:p w14:paraId="3B81A22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This could substantially reduce site construction and make each new nuclear industrial complex more like assembling standardized blocks.</w:t>
      </w:r>
    </w:p>
    <w:p w14:paraId="773586BB" w14:textId="77777777" w:rsidR="009C3A0E" w:rsidRDefault="00994197">
      <w:pPr>
        <w:pStyle w:val="Heading2"/>
        <w:spacing w:before="280"/>
      </w:pPr>
      <w:r>
        <w:t>Large modules I would transport to the site</w:t>
      </w:r>
    </w:p>
    <w:tbl>
      <w:tblPr>
        <w:tblStyle w:val="gswTableStyle"/>
        <w:tblW w:w="10152" w:type="dxa"/>
        <w:tblLayout w:type="fixed"/>
        <w:tblLook w:val="04A0" w:firstRow="1" w:lastRow="0" w:firstColumn="1" w:lastColumn="0" w:noHBand="0" w:noVBand="1"/>
      </w:tblPr>
      <w:tblGrid>
        <w:gridCol w:w="2364"/>
        <w:gridCol w:w="2329"/>
        <w:gridCol w:w="2842"/>
        <w:gridCol w:w="2617"/>
      </w:tblGrid>
      <w:tr w:rsidR="009C3A0E" w14:paraId="4F6C044D" w14:textId="77777777" w:rsidTr="005554BF">
        <w:trPr>
          <w:cnfStyle w:val="100000000000" w:firstRow="1" w:lastRow="0" w:firstColumn="0" w:lastColumn="0" w:oddVBand="0" w:evenVBand="0" w:oddHBand="0" w:evenHBand="0" w:firstRowFirstColumn="0" w:firstRowLastColumn="0" w:lastRowFirstColumn="0" w:lastRowLastColumn="0"/>
        </w:trPr>
        <w:tc>
          <w:tcPr>
            <w:tcW w:w="2363" w:type="dxa"/>
          </w:tcPr>
          <w:p w14:paraId="5B7E9D5B" w14:textId="77777777" w:rsidR="009C3A0E" w:rsidRDefault="00994197">
            <w:pPr>
              <w:pStyle w:val="cTableHeader"/>
              <w:spacing w:before="0" w:after="0"/>
            </w:pPr>
            <w:r>
              <w:t>Factory-made module</w:t>
            </w:r>
          </w:p>
        </w:tc>
        <w:tc>
          <w:tcPr>
            <w:tcW w:w="2329" w:type="dxa"/>
          </w:tcPr>
          <w:p w14:paraId="23679BC7" w14:textId="77777777" w:rsidR="009C3A0E" w:rsidRDefault="00994197">
            <w:pPr>
              <w:pStyle w:val="cTableHeader"/>
              <w:spacing w:before="0" w:after="0"/>
            </w:pPr>
            <w:r>
              <w:t>Typical transported form</w:t>
            </w:r>
          </w:p>
        </w:tc>
        <w:tc>
          <w:tcPr>
            <w:tcW w:w="2842" w:type="dxa"/>
          </w:tcPr>
          <w:p w14:paraId="58CFF476" w14:textId="77777777" w:rsidR="009C3A0E" w:rsidRDefault="00994197">
            <w:pPr>
              <w:pStyle w:val="cTableHeader"/>
              <w:spacing w:before="0" w:after="0"/>
            </w:pPr>
            <w:r>
              <w:t>What it does</w:t>
            </w:r>
          </w:p>
        </w:tc>
        <w:tc>
          <w:tcPr>
            <w:tcW w:w="2617" w:type="dxa"/>
          </w:tcPr>
          <w:p w14:paraId="3CE24489" w14:textId="77777777" w:rsidR="009C3A0E" w:rsidRDefault="00994197">
            <w:pPr>
              <w:pStyle w:val="cTableHeader"/>
              <w:spacing w:before="0" w:after="0"/>
            </w:pPr>
            <w:r>
              <w:t>Value of factory construction</w:t>
            </w:r>
          </w:p>
        </w:tc>
      </w:tr>
      <w:tr w:rsidR="009C3A0E" w14:paraId="1898FAF9" w14:textId="77777777" w:rsidTr="005554BF">
        <w:tc>
          <w:tcPr>
            <w:tcW w:w="2363" w:type="dxa"/>
          </w:tcPr>
          <w:p w14:paraId="7DEDD137" w14:textId="77777777" w:rsidR="009C3A0E" w:rsidRDefault="00994197">
            <w:pPr>
              <w:pStyle w:val="cTableBody"/>
              <w:spacing w:before="0"/>
            </w:pPr>
            <w:r>
              <w:t>1. Pipe-rack / manifold platform</w:t>
            </w:r>
          </w:p>
        </w:tc>
        <w:tc>
          <w:tcPr>
            <w:tcW w:w="2329" w:type="dxa"/>
          </w:tcPr>
          <w:p w14:paraId="2780239E" w14:textId="77777777" w:rsidR="009C3A0E" w:rsidRDefault="00994197">
            <w:pPr>
              <w:pStyle w:val="cTableBody"/>
              <w:spacing w:before="0"/>
            </w:pPr>
            <w:r>
              <w:t>12 × 24 m or 12 × 96 m</w:t>
            </w:r>
          </w:p>
        </w:tc>
        <w:tc>
          <w:tcPr>
            <w:tcW w:w="2842" w:type="dxa"/>
          </w:tcPr>
          <w:p w14:paraId="79E328F4" w14:textId="77777777" w:rsidR="009C3A0E" w:rsidRDefault="00994197">
            <w:pPr>
              <w:pStyle w:val="cTableBody"/>
              <w:spacing w:before="0"/>
            </w:pPr>
            <w:r>
              <w:t>Large pipes for liquids, gases, steam, condensate, ammonia, acids, etc.</w:t>
            </w:r>
          </w:p>
        </w:tc>
        <w:tc>
          <w:tcPr>
            <w:tcW w:w="2617" w:type="dxa"/>
          </w:tcPr>
          <w:p w14:paraId="1AA72090" w14:textId="77777777" w:rsidR="009C3A0E" w:rsidRDefault="00994197">
            <w:pPr>
              <w:pStyle w:val="cTableBody"/>
              <w:spacing w:before="0"/>
            </w:pPr>
            <w:r>
              <w:t>Probably one of the highest-value standardized modules</w:t>
            </w:r>
          </w:p>
        </w:tc>
      </w:tr>
      <w:tr w:rsidR="009C3A0E" w14:paraId="28B1CB10" w14:textId="77777777" w:rsidTr="005554BF">
        <w:tc>
          <w:tcPr>
            <w:tcW w:w="2363" w:type="dxa"/>
          </w:tcPr>
          <w:p w14:paraId="3FE0E0F3" w14:textId="77777777" w:rsidR="009C3A0E" w:rsidRDefault="00994197">
            <w:pPr>
              <w:pStyle w:val="cTableBody"/>
              <w:spacing w:before="0"/>
            </w:pPr>
            <w:r>
              <w:t>2. Pumping station platform</w:t>
            </w:r>
          </w:p>
        </w:tc>
        <w:tc>
          <w:tcPr>
            <w:tcW w:w="2329" w:type="dxa"/>
          </w:tcPr>
          <w:p w14:paraId="3122907D" w14:textId="77777777" w:rsidR="009C3A0E" w:rsidRDefault="00994197">
            <w:pPr>
              <w:pStyle w:val="cTableBody"/>
              <w:spacing w:before="0"/>
            </w:pPr>
            <w:r>
              <w:t>12 × 24–48 m</w:t>
            </w:r>
          </w:p>
        </w:tc>
        <w:tc>
          <w:tcPr>
            <w:tcW w:w="2842" w:type="dxa"/>
          </w:tcPr>
          <w:p w14:paraId="160DC675" w14:textId="77777777" w:rsidR="009C3A0E" w:rsidRDefault="00994197">
            <w:pPr>
              <w:pStyle w:val="cTableBody"/>
              <w:spacing w:before="0"/>
            </w:pPr>
            <w:r>
              <w:t>Pumps, motors, valves, filters, meters</w:t>
            </w:r>
          </w:p>
        </w:tc>
        <w:tc>
          <w:tcPr>
            <w:tcW w:w="2617" w:type="dxa"/>
          </w:tcPr>
          <w:p w14:paraId="29832F14" w14:textId="77777777" w:rsidR="009C3A0E" w:rsidRDefault="00994197">
            <w:pPr>
              <w:pStyle w:val="cTableBody"/>
              <w:spacing w:before="0"/>
            </w:pPr>
            <w:r>
              <w:t>Arrives fully piped/wired/tested</w:t>
            </w:r>
          </w:p>
        </w:tc>
      </w:tr>
      <w:tr w:rsidR="009C3A0E" w14:paraId="50A81C42" w14:textId="77777777" w:rsidTr="005554BF">
        <w:tc>
          <w:tcPr>
            <w:tcW w:w="2363" w:type="dxa"/>
          </w:tcPr>
          <w:p w14:paraId="47C7F283" w14:textId="77777777" w:rsidR="009C3A0E" w:rsidRDefault="00994197">
            <w:pPr>
              <w:pStyle w:val="cTableBody"/>
              <w:spacing w:before="0"/>
            </w:pPr>
            <w:r>
              <w:t>3. Gas compressor platform</w:t>
            </w:r>
          </w:p>
        </w:tc>
        <w:tc>
          <w:tcPr>
            <w:tcW w:w="2329" w:type="dxa"/>
          </w:tcPr>
          <w:p w14:paraId="5CAF734A" w14:textId="77777777" w:rsidR="009C3A0E" w:rsidRDefault="00994197">
            <w:pPr>
              <w:pStyle w:val="cTableBody"/>
              <w:spacing w:before="0"/>
            </w:pPr>
            <w:r>
              <w:t>12 × 24–48 m</w:t>
            </w:r>
          </w:p>
        </w:tc>
        <w:tc>
          <w:tcPr>
            <w:tcW w:w="2842" w:type="dxa"/>
          </w:tcPr>
          <w:p w14:paraId="51E6C6B5" w14:textId="77777777" w:rsidR="009C3A0E" w:rsidRDefault="00994197">
            <w:pPr>
              <w:pStyle w:val="cTableBody"/>
              <w:spacing w:before="0"/>
            </w:pPr>
            <w:r>
              <w:t>Compresses H₂, N₂, NH₃ vapor, CO₂, process gases</w:t>
            </w:r>
          </w:p>
        </w:tc>
        <w:tc>
          <w:tcPr>
            <w:tcW w:w="2617" w:type="dxa"/>
          </w:tcPr>
          <w:p w14:paraId="1D61EC04" w14:textId="77777777" w:rsidR="009C3A0E" w:rsidRDefault="00994197">
            <w:pPr>
              <w:pStyle w:val="cTableBody"/>
              <w:spacing w:before="0"/>
            </w:pPr>
            <w:r>
              <w:t>Expensive precision equipment benefits greatly from factory assembly</w:t>
            </w:r>
          </w:p>
        </w:tc>
      </w:tr>
      <w:tr w:rsidR="009C3A0E" w14:paraId="664E6F33" w14:textId="77777777" w:rsidTr="005554BF">
        <w:tc>
          <w:tcPr>
            <w:tcW w:w="2363" w:type="dxa"/>
          </w:tcPr>
          <w:p w14:paraId="5C5102C4" w14:textId="77777777" w:rsidR="009C3A0E" w:rsidRDefault="00994197">
            <w:pPr>
              <w:pStyle w:val="cTableBody"/>
              <w:spacing w:before="0"/>
            </w:pPr>
            <w:r>
              <w:t>4. Liquid-storage tank module</w:t>
            </w:r>
          </w:p>
        </w:tc>
        <w:tc>
          <w:tcPr>
            <w:tcW w:w="2329" w:type="dxa"/>
          </w:tcPr>
          <w:p w14:paraId="2AE3FD89" w14:textId="77777777" w:rsidR="009C3A0E" w:rsidRDefault="00994197">
            <w:pPr>
              <w:pStyle w:val="cTableBody"/>
              <w:spacing w:before="0"/>
            </w:pPr>
            <w:r>
              <w:t>Complete smaller tanks; modular sections for huge tanks</w:t>
            </w:r>
          </w:p>
        </w:tc>
        <w:tc>
          <w:tcPr>
            <w:tcW w:w="2842" w:type="dxa"/>
          </w:tcPr>
          <w:p w14:paraId="07822C91" w14:textId="77777777" w:rsidR="009C3A0E" w:rsidRDefault="00994197">
            <w:pPr>
              <w:pStyle w:val="cTableBody"/>
              <w:spacing w:before="0"/>
            </w:pPr>
            <w:r>
              <w:t>Intermediate/product storage</w:t>
            </w:r>
          </w:p>
        </w:tc>
        <w:tc>
          <w:tcPr>
            <w:tcW w:w="2617" w:type="dxa"/>
          </w:tcPr>
          <w:p w14:paraId="27F46835" w14:textId="77777777" w:rsidR="009C3A0E" w:rsidRDefault="00994197">
            <w:pPr>
              <w:pStyle w:val="cTableBody"/>
              <w:spacing w:before="0"/>
            </w:pPr>
            <w:r>
              <w:t>Reduces field welding and installation</w:t>
            </w:r>
          </w:p>
        </w:tc>
      </w:tr>
      <w:tr w:rsidR="009C3A0E" w14:paraId="63189209" w14:textId="77777777" w:rsidTr="005554BF">
        <w:tc>
          <w:tcPr>
            <w:tcW w:w="2363" w:type="dxa"/>
          </w:tcPr>
          <w:p w14:paraId="6A0CEF56" w14:textId="77777777" w:rsidR="009C3A0E" w:rsidRDefault="00994197">
            <w:pPr>
              <w:pStyle w:val="cTableBody"/>
              <w:spacing w:before="0"/>
            </w:pPr>
            <w:r>
              <w:t>5. Pressurized-storage vessel platform</w:t>
            </w:r>
          </w:p>
        </w:tc>
        <w:tc>
          <w:tcPr>
            <w:tcW w:w="2329" w:type="dxa"/>
          </w:tcPr>
          <w:p w14:paraId="0D46A118" w14:textId="77777777" w:rsidR="009C3A0E" w:rsidRDefault="00994197">
            <w:pPr>
              <w:pStyle w:val="cTableBody"/>
              <w:spacing w:before="0"/>
            </w:pPr>
            <w:r>
              <w:t xml:space="preserve">Complete horizontal/vertical </w:t>
            </w:r>
            <w:r>
              <w:lastRenderedPageBreak/>
              <w:t>vessels</w:t>
            </w:r>
          </w:p>
        </w:tc>
        <w:tc>
          <w:tcPr>
            <w:tcW w:w="2842" w:type="dxa"/>
          </w:tcPr>
          <w:p w14:paraId="699EC9F1" w14:textId="77777777" w:rsidR="009C3A0E" w:rsidRDefault="00994197">
            <w:pPr>
              <w:pStyle w:val="cTableBody"/>
              <w:spacing w:before="0"/>
            </w:pPr>
            <w:r>
              <w:lastRenderedPageBreak/>
              <w:t>Ammonia, LPG-like products, compressed gases</w:t>
            </w:r>
          </w:p>
        </w:tc>
        <w:tc>
          <w:tcPr>
            <w:tcW w:w="2617" w:type="dxa"/>
          </w:tcPr>
          <w:p w14:paraId="0BB6138C" w14:textId="77777777" w:rsidR="009C3A0E" w:rsidRDefault="00994197">
            <w:pPr>
              <w:pStyle w:val="cTableBody"/>
              <w:spacing w:before="0"/>
            </w:pPr>
            <w:r>
              <w:t>Excellent candidate for complete factory fabrication</w:t>
            </w:r>
          </w:p>
        </w:tc>
      </w:tr>
      <w:tr w:rsidR="009C3A0E" w14:paraId="0DA9DDBE" w14:textId="77777777" w:rsidTr="005554BF">
        <w:tc>
          <w:tcPr>
            <w:tcW w:w="2363" w:type="dxa"/>
          </w:tcPr>
          <w:p w14:paraId="40A75B9B" w14:textId="77777777" w:rsidR="009C3A0E" w:rsidRDefault="00994197">
            <w:pPr>
              <w:pStyle w:val="cTableBody"/>
              <w:spacing w:before="0"/>
            </w:pPr>
            <w:r>
              <w:t>6. Bulk-solids silo modules</w:t>
            </w:r>
          </w:p>
        </w:tc>
        <w:tc>
          <w:tcPr>
            <w:tcW w:w="2329" w:type="dxa"/>
          </w:tcPr>
          <w:p w14:paraId="6F721835" w14:textId="77777777" w:rsidR="009C3A0E" w:rsidRDefault="00994197">
            <w:pPr>
              <w:pStyle w:val="cTableBody"/>
              <w:spacing w:before="0"/>
            </w:pPr>
            <w:r>
              <w:t>Large factory-made bins or sectional silos</w:t>
            </w:r>
          </w:p>
        </w:tc>
        <w:tc>
          <w:tcPr>
            <w:tcW w:w="2842" w:type="dxa"/>
          </w:tcPr>
          <w:p w14:paraId="07178D5D" w14:textId="77777777" w:rsidR="009C3A0E" w:rsidRDefault="00994197">
            <w:pPr>
              <w:pStyle w:val="cTableBody"/>
              <w:spacing w:before="0"/>
            </w:pPr>
            <w:r>
              <w:t>Salt, limestone, ore, fertilizer, powders</w:t>
            </w:r>
          </w:p>
        </w:tc>
        <w:tc>
          <w:tcPr>
            <w:tcW w:w="2617" w:type="dxa"/>
          </w:tcPr>
          <w:p w14:paraId="2D96CFAD" w14:textId="77777777" w:rsidR="009C3A0E" w:rsidRDefault="00994197">
            <w:pPr>
              <w:pStyle w:val="cTableBody"/>
              <w:spacing w:before="0"/>
            </w:pPr>
            <w:r>
              <w:t>Standardized discharge and weighing interfaces</w:t>
            </w:r>
          </w:p>
        </w:tc>
      </w:tr>
      <w:tr w:rsidR="009C3A0E" w14:paraId="3FB5E0D7" w14:textId="77777777" w:rsidTr="005554BF">
        <w:tc>
          <w:tcPr>
            <w:tcW w:w="2363" w:type="dxa"/>
          </w:tcPr>
          <w:p w14:paraId="48AC76D9" w14:textId="77777777" w:rsidR="009C3A0E" w:rsidRDefault="00994197">
            <w:pPr>
              <w:pStyle w:val="cTableBody"/>
              <w:spacing w:before="0"/>
            </w:pPr>
            <w:r>
              <w:t>7. Enclosed conveyor modules</w:t>
            </w:r>
          </w:p>
        </w:tc>
        <w:tc>
          <w:tcPr>
            <w:tcW w:w="2329" w:type="dxa"/>
          </w:tcPr>
          <w:p w14:paraId="1B583ED9" w14:textId="77777777" w:rsidR="009C3A0E" w:rsidRDefault="00994197">
            <w:pPr>
              <w:pStyle w:val="cTableBody"/>
              <w:spacing w:before="0"/>
            </w:pPr>
            <w:r>
              <w:t>~24–96 m conveyor sections</w:t>
            </w:r>
          </w:p>
        </w:tc>
        <w:tc>
          <w:tcPr>
            <w:tcW w:w="2842" w:type="dxa"/>
          </w:tcPr>
          <w:p w14:paraId="236FC068" w14:textId="77777777" w:rsidR="009C3A0E" w:rsidRDefault="00994197">
            <w:pPr>
              <w:pStyle w:val="cTableBody"/>
              <w:spacing w:before="0"/>
            </w:pPr>
            <w:r>
              <w:t>Bulk solids between ship, storage and platforms</w:t>
            </w:r>
          </w:p>
        </w:tc>
        <w:tc>
          <w:tcPr>
            <w:tcW w:w="2617" w:type="dxa"/>
          </w:tcPr>
          <w:p w14:paraId="11352AC1" w14:textId="77777777" w:rsidR="009C3A0E" w:rsidRDefault="00994197">
            <w:pPr>
              <w:pStyle w:val="cTableBody"/>
              <w:spacing w:before="0"/>
            </w:pPr>
            <w:r>
              <w:t>Very repetitive equipment; ideal for modular manufacture</w:t>
            </w:r>
          </w:p>
        </w:tc>
      </w:tr>
      <w:tr w:rsidR="009C3A0E" w14:paraId="420C14BC" w14:textId="77777777" w:rsidTr="005554BF">
        <w:tc>
          <w:tcPr>
            <w:tcW w:w="2363" w:type="dxa"/>
          </w:tcPr>
          <w:p w14:paraId="3F7F70D2" w14:textId="77777777" w:rsidR="009C3A0E" w:rsidRDefault="00994197">
            <w:pPr>
              <w:pStyle w:val="cTableBody"/>
              <w:spacing w:before="0"/>
            </w:pPr>
            <w:r>
              <w:t>8. Conveyor transfer-tower platform</w:t>
            </w:r>
          </w:p>
        </w:tc>
        <w:tc>
          <w:tcPr>
            <w:tcW w:w="2329" w:type="dxa"/>
          </w:tcPr>
          <w:p w14:paraId="17180487" w14:textId="77777777" w:rsidR="009C3A0E" w:rsidRDefault="00994197">
            <w:pPr>
              <w:pStyle w:val="cTableBody"/>
              <w:spacing w:before="0"/>
            </w:pPr>
            <w:r>
              <w:t>12 × 12–24 m tall module</w:t>
            </w:r>
          </w:p>
        </w:tc>
        <w:tc>
          <w:tcPr>
            <w:tcW w:w="2842" w:type="dxa"/>
          </w:tcPr>
          <w:p w14:paraId="0F727986" w14:textId="77777777" w:rsidR="009C3A0E" w:rsidRDefault="00994197">
            <w:pPr>
              <w:pStyle w:val="cTableBody"/>
              <w:spacing w:before="0"/>
            </w:pPr>
            <w:r>
              <w:t>Changes direction/elevation; screens, crushers, samplers</w:t>
            </w:r>
          </w:p>
        </w:tc>
        <w:tc>
          <w:tcPr>
            <w:tcW w:w="2617" w:type="dxa"/>
          </w:tcPr>
          <w:p w14:paraId="35ACD249" w14:textId="77777777" w:rsidR="009C3A0E" w:rsidRDefault="00994197">
            <w:pPr>
              <w:pStyle w:val="cTableBody"/>
              <w:spacing w:before="0"/>
            </w:pPr>
            <w:r>
              <w:t>Complex part of conveyor system can arrive preassembled</w:t>
            </w:r>
          </w:p>
        </w:tc>
      </w:tr>
      <w:tr w:rsidR="009C3A0E" w14:paraId="7E05ACB5" w14:textId="77777777" w:rsidTr="005554BF">
        <w:tc>
          <w:tcPr>
            <w:tcW w:w="2363" w:type="dxa"/>
          </w:tcPr>
          <w:p w14:paraId="64843E72" w14:textId="77777777" w:rsidR="009C3A0E" w:rsidRDefault="00994197">
            <w:pPr>
              <w:pStyle w:val="cTableBody"/>
              <w:spacing w:before="0"/>
            </w:pPr>
            <w:r>
              <w:t>9. Rail-cart material station</w:t>
            </w:r>
          </w:p>
        </w:tc>
        <w:tc>
          <w:tcPr>
            <w:tcW w:w="2329" w:type="dxa"/>
          </w:tcPr>
          <w:p w14:paraId="405C8690" w14:textId="77777777" w:rsidR="009C3A0E" w:rsidRDefault="00994197">
            <w:pPr>
              <w:pStyle w:val="cTableBody"/>
              <w:spacing w:before="0"/>
            </w:pPr>
            <w:r>
              <w:t>12 × 24 m</w:t>
            </w:r>
          </w:p>
        </w:tc>
        <w:tc>
          <w:tcPr>
            <w:tcW w:w="2842" w:type="dxa"/>
          </w:tcPr>
          <w:p w14:paraId="38A31269" w14:textId="77777777" w:rsidR="009C3A0E" w:rsidRDefault="00994197">
            <w:pPr>
              <w:pStyle w:val="cTableBody"/>
              <w:spacing w:before="0"/>
            </w:pPr>
            <w:r>
              <w:t>Loads/unloads pallets, drums, catalyst, bags, containers</w:t>
            </w:r>
          </w:p>
        </w:tc>
        <w:tc>
          <w:tcPr>
            <w:tcW w:w="2617" w:type="dxa"/>
          </w:tcPr>
          <w:p w14:paraId="630626A6" w14:textId="77777777" w:rsidR="009C3A0E" w:rsidRDefault="00994197">
            <w:pPr>
              <w:pStyle w:val="cTableBody"/>
              <w:spacing w:before="0"/>
            </w:pPr>
            <w:r>
              <w:t>Automates small-volume solids movement</w:t>
            </w:r>
          </w:p>
        </w:tc>
      </w:tr>
      <w:tr w:rsidR="009C3A0E" w14:paraId="10245603" w14:textId="77777777" w:rsidTr="005554BF">
        <w:tc>
          <w:tcPr>
            <w:tcW w:w="2363" w:type="dxa"/>
          </w:tcPr>
          <w:p w14:paraId="3ABF8601" w14:textId="77777777" w:rsidR="009C3A0E" w:rsidRDefault="00994197">
            <w:pPr>
              <w:pStyle w:val="cTableBody"/>
              <w:spacing w:before="0"/>
            </w:pPr>
            <w:r>
              <w:t>10. Ship liquid/gas manifold module</w:t>
            </w:r>
          </w:p>
        </w:tc>
        <w:tc>
          <w:tcPr>
            <w:tcW w:w="2329" w:type="dxa"/>
          </w:tcPr>
          <w:p w14:paraId="60849DB7" w14:textId="77777777" w:rsidR="009C3A0E" w:rsidRDefault="00994197">
            <w:pPr>
              <w:pStyle w:val="cTableBody"/>
              <w:spacing w:before="0"/>
            </w:pPr>
            <w:r>
              <w:t>Large quay-side skid/platform</w:t>
            </w:r>
          </w:p>
        </w:tc>
        <w:tc>
          <w:tcPr>
            <w:tcW w:w="2842" w:type="dxa"/>
          </w:tcPr>
          <w:p w14:paraId="5AA36F03" w14:textId="77777777" w:rsidR="009C3A0E" w:rsidRDefault="00994197">
            <w:pPr>
              <w:pStyle w:val="cTableBody"/>
              <w:spacing w:before="0"/>
            </w:pPr>
            <w:r>
              <w:t>Connects ships to shore pipelines</w:t>
            </w:r>
          </w:p>
        </w:tc>
        <w:tc>
          <w:tcPr>
            <w:tcW w:w="2617" w:type="dxa"/>
          </w:tcPr>
          <w:p w14:paraId="4AE6B7C1" w14:textId="77777777" w:rsidR="009C3A0E" w:rsidRDefault="00994197">
            <w:pPr>
              <w:pStyle w:val="cTableBody"/>
              <w:spacing w:before="0"/>
            </w:pPr>
            <w:r>
              <w:t>Standard loading arms, ESD valves, metering and vapor-return system</w:t>
            </w:r>
          </w:p>
        </w:tc>
      </w:tr>
      <w:tr w:rsidR="009C3A0E" w14:paraId="00B6B79C" w14:textId="77777777" w:rsidTr="005554BF">
        <w:tc>
          <w:tcPr>
            <w:tcW w:w="2363" w:type="dxa"/>
          </w:tcPr>
          <w:p w14:paraId="5D045DF8" w14:textId="77777777" w:rsidR="009C3A0E" w:rsidRDefault="00994197">
            <w:pPr>
              <w:pStyle w:val="cTableBody"/>
              <w:spacing w:before="0"/>
            </w:pPr>
            <w:r>
              <w:t>11. Bulk ship-loader/unloader module</w:t>
            </w:r>
          </w:p>
        </w:tc>
        <w:tc>
          <w:tcPr>
            <w:tcW w:w="2329" w:type="dxa"/>
          </w:tcPr>
          <w:p w14:paraId="0B95EBBB" w14:textId="77777777" w:rsidR="009C3A0E" w:rsidRDefault="00994197">
            <w:pPr>
              <w:pStyle w:val="cTableBody"/>
              <w:spacing w:before="0"/>
            </w:pPr>
            <w:r>
              <w:t>Large truss/gantry sections</w:t>
            </w:r>
          </w:p>
        </w:tc>
        <w:tc>
          <w:tcPr>
            <w:tcW w:w="2842" w:type="dxa"/>
          </w:tcPr>
          <w:p w14:paraId="11812959" w14:textId="77777777" w:rsidR="009C3A0E" w:rsidRDefault="00994197">
            <w:pPr>
              <w:pStyle w:val="cTableBody"/>
              <w:spacing w:before="0"/>
            </w:pPr>
            <w:r>
              <w:t>Moves ore, grain, salt, fertilizer, limestone, etc. ship ↔ conveyor</w:t>
            </w:r>
          </w:p>
        </w:tc>
        <w:tc>
          <w:tcPr>
            <w:tcW w:w="2617" w:type="dxa"/>
          </w:tcPr>
          <w:p w14:paraId="231BE897" w14:textId="77777777" w:rsidR="009C3A0E" w:rsidRDefault="00994197">
            <w:pPr>
              <w:pStyle w:val="cTableBody"/>
              <w:spacing w:before="0"/>
            </w:pPr>
            <w:r>
              <w:t>Much of structure can be built at shipyard</w:t>
            </w:r>
          </w:p>
        </w:tc>
      </w:tr>
      <w:tr w:rsidR="009C3A0E" w14:paraId="2E085AB2" w14:textId="77777777" w:rsidTr="005554BF">
        <w:tc>
          <w:tcPr>
            <w:tcW w:w="2363" w:type="dxa"/>
          </w:tcPr>
          <w:p w14:paraId="7CAE8B79" w14:textId="77777777" w:rsidR="009C3A0E" w:rsidRDefault="00994197">
            <w:pPr>
              <w:pStyle w:val="cTableBody"/>
              <w:spacing w:before="0"/>
            </w:pPr>
            <w:r>
              <w:t>12. Ship-to-rail/platform transfer station</w:t>
            </w:r>
          </w:p>
        </w:tc>
        <w:tc>
          <w:tcPr>
            <w:tcW w:w="2329" w:type="dxa"/>
          </w:tcPr>
          <w:p w14:paraId="4F299CD0" w14:textId="77777777" w:rsidR="009C3A0E" w:rsidRDefault="00994197">
            <w:pPr>
              <w:pStyle w:val="cTableBody"/>
              <w:spacing w:before="0"/>
            </w:pPr>
            <w:r>
              <w:t>Large waterfront module</w:t>
            </w:r>
          </w:p>
        </w:tc>
        <w:tc>
          <w:tcPr>
            <w:tcW w:w="2842" w:type="dxa"/>
          </w:tcPr>
          <w:p w14:paraId="0A71C6AF" w14:textId="77777777" w:rsidR="009C3A0E" w:rsidRDefault="00994197">
            <w:pPr>
              <w:pStyle w:val="cTableBody"/>
              <w:spacing w:before="0"/>
            </w:pPr>
            <w:r>
              <w:t>Transfers entire 12 × 96 m platform ship ↔ transporter</w:t>
            </w:r>
          </w:p>
        </w:tc>
        <w:tc>
          <w:tcPr>
            <w:tcW w:w="2617" w:type="dxa"/>
          </w:tcPr>
          <w:p w14:paraId="49DFE95C" w14:textId="77777777" w:rsidR="009C3A0E" w:rsidRDefault="00994197">
            <w:pPr>
              <w:pStyle w:val="cTableBody"/>
              <w:spacing w:before="0"/>
            </w:pPr>
            <w:r>
              <w:t>Essential to your platform-replacement concept</w:t>
            </w:r>
          </w:p>
        </w:tc>
      </w:tr>
      <w:tr w:rsidR="009C3A0E" w14:paraId="42E65A04" w14:textId="77777777" w:rsidTr="005554BF">
        <w:tc>
          <w:tcPr>
            <w:tcW w:w="2363" w:type="dxa"/>
          </w:tcPr>
          <w:p w14:paraId="118C2433" w14:textId="77777777" w:rsidR="009C3A0E" w:rsidRDefault="00994197">
            <w:pPr>
              <w:pStyle w:val="cTableBody"/>
              <w:spacing w:before="0"/>
            </w:pPr>
            <w:r>
              <w:t>13. Storage-tank pump-house platform</w:t>
            </w:r>
          </w:p>
        </w:tc>
        <w:tc>
          <w:tcPr>
            <w:tcW w:w="2329" w:type="dxa"/>
          </w:tcPr>
          <w:p w14:paraId="48558195" w14:textId="77777777" w:rsidR="009C3A0E" w:rsidRDefault="00994197">
            <w:pPr>
              <w:pStyle w:val="cTableBody"/>
              <w:spacing w:before="0"/>
            </w:pPr>
            <w:r>
              <w:t>12 × 24–48 m</w:t>
            </w:r>
          </w:p>
        </w:tc>
        <w:tc>
          <w:tcPr>
            <w:tcW w:w="2842" w:type="dxa"/>
          </w:tcPr>
          <w:p w14:paraId="13590ECB" w14:textId="77777777" w:rsidR="009C3A0E" w:rsidRDefault="00994197">
            <w:pPr>
              <w:pStyle w:val="cTableBody"/>
              <w:spacing w:before="0"/>
            </w:pPr>
            <w:r>
              <w:t>Pumps and manifolds connecting tank farm to yard</w:t>
            </w:r>
          </w:p>
        </w:tc>
        <w:tc>
          <w:tcPr>
            <w:tcW w:w="2617" w:type="dxa"/>
          </w:tcPr>
          <w:p w14:paraId="5A99372B" w14:textId="77777777" w:rsidR="009C3A0E" w:rsidRDefault="00994197">
            <w:pPr>
              <w:pStyle w:val="cTableBody"/>
              <w:spacing w:before="0"/>
            </w:pPr>
            <w:r>
              <w:t>Standardized, replaceable unit</w:t>
            </w:r>
          </w:p>
        </w:tc>
      </w:tr>
      <w:tr w:rsidR="009C3A0E" w14:paraId="12C00ED5" w14:textId="77777777" w:rsidTr="005554BF">
        <w:tc>
          <w:tcPr>
            <w:tcW w:w="2363" w:type="dxa"/>
          </w:tcPr>
          <w:p w14:paraId="1A182CCA" w14:textId="77777777" w:rsidR="009C3A0E" w:rsidRDefault="00994197">
            <w:pPr>
              <w:pStyle w:val="cTableBody"/>
              <w:spacing w:before="0"/>
            </w:pPr>
            <w:r>
              <w:t>14. Product blending/loading platform</w:t>
            </w:r>
          </w:p>
        </w:tc>
        <w:tc>
          <w:tcPr>
            <w:tcW w:w="2329" w:type="dxa"/>
          </w:tcPr>
          <w:p w14:paraId="2C7AF2FD" w14:textId="77777777" w:rsidR="009C3A0E" w:rsidRDefault="00994197">
            <w:pPr>
              <w:pStyle w:val="cTableBody"/>
              <w:spacing w:before="0"/>
            </w:pPr>
            <w:r>
              <w:t>12 × 24–48 m</w:t>
            </w:r>
          </w:p>
        </w:tc>
        <w:tc>
          <w:tcPr>
            <w:tcW w:w="2842" w:type="dxa"/>
          </w:tcPr>
          <w:p w14:paraId="03C890D5" w14:textId="77777777" w:rsidR="009C3A0E" w:rsidRDefault="00994197">
            <w:pPr>
              <w:pStyle w:val="cTableBody"/>
              <w:spacing w:before="0"/>
            </w:pPr>
            <w:r>
              <w:t>Blending, sampling, metering prior to export</w:t>
            </w:r>
          </w:p>
        </w:tc>
        <w:tc>
          <w:tcPr>
            <w:tcW w:w="2617" w:type="dxa"/>
          </w:tcPr>
          <w:p w14:paraId="4068E258" w14:textId="77777777" w:rsidR="009C3A0E" w:rsidRDefault="00994197">
            <w:pPr>
              <w:pStyle w:val="cTableBody"/>
              <w:spacing w:before="0"/>
            </w:pPr>
            <w:r>
              <w:t>Keeps finished-product logistics automated</w:t>
            </w:r>
          </w:p>
        </w:tc>
      </w:tr>
      <w:tr w:rsidR="009C3A0E" w14:paraId="77A85BBA" w14:textId="77777777" w:rsidTr="005554BF">
        <w:tc>
          <w:tcPr>
            <w:tcW w:w="2363" w:type="dxa"/>
          </w:tcPr>
          <w:p w14:paraId="6D05B214" w14:textId="77777777" w:rsidR="009C3A0E" w:rsidRDefault="00994197">
            <w:pPr>
              <w:pStyle w:val="cTableBody"/>
              <w:spacing w:before="0"/>
            </w:pPr>
            <w:r>
              <w:t>15. Intermediate-material distribution platform</w:t>
            </w:r>
          </w:p>
        </w:tc>
        <w:tc>
          <w:tcPr>
            <w:tcW w:w="2329" w:type="dxa"/>
          </w:tcPr>
          <w:p w14:paraId="0E8DAC05" w14:textId="77777777" w:rsidR="009C3A0E" w:rsidRDefault="00994197">
            <w:pPr>
              <w:pStyle w:val="cTableBody"/>
              <w:spacing w:before="0"/>
            </w:pPr>
            <w:r>
              <w:t>12 × 24–48 m</w:t>
            </w:r>
          </w:p>
        </w:tc>
        <w:tc>
          <w:tcPr>
            <w:tcW w:w="2842" w:type="dxa"/>
          </w:tcPr>
          <w:p w14:paraId="6C0CEDF1" w14:textId="77777777" w:rsidR="009C3A0E" w:rsidRDefault="00994197">
            <w:pPr>
              <w:pStyle w:val="cTableBody"/>
              <w:spacing w:before="0"/>
            </w:pPr>
            <w:r>
              <w:t>Central manifold that routes product from Platform A to B/C/D</w:t>
            </w:r>
          </w:p>
        </w:tc>
        <w:tc>
          <w:tcPr>
            <w:tcW w:w="2617" w:type="dxa"/>
          </w:tcPr>
          <w:p w14:paraId="4711243F" w14:textId="77777777" w:rsidR="009C3A0E" w:rsidRDefault="00994197">
            <w:pPr>
              <w:pStyle w:val="cTableBody"/>
              <w:spacing w:before="0"/>
            </w:pPr>
            <w:r>
              <w:t>Reduces duplicate pipes and valves</w:t>
            </w:r>
          </w:p>
        </w:tc>
      </w:tr>
      <w:tr w:rsidR="009C3A0E" w14:paraId="1CD66B6D" w14:textId="77777777" w:rsidTr="005554BF">
        <w:tc>
          <w:tcPr>
            <w:tcW w:w="2363" w:type="dxa"/>
          </w:tcPr>
          <w:p w14:paraId="10D3DC6B" w14:textId="77777777" w:rsidR="009C3A0E" w:rsidRDefault="00994197">
            <w:pPr>
              <w:pStyle w:val="cTableBody"/>
              <w:spacing w:before="0"/>
            </w:pPr>
            <w:r>
              <w:t>16. Utility-distribution platform</w:t>
            </w:r>
          </w:p>
        </w:tc>
        <w:tc>
          <w:tcPr>
            <w:tcW w:w="2329" w:type="dxa"/>
          </w:tcPr>
          <w:p w14:paraId="2ABBB370" w14:textId="77777777" w:rsidR="009C3A0E" w:rsidRDefault="00994197">
            <w:pPr>
              <w:pStyle w:val="cTableBody"/>
              <w:spacing w:before="0"/>
            </w:pPr>
            <w:r>
              <w:t>12 × 24–96 m</w:t>
            </w:r>
          </w:p>
        </w:tc>
        <w:tc>
          <w:tcPr>
            <w:tcW w:w="2842" w:type="dxa"/>
          </w:tcPr>
          <w:p w14:paraId="7DDF9CDC" w14:textId="77777777" w:rsidR="009C3A0E" w:rsidRDefault="00994197">
            <w:pPr>
              <w:pStyle w:val="cTableBody"/>
              <w:spacing w:before="0"/>
            </w:pPr>
            <w:r>
              <w:t>Steam, hot water, cooling water, compressed air, nitrogen</w:t>
            </w:r>
          </w:p>
        </w:tc>
        <w:tc>
          <w:tcPr>
            <w:tcW w:w="2617" w:type="dxa"/>
          </w:tcPr>
          <w:p w14:paraId="0691A793" w14:textId="77777777" w:rsidR="009C3A0E" w:rsidRDefault="00994197">
            <w:pPr>
              <w:pStyle w:val="cTableBody"/>
              <w:spacing w:before="0"/>
            </w:pPr>
            <w:r>
              <w:t>Common interface for many processing platforms</w:t>
            </w:r>
          </w:p>
        </w:tc>
      </w:tr>
      <w:tr w:rsidR="009C3A0E" w14:paraId="5026D962" w14:textId="77777777" w:rsidTr="005554BF">
        <w:tc>
          <w:tcPr>
            <w:tcW w:w="2363" w:type="dxa"/>
          </w:tcPr>
          <w:p w14:paraId="68E3F0D6" w14:textId="77777777" w:rsidR="009C3A0E" w:rsidRDefault="00994197">
            <w:pPr>
              <w:pStyle w:val="cTableBody"/>
              <w:spacing w:before="0"/>
            </w:pPr>
            <w:r>
              <w:t>17. Heat-exchanger station</w:t>
            </w:r>
          </w:p>
        </w:tc>
        <w:tc>
          <w:tcPr>
            <w:tcW w:w="2329" w:type="dxa"/>
          </w:tcPr>
          <w:p w14:paraId="0B9B4372" w14:textId="77777777" w:rsidR="009C3A0E" w:rsidRDefault="00994197">
            <w:pPr>
              <w:pStyle w:val="cTableBody"/>
              <w:spacing w:before="0"/>
            </w:pPr>
            <w:r>
              <w:t>12 × 24–48 m</w:t>
            </w:r>
          </w:p>
        </w:tc>
        <w:tc>
          <w:tcPr>
            <w:tcW w:w="2842" w:type="dxa"/>
          </w:tcPr>
          <w:p w14:paraId="5E772FFF" w14:textId="77777777" w:rsidR="009C3A0E" w:rsidRDefault="00994197">
            <w:pPr>
              <w:pStyle w:val="cTableBody"/>
              <w:spacing w:before="0"/>
            </w:pPr>
            <w:r>
              <w:t>Nuclear isolation loop ↔ industrial heat network</w:t>
            </w:r>
          </w:p>
        </w:tc>
        <w:tc>
          <w:tcPr>
            <w:tcW w:w="2617" w:type="dxa"/>
          </w:tcPr>
          <w:p w14:paraId="1D7943B3" w14:textId="77777777" w:rsidR="009C3A0E" w:rsidRDefault="00994197">
            <w:pPr>
              <w:pStyle w:val="cTableBody"/>
              <w:spacing w:before="0"/>
            </w:pPr>
            <w:r>
              <w:t>Particularly important for PWR/HTR-PM integration</w:t>
            </w:r>
          </w:p>
        </w:tc>
      </w:tr>
      <w:tr w:rsidR="009C3A0E" w14:paraId="3944355C" w14:textId="77777777" w:rsidTr="005554BF">
        <w:tc>
          <w:tcPr>
            <w:tcW w:w="2363" w:type="dxa"/>
          </w:tcPr>
          <w:p w14:paraId="7D6E56A5" w14:textId="77777777" w:rsidR="009C3A0E" w:rsidRDefault="00994197">
            <w:pPr>
              <w:pStyle w:val="cTableBody"/>
              <w:spacing w:before="0"/>
            </w:pPr>
            <w:r>
              <w:t>18. Electrical substation / power-conversion platform</w:t>
            </w:r>
          </w:p>
        </w:tc>
        <w:tc>
          <w:tcPr>
            <w:tcW w:w="2329" w:type="dxa"/>
          </w:tcPr>
          <w:p w14:paraId="0CFEF42D" w14:textId="77777777" w:rsidR="009C3A0E" w:rsidRDefault="00994197">
            <w:pPr>
              <w:pStyle w:val="cTableBody"/>
              <w:spacing w:before="0"/>
            </w:pPr>
            <w:r>
              <w:t>12 × 24–48 m</w:t>
            </w:r>
          </w:p>
        </w:tc>
        <w:tc>
          <w:tcPr>
            <w:tcW w:w="2842" w:type="dxa"/>
          </w:tcPr>
          <w:p w14:paraId="2BEA1C1E" w14:textId="77777777" w:rsidR="009C3A0E" w:rsidRDefault="00994197">
            <w:pPr>
              <w:pStyle w:val="cTableBody"/>
              <w:spacing w:before="0"/>
            </w:pPr>
            <w:r>
              <w:t>Transformers, switchgear, rectifiers, variable-speed drives</w:t>
            </w:r>
          </w:p>
        </w:tc>
        <w:tc>
          <w:tcPr>
            <w:tcW w:w="2617" w:type="dxa"/>
          </w:tcPr>
          <w:p w14:paraId="4F458676" w14:textId="77777777" w:rsidR="009C3A0E" w:rsidRDefault="00994197">
            <w:pPr>
              <w:pStyle w:val="cTableBody"/>
              <w:spacing w:before="0"/>
            </w:pPr>
            <w:r>
              <w:t>Almost completely factory-testable</w:t>
            </w:r>
          </w:p>
        </w:tc>
      </w:tr>
      <w:tr w:rsidR="009C3A0E" w14:paraId="0684D242" w14:textId="77777777" w:rsidTr="005554BF">
        <w:tc>
          <w:tcPr>
            <w:tcW w:w="2363" w:type="dxa"/>
          </w:tcPr>
          <w:p w14:paraId="08BFD1C2" w14:textId="77777777" w:rsidR="009C3A0E" w:rsidRDefault="00994197">
            <w:pPr>
              <w:pStyle w:val="cTableBody"/>
              <w:spacing w:before="0"/>
            </w:pPr>
            <w:r>
              <w:t>19. Heat-pump/MVR utility platform</w:t>
            </w:r>
          </w:p>
        </w:tc>
        <w:tc>
          <w:tcPr>
            <w:tcW w:w="2329" w:type="dxa"/>
          </w:tcPr>
          <w:p w14:paraId="41DEAFF5" w14:textId="77777777" w:rsidR="009C3A0E" w:rsidRDefault="00994197">
            <w:pPr>
              <w:pStyle w:val="cTableBody"/>
              <w:spacing w:before="0"/>
            </w:pPr>
            <w:r>
              <w:t>12 × 24–96 m</w:t>
            </w:r>
          </w:p>
        </w:tc>
        <w:tc>
          <w:tcPr>
            <w:tcW w:w="2842" w:type="dxa"/>
          </w:tcPr>
          <w:p w14:paraId="1711117D" w14:textId="77777777" w:rsidR="009C3A0E" w:rsidRDefault="00994197">
            <w:pPr>
              <w:pStyle w:val="cTableBody"/>
              <w:spacing w:before="0"/>
            </w:pPr>
            <w:r>
              <w:t>Recycles waste heat and produces process steam</w:t>
            </w:r>
          </w:p>
        </w:tc>
        <w:tc>
          <w:tcPr>
            <w:tcW w:w="2617" w:type="dxa"/>
          </w:tcPr>
          <w:p w14:paraId="04D8A6D4" w14:textId="77777777" w:rsidR="009C3A0E" w:rsidRDefault="00994197">
            <w:pPr>
              <w:pStyle w:val="cTableBody"/>
              <w:spacing w:before="0"/>
            </w:pPr>
            <w:r>
              <w:t>Serves many adjacent chemical platforms</w:t>
            </w:r>
          </w:p>
        </w:tc>
      </w:tr>
      <w:tr w:rsidR="009C3A0E" w14:paraId="366747F7" w14:textId="77777777" w:rsidTr="005554BF">
        <w:tc>
          <w:tcPr>
            <w:tcW w:w="2363" w:type="dxa"/>
          </w:tcPr>
          <w:p w14:paraId="3082ED24" w14:textId="77777777" w:rsidR="009C3A0E" w:rsidRDefault="00994197">
            <w:pPr>
              <w:pStyle w:val="cTableBody"/>
              <w:spacing w:before="0"/>
            </w:pPr>
            <w:r>
              <w:t>20. Water-treatment platform</w:t>
            </w:r>
          </w:p>
        </w:tc>
        <w:tc>
          <w:tcPr>
            <w:tcW w:w="2329" w:type="dxa"/>
          </w:tcPr>
          <w:p w14:paraId="29D05CA4" w14:textId="77777777" w:rsidR="009C3A0E" w:rsidRDefault="00994197">
            <w:pPr>
              <w:pStyle w:val="cTableBody"/>
              <w:spacing w:before="0"/>
            </w:pPr>
            <w:r>
              <w:t>12 × 24–96 m</w:t>
            </w:r>
          </w:p>
        </w:tc>
        <w:tc>
          <w:tcPr>
            <w:tcW w:w="2842" w:type="dxa"/>
          </w:tcPr>
          <w:p w14:paraId="397EBBE5" w14:textId="77777777" w:rsidR="009C3A0E" w:rsidRDefault="00994197">
            <w:pPr>
              <w:pStyle w:val="cTableBody"/>
              <w:spacing w:before="0"/>
            </w:pPr>
            <w:r>
              <w:t>Demineralized/process water, condensate polishing</w:t>
            </w:r>
          </w:p>
        </w:tc>
        <w:tc>
          <w:tcPr>
            <w:tcW w:w="2617" w:type="dxa"/>
          </w:tcPr>
          <w:p w14:paraId="4DFB227F" w14:textId="77777777" w:rsidR="009C3A0E" w:rsidRDefault="00994197">
            <w:pPr>
              <w:pStyle w:val="cTableBody"/>
              <w:spacing w:before="0"/>
            </w:pPr>
            <w:r>
              <w:t>Common site utility</w:t>
            </w:r>
          </w:p>
        </w:tc>
      </w:tr>
      <w:tr w:rsidR="009C3A0E" w14:paraId="08CFE47C" w14:textId="77777777" w:rsidTr="005554BF">
        <w:tc>
          <w:tcPr>
            <w:tcW w:w="2363" w:type="dxa"/>
          </w:tcPr>
          <w:p w14:paraId="3340A2CD" w14:textId="77777777" w:rsidR="009C3A0E" w:rsidRDefault="00994197">
            <w:pPr>
              <w:pStyle w:val="cTableBody"/>
              <w:spacing w:before="0"/>
            </w:pPr>
            <w:r>
              <w:t>21. Wastewater-treatment platform</w:t>
            </w:r>
          </w:p>
        </w:tc>
        <w:tc>
          <w:tcPr>
            <w:tcW w:w="2329" w:type="dxa"/>
          </w:tcPr>
          <w:p w14:paraId="51B264AB" w14:textId="77777777" w:rsidR="009C3A0E" w:rsidRDefault="00994197">
            <w:pPr>
              <w:pStyle w:val="cTableBody"/>
              <w:spacing w:before="0"/>
            </w:pPr>
            <w:r>
              <w:t>Multiple 12 × 96 m modules</w:t>
            </w:r>
          </w:p>
        </w:tc>
        <w:tc>
          <w:tcPr>
            <w:tcW w:w="2842" w:type="dxa"/>
          </w:tcPr>
          <w:p w14:paraId="43CCD7ED" w14:textId="77777777" w:rsidR="009C3A0E" w:rsidRDefault="00994197">
            <w:pPr>
              <w:pStyle w:val="cTableBody"/>
              <w:spacing w:before="0"/>
            </w:pPr>
            <w:r>
              <w:t>Treats process water before reuse/discharge</w:t>
            </w:r>
          </w:p>
        </w:tc>
        <w:tc>
          <w:tcPr>
            <w:tcW w:w="2617" w:type="dxa"/>
          </w:tcPr>
          <w:p w14:paraId="248476D7" w14:textId="77777777" w:rsidR="009C3A0E" w:rsidRDefault="00994197">
            <w:pPr>
              <w:pStyle w:val="cTableBody"/>
              <w:spacing w:before="0"/>
            </w:pPr>
            <w:r>
              <w:t>Can be replicated as capacity grows</w:t>
            </w:r>
          </w:p>
        </w:tc>
      </w:tr>
      <w:tr w:rsidR="009C3A0E" w14:paraId="7D70D35B" w14:textId="77777777" w:rsidTr="005554BF">
        <w:tc>
          <w:tcPr>
            <w:tcW w:w="2363" w:type="dxa"/>
          </w:tcPr>
          <w:p w14:paraId="2A7D1C60" w14:textId="77777777" w:rsidR="009C3A0E" w:rsidRDefault="00994197">
            <w:pPr>
              <w:pStyle w:val="cTableBody"/>
              <w:spacing w:before="0"/>
            </w:pPr>
            <w:r>
              <w:t>22. Air-separation platform</w:t>
            </w:r>
          </w:p>
        </w:tc>
        <w:tc>
          <w:tcPr>
            <w:tcW w:w="2329" w:type="dxa"/>
          </w:tcPr>
          <w:p w14:paraId="1CB6529D" w14:textId="77777777" w:rsidR="009C3A0E" w:rsidRDefault="00994197">
            <w:pPr>
              <w:pStyle w:val="cTableBody"/>
              <w:spacing w:before="0"/>
            </w:pPr>
            <w:r>
              <w:t>Multiple large modules</w:t>
            </w:r>
          </w:p>
        </w:tc>
        <w:tc>
          <w:tcPr>
            <w:tcW w:w="2842" w:type="dxa"/>
          </w:tcPr>
          <w:p w14:paraId="198C0C4E" w14:textId="77777777" w:rsidR="009C3A0E" w:rsidRDefault="00994197">
            <w:pPr>
              <w:pStyle w:val="cTableBody"/>
              <w:spacing w:before="0"/>
            </w:pPr>
            <w:r>
              <w:t>O₂/N₂/Ar production</w:t>
            </w:r>
          </w:p>
        </w:tc>
        <w:tc>
          <w:tcPr>
            <w:tcW w:w="2617" w:type="dxa"/>
          </w:tcPr>
          <w:p w14:paraId="2CC0D9D0" w14:textId="77777777" w:rsidR="009C3A0E" w:rsidRDefault="00994197">
            <w:pPr>
              <w:pStyle w:val="cTableBody"/>
              <w:spacing w:before="0"/>
            </w:pPr>
            <w:r>
              <w:t xml:space="preserve">Useful across ammonia, metals and chemical </w:t>
            </w:r>
            <w:r>
              <w:lastRenderedPageBreak/>
              <w:t>processes</w:t>
            </w:r>
          </w:p>
        </w:tc>
      </w:tr>
      <w:tr w:rsidR="009C3A0E" w14:paraId="50F5A30B" w14:textId="77777777" w:rsidTr="005554BF">
        <w:tc>
          <w:tcPr>
            <w:tcW w:w="2363" w:type="dxa"/>
          </w:tcPr>
          <w:p w14:paraId="6C693F3E" w14:textId="77777777" w:rsidR="009C3A0E" w:rsidRDefault="00994197">
            <w:pPr>
              <w:pStyle w:val="cTableBody"/>
              <w:spacing w:before="0"/>
            </w:pPr>
            <w:r>
              <w:lastRenderedPageBreak/>
              <w:t>23. Refrigeration platform</w:t>
            </w:r>
          </w:p>
        </w:tc>
        <w:tc>
          <w:tcPr>
            <w:tcW w:w="2329" w:type="dxa"/>
          </w:tcPr>
          <w:p w14:paraId="1CAC3106" w14:textId="77777777" w:rsidR="009C3A0E" w:rsidRDefault="00994197">
            <w:pPr>
              <w:pStyle w:val="cTableBody"/>
              <w:spacing w:before="0"/>
            </w:pPr>
            <w:r>
              <w:t>12 × 24–96 m</w:t>
            </w:r>
          </w:p>
        </w:tc>
        <w:tc>
          <w:tcPr>
            <w:tcW w:w="2842" w:type="dxa"/>
          </w:tcPr>
          <w:p w14:paraId="14E184A1" w14:textId="77777777" w:rsidR="009C3A0E" w:rsidRDefault="00994197">
            <w:pPr>
              <w:pStyle w:val="cTableBody"/>
              <w:spacing w:before="0"/>
            </w:pPr>
            <w:r>
              <w:t>NH₃/product refrigeration, cold storage</w:t>
            </w:r>
          </w:p>
        </w:tc>
        <w:tc>
          <w:tcPr>
            <w:tcW w:w="2617" w:type="dxa"/>
          </w:tcPr>
          <w:p w14:paraId="2AA9D8F9" w14:textId="77777777" w:rsidR="009C3A0E" w:rsidRDefault="00994197">
            <w:pPr>
              <w:pStyle w:val="cTableBody"/>
              <w:spacing w:before="0"/>
            </w:pPr>
            <w:r>
              <w:t>Factory-built compressors/heat exchangers</w:t>
            </w:r>
          </w:p>
        </w:tc>
      </w:tr>
      <w:tr w:rsidR="009C3A0E" w14:paraId="11E00C52" w14:textId="77777777" w:rsidTr="005554BF">
        <w:tc>
          <w:tcPr>
            <w:tcW w:w="2363" w:type="dxa"/>
          </w:tcPr>
          <w:p w14:paraId="7A7CCDFC" w14:textId="77777777" w:rsidR="009C3A0E" w:rsidRDefault="00994197">
            <w:pPr>
              <w:pStyle w:val="cTableBody"/>
              <w:spacing w:before="0"/>
            </w:pPr>
            <w:r>
              <w:t>24. Fire-protection/safety platform</w:t>
            </w:r>
          </w:p>
        </w:tc>
        <w:tc>
          <w:tcPr>
            <w:tcW w:w="2329" w:type="dxa"/>
          </w:tcPr>
          <w:p w14:paraId="20F73974" w14:textId="77777777" w:rsidR="009C3A0E" w:rsidRDefault="00994197">
            <w:pPr>
              <w:pStyle w:val="cTableBody"/>
              <w:spacing w:before="0"/>
            </w:pPr>
            <w:r>
              <w:t>12 × 24–48 m</w:t>
            </w:r>
          </w:p>
        </w:tc>
        <w:tc>
          <w:tcPr>
            <w:tcW w:w="2842" w:type="dxa"/>
          </w:tcPr>
          <w:p w14:paraId="4763E930" w14:textId="77777777" w:rsidR="009C3A0E" w:rsidRDefault="00994197">
            <w:pPr>
              <w:pStyle w:val="cTableBody"/>
              <w:spacing w:before="0"/>
            </w:pPr>
            <w:r>
              <w:t>Fire water, foam, emergency pumps, gas detection controls</w:t>
            </w:r>
          </w:p>
        </w:tc>
        <w:tc>
          <w:tcPr>
            <w:tcW w:w="2617" w:type="dxa"/>
          </w:tcPr>
          <w:p w14:paraId="5EF5AC4E" w14:textId="77777777" w:rsidR="009C3A0E" w:rsidRDefault="00994197">
            <w:pPr>
              <w:pStyle w:val="cTableBody"/>
              <w:spacing w:before="0"/>
            </w:pPr>
            <w:r>
              <w:t>Standard site-wide safety package</w:t>
            </w:r>
          </w:p>
        </w:tc>
      </w:tr>
      <w:tr w:rsidR="009C3A0E" w14:paraId="3EA22711" w14:textId="77777777" w:rsidTr="005554BF">
        <w:tc>
          <w:tcPr>
            <w:tcW w:w="2363" w:type="dxa"/>
          </w:tcPr>
          <w:p w14:paraId="5B45736A" w14:textId="77777777" w:rsidR="009C3A0E" w:rsidRDefault="00994197">
            <w:pPr>
              <w:pStyle w:val="cTableBody"/>
              <w:spacing w:before="0"/>
            </w:pPr>
            <w:r>
              <w:t>25. Central control/automation platform</w:t>
            </w:r>
          </w:p>
        </w:tc>
        <w:tc>
          <w:tcPr>
            <w:tcW w:w="2329" w:type="dxa"/>
          </w:tcPr>
          <w:p w14:paraId="12698A3E" w14:textId="77777777" w:rsidR="009C3A0E" w:rsidRDefault="00994197">
            <w:pPr>
              <w:pStyle w:val="cTableBody"/>
              <w:spacing w:before="0"/>
            </w:pPr>
            <w:r>
              <w:t>12 × 24–48 m</w:t>
            </w:r>
          </w:p>
        </w:tc>
        <w:tc>
          <w:tcPr>
            <w:tcW w:w="2842" w:type="dxa"/>
          </w:tcPr>
          <w:p w14:paraId="75E9331A" w14:textId="77777777" w:rsidR="009C3A0E" w:rsidRDefault="00994197">
            <w:pPr>
              <w:pStyle w:val="cTableBody"/>
              <w:spacing w:before="0"/>
            </w:pPr>
            <w:r>
              <w:t>Controls logistics, manifolds, conveyors, carts and storage</w:t>
            </w:r>
          </w:p>
        </w:tc>
        <w:tc>
          <w:tcPr>
            <w:tcW w:w="2617" w:type="dxa"/>
          </w:tcPr>
          <w:p w14:paraId="0E5A70B2" w14:textId="77777777" w:rsidR="009C3A0E" w:rsidRDefault="00994197">
            <w:pPr>
              <w:pStyle w:val="cTableBody"/>
              <w:spacing w:before="0"/>
            </w:pPr>
            <w:r>
              <w:t>Enables largely autonomous material movement</w:t>
            </w:r>
          </w:p>
        </w:tc>
      </w:tr>
    </w:tbl>
    <w:p w14:paraId="6DC19F2C" w14:textId="77777777" w:rsidR="009C3A0E" w:rsidRDefault="00994197">
      <w:pPr>
        <w:pStyle w:val="Heading2"/>
        <w:spacing w:before="0" w:after="0"/>
      </w:pPr>
      <w:r>
        <w:t>I would go one step further with the underground tunnels</w:t>
      </w:r>
    </w:p>
    <w:p w14:paraId="38045FA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Your page 55 concept already proposes factory manufacture of </w:t>
      </w:r>
      <w:r>
        <w:rPr>
          <w:rFonts w:eastAsia="Times New Roman" w:cstheme="majorHAnsi"/>
          <w:b/>
          <w:bCs/>
          <w:szCs w:val="24"/>
        </w:rPr>
        <w:t>precast concrete tunnel modules</w:t>
      </w:r>
      <w:r>
        <w:rPr>
          <w:rFonts w:eastAsia="Times New Roman" w:cstheme="majorHAnsi"/>
          <w:szCs w:val="24"/>
        </w:rPr>
        <w:t xml:space="preserve"> or factory-built rebar/form assemblies that are transported to the site. </w:t>
      </w:r>
    </w:p>
    <w:p w14:paraId="1AD78A6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 think this should be pushed hard.</w:t>
      </w:r>
    </w:p>
    <w:p w14:paraId="59E646D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Instead of just transporting empty concrete tunnel sections, some could arrive as </w:t>
      </w:r>
      <w:r>
        <w:rPr>
          <w:rFonts w:eastAsia="Times New Roman" w:cstheme="majorHAnsi"/>
          <w:b/>
          <w:bCs/>
          <w:szCs w:val="24"/>
        </w:rPr>
        <w:t>pre-equipped tunnel modules</w:t>
      </w:r>
      <w:r>
        <w:rPr>
          <w:rFonts w:eastAsia="Times New Roman" w:cstheme="majorHAnsi"/>
          <w:szCs w:val="24"/>
        </w:rPr>
        <w:t>.</w:t>
      </w:r>
    </w:p>
    <w:p w14:paraId="7239B99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example, imagine a 12 m × 24 m precast tunnel section arriving with:</w:t>
      </w:r>
    </w:p>
    <w:p w14:paraId="2B91DB3B" w14:textId="77777777" w:rsidR="009C3A0E" w:rsidRDefault="00994197" w:rsidP="001478EC">
      <w:pPr>
        <w:pStyle w:val="blistNo-Spacebullet"/>
        <w:rPr>
          <w:rFonts w:asciiTheme="majorHAnsi" w:hAnsiTheme="majorHAnsi"/>
        </w:rPr>
      </w:pPr>
      <w:r>
        <w:t xml:space="preserve">pipe supports already installed; </w:t>
      </w:r>
    </w:p>
    <w:p w14:paraId="15942633" w14:textId="77777777" w:rsidR="009C3A0E" w:rsidRDefault="00994197" w:rsidP="001478EC">
      <w:pPr>
        <w:pStyle w:val="blistNo-Spacebullet"/>
        <w:rPr>
          <w:rFonts w:asciiTheme="majorHAnsi" w:hAnsiTheme="majorHAnsi"/>
        </w:rPr>
      </w:pPr>
      <w:r>
        <w:t xml:space="preserve">perhaps several large stainless/carbon-steel pipes already mounted; </w:t>
      </w:r>
    </w:p>
    <w:p w14:paraId="6F8A3C1B" w14:textId="77777777" w:rsidR="009C3A0E" w:rsidRDefault="00994197" w:rsidP="001478EC">
      <w:pPr>
        <w:pStyle w:val="blistNo-Spacebullet"/>
        <w:rPr>
          <w:rFonts w:asciiTheme="majorHAnsi" w:hAnsiTheme="majorHAnsi"/>
        </w:rPr>
      </w:pPr>
      <w:r>
        <w:t xml:space="preserve">cable trays; </w:t>
      </w:r>
    </w:p>
    <w:p w14:paraId="2530BFE3" w14:textId="77777777" w:rsidR="009C3A0E" w:rsidRDefault="00994197" w:rsidP="001478EC">
      <w:pPr>
        <w:pStyle w:val="blistNo-Spacebullet"/>
        <w:rPr>
          <w:rFonts w:asciiTheme="majorHAnsi" w:hAnsiTheme="majorHAnsi"/>
        </w:rPr>
      </w:pPr>
      <w:r>
        <w:t xml:space="preserve">ventilation ducts; </w:t>
      </w:r>
    </w:p>
    <w:p w14:paraId="5A3E267A" w14:textId="77777777" w:rsidR="009C3A0E" w:rsidRDefault="00994197" w:rsidP="001478EC">
      <w:pPr>
        <w:pStyle w:val="blistNo-Spacebullet"/>
        <w:rPr>
          <w:rFonts w:asciiTheme="majorHAnsi" w:hAnsiTheme="majorHAnsi"/>
        </w:rPr>
      </w:pPr>
      <w:r>
        <w:t xml:space="preserve">lighting; </w:t>
      </w:r>
    </w:p>
    <w:p w14:paraId="1D570D4F" w14:textId="77777777" w:rsidR="009C3A0E" w:rsidRDefault="00994197" w:rsidP="001478EC">
      <w:pPr>
        <w:pStyle w:val="blistNo-Spacebullet"/>
        <w:rPr>
          <w:rFonts w:asciiTheme="majorHAnsi" w:hAnsiTheme="majorHAnsi"/>
        </w:rPr>
      </w:pPr>
      <w:r>
        <w:t xml:space="preserve">drainage; </w:t>
      </w:r>
    </w:p>
    <w:p w14:paraId="2FA65443" w14:textId="77777777" w:rsidR="009C3A0E" w:rsidRDefault="00994197" w:rsidP="001478EC">
      <w:pPr>
        <w:pStyle w:val="blistNo-Spacebullet"/>
        <w:rPr>
          <w:rFonts w:asciiTheme="majorHAnsi" w:hAnsiTheme="majorHAnsi"/>
        </w:rPr>
      </w:pPr>
      <w:r>
        <w:t xml:space="preserve">fire detection; </w:t>
      </w:r>
    </w:p>
    <w:p w14:paraId="1AFB4989" w14:textId="77777777" w:rsidR="009C3A0E" w:rsidRDefault="00994197" w:rsidP="001478EC">
      <w:pPr>
        <w:pStyle w:val="blistNo-Spacebullet"/>
        <w:rPr>
          <w:rFonts w:asciiTheme="majorHAnsi" w:hAnsiTheme="majorHAnsi"/>
        </w:rPr>
      </w:pPr>
      <w:r>
        <w:t xml:space="preserve">instrumentation; </w:t>
      </w:r>
    </w:p>
    <w:p w14:paraId="3540D347" w14:textId="77777777" w:rsidR="009C3A0E" w:rsidRDefault="00994197" w:rsidP="001478EC">
      <w:pPr>
        <w:pStyle w:val="blistNo-Spacebullet"/>
        <w:rPr>
          <w:rFonts w:asciiTheme="majorHAnsi" w:hAnsiTheme="majorHAnsi"/>
        </w:rPr>
      </w:pPr>
      <w:r>
        <w:t xml:space="preserve">rail-cart track; </w:t>
      </w:r>
    </w:p>
    <w:p w14:paraId="12F621B6" w14:textId="77777777" w:rsidR="009C3A0E" w:rsidRDefault="00994197" w:rsidP="001478EC">
      <w:pPr>
        <w:pStyle w:val="blistNo-Spacebullet"/>
        <w:rPr>
          <w:rFonts w:asciiTheme="majorHAnsi" w:hAnsiTheme="majorHAnsi"/>
        </w:rPr>
      </w:pPr>
      <w:r>
        <w:t xml:space="preserve">conveyor support structure. </w:t>
      </w:r>
    </w:p>
    <w:p w14:paraId="0778119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module gets lowered into an excavated trench and connected to the next one.</w:t>
      </w:r>
    </w:p>
    <w:p w14:paraId="2446C85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could turn a great deal of traditionally slow construction into:</w:t>
      </w:r>
    </w:p>
    <w:p w14:paraId="4A804ADB" w14:textId="77777777" w:rsidR="009C3A0E" w:rsidRDefault="00994197" w:rsidP="00170316">
      <w:pPr>
        <w:pStyle w:val="bblueindent"/>
      </w:pPr>
      <w:r>
        <w:t>factory → ship → double rail → excavation → connect.</w:t>
      </w:r>
    </w:p>
    <w:p w14:paraId="36C4959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Your business plan already proposes using factory-made tunnel structures; this simply extends the idea by installing much of their internal equipment before shipping. </w:t>
      </w:r>
    </w:p>
    <w:p w14:paraId="2EAAA5A2" w14:textId="77777777" w:rsidR="009C3A0E" w:rsidRDefault="00994197">
      <w:pPr>
        <w:pStyle w:val="Heading2"/>
        <w:spacing w:before="280"/>
      </w:pPr>
      <w:r>
        <w:lastRenderedPageBreak/>
        <w:t>Storage deserves special treatment</w:t>
      </w:r>
    </w:p>
    <w:p w14:paraId="63A0F60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would </w:t>
      </w:r>
      <w:r>
        <w:rPr>
          <w:rFonts w:eastAsia="Times New Roman" w:cstheme="majorHAnsi"/>
          <w:b/>
          <w:bCs/>
          <w:szCs w:val="24"/>
        </w:rPr>
        <w:t>not</w:t>
      </w:r>
      <w:r>
        <w:rPr>
          <w:rFonts w:eastAsia="Times New Roman" w:cstheme="majorHAnsi"/>
          <w:szCs w:val="24"/>
        </w:rPr>
        <w:t xml:space="preserve"> necessarily transport every large storage tank intact.</w:t>
      </w:r>
    </w:p>
    <w:p w14:paraId="310BD4B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100,000 m³ atmospheric tank contains mostly empty space during transportation. Shipping the entire empty tank wastes transportation volume.</w:t>
      </w:r>
    </w:p>
    <w:p w14:paraId="2DEB7C3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So I would divide storage into two categories.</w:t>
      </w:r>
    </w:p>
    <w:p w14:paraId="3E08413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For pressure vessels and moderate-size tanks, transport the </w:t>
      </w:r>
      <w:r>
        <w:rPr>
          <w:rFonts w:eastAsia="Times New Roman" w:cstheme="majorHAnsi"/>
          <w:b/>
          <w:bCs/>
          <w:szCs w:val="24"/>
        </w:rPr>
        <w:t>complete vessel</w:t>
      </w:r>
      <w:r>
        <w:rPr>
          <w:rFonts w:eastAsia="Times New Roman" w:cstheme="majorHAnsi"/>
          <w:szCs w:val="24"/>
        </w:rPr>
        <w:t>, already tested.</w:t>
      </w:r>
    </w:p>
    <w:p w14:paraId="5DBB880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For enormous atmospheric tanks, transport factory-made </w:t>
      </w:r>
      <w:r>
        <w:rPr>
          <w:rFonts w:eastAsia="Times New Roman" w:cstheme="majorHAnsi"/>
          <w:b/>
          <w:bCs/>
          <w:szCs w:val="24"/>
        </w:rPr>
        <w:t>tank kits</w:t>
      </w:r>
      <w:r>
        <w:rPr>
          <w:rFonts w:eastAsia="Times New Roman" w:cstheme="majorHAnsi"/>
          <w:szCs w:val="24"/>
        </w:rPr>
        <w:t>:</w:t>
      </w:r>
    </w:p>
    <w:p w14:paraId="7E5EE163" w14:textId="77777777" w:rsidR="009C3A0E" w:rsidRDefault="00994197" w:rsidP="00170316">
      <w:pPr>
        <w:pStyle w:val="bblueindent"/>
      </w:pPr>
      <w:r>
        <w:t>floor sections + curved wall panels + roof sections + structural rings + piping/manifold module + pump module.</w:t>
      </w:r>
    </w:p>
    <w:p w14:paraId="18F9998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specialized automated assembly machine at the site could join these.</w:t>
      </w:r>
    </w:p>
    <w:p w14:paraId="3A83FF4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That is similar to your underlying philosophy for nuclear construction: </w:t>
      </w:r>
      <w:r>
        <w:rPr>
          <w:rFonts w:eastAsia="Times New Roman" w:cstheme="majorHAnsi"/>
          <w:b/>
          <w:bCs/>
          <w:szCs w:val="24"/>
        </w:rPr>
        <w:t>maximize factory work, but don't transport enormous volumes of air if field assembly of large prefabricated pieces is cheaper.</w:t>
      </w:r>
    </w:p>
    <w:p w14:paraId="74E60157" w14:textId="77777777" w:rsidR="009C3A0E" w:rsidRDefault="00994197">
      <w:pPr>
        <w:pStyle w:val="Heading2"/>
        <w:spacing w:before="280"/>
      </w:pPr>
      <w:r>
        <w:t>Conveyors are an especially attractive target</w:t>
      </w:r>
    </w:p>
    <w:p w14:paraId="36CE54A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solids, I would make the conveyor system almost completely modular.</w:t>
      </w:r>
    </w:p>
    <w:p w14:paraId="2493443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Suppose the waterfront is 1 km from a particular processing area.</w:t>
      </w:r>
    </w:p>
    <w:p w14:paraId="40ADDEB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Instead of constructing a custom conveyor on site, manufacture perhaps:</w:t>
      </w:r>
    </w:p>
    <w:p w14:paraId="69468E76" w14:textId="77777777" w:rsidR="009C3A0E" w:rsidRDefault="00994197" w:rsidP="00170316">
      <w:pPr>
        <w:pStyle w:val="bblueindent"/>
      </w:pPr>
      <w:r>
        <w:t>10 × 96 m enclosed conveyor modules</w:t>
      </w:r>
    </w:p>
    <w:p w14:paraId="52D43F9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plus several short connection sections.</w:t>
      </w:r>
    </w:p>
    <w:p w14:paraId="3398BEA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Each could contain:</w:t>
      </w:r>
    </w:p>
    <w:p w14:paraId="05D6DFFE" w14:textId="77777777" w:rsidR="009C3A0E" w:rsidRDefault="00994197" w:rsidP="001478EC">
      <w:pPr>
        <w:pStyle w:val="blist-numbers"/>
        <w:numPr>
          <w:ilvl w:val="0"/>
          <w:numId w:val="15"/>
        </w:numPr>
        <w:spacing w:before="0" w:after="0"/>
        <w:rPr>
          <w:rFonts w:asciiTheme="majorHAnsi" w:hAnsiTheme="majorHAnsi"/>
        </w:rPr>
      </w:pPr>
      <w:r>
        <w:t xml:space="preserve">belt or screw conveyor; </w:t>
      </w:r>
    </w:p>
    <w:p w14:paraId="1F5BC627" w14:textId="77777777" w:rsidR="009C3A0E" w:rsidRDefault="00994197" w:rsidP="001478EC">
      <w:pPr>
        <w:pStyle w:val="blist-numbers"/>
        <w:numPr>
          <w:ilvl w:val="0"/>
          <w:numId w:val="15"/>
        </w:numPr>
        <w:spacing w:before="0" w:after="0"/>
        <w:rPr>
          <w:rFonts w:asciiTheme="majorHAnsi" w:hAnsiTheme="majorHAnsi"/>
        </w:rPr>
      </w:pPr>
      <w:r>
        <w:t xml:space="preserve">structural truss; </w:t>
      </w:r>
    </w:p>
    <w:p w14:paraId="1ECD8675" w14:textId="77777777" w:rsidR="009C3A0E" w:rsidRDefault="00994197" w:rsidP="001478EC">
      <w:pPr>
        <w:pStyle w:val="blist-numbers"/>
        <w:numPr>
          <w:ilvl w:val="0"/>
          <w:numId w:val="15"/>
        </w:numPr>
        <w:spacing w:before="0" w:after="0"/>
        <w:rPr>
          <w:rFonts w:asciiTheme="majorHAnsi" w:hAnsiTheme="majorHAnsi"/>
        </w:rPr>
      </w:pPr>
      <w:r>
        <w:t xml:space="preserve">weather enclosure; </w:t>
      </w:r>
    </w:p>
    <w:p w14:paraId="4DAC0A7F" w14:textId="77777777" w:rsidR="009C3A0E" w:rsidRDefault="00994197" w:rsidP="001478EC">
      <w:pPr>
        <w:pStyle w:val="blist-numbers"/>
        <w:numPr>
          <w:ilvl w:val="0"/>
          <w:numId w:val="15"/>
        </w:numPr>
        <w:spacing w:before="0" w:after="0"/>
        <w:rPr>
          <w:rFonts w:asciiTheme="majorHAnsi" w:hAnsiTheme="majorHAnsi"/>
        </w:rPr>
      </w:pPr>
      <w:r>
        <w:t xml:space="preserve">dust collection; </w:t>
      </w:r>
    </w:p>
    <w:p w14:paraId="5C1B9BBA" w14:textId="77777777" w:rsidR="009C3A0E" w:rsidRDefault="00994197" w:rsidP="001478EC">
      <w:pPr>
        <w:pStyle w:val="blist-numbers"/>
        <w:numPr>
          <w:ilvl w:val="0"/>
          <w:numId w:val="15"/>
        </w:numPr>
        <w:spacing w:before="0" w:after="0"/>
        <w:rPr>
          <w:rFonts w:asciiTheme="majorHAnsi" w:hAnsiTheme="majorHAnsi"/>
        </w:rPr>
      </w:pPr>
      <w:r>
        <w:t xml:space="preserve">fire detection; </w:t>
      </w:r>
    </w:p>
    <w:p w14:paraId="2A32167F" w14:textId="77777777" w:rsidR="009C3A0E" w:rsidRDefault="00994197" w:rsidP="001478EC">
      <w:pPr>
        <w:pStyle w:val="blist-numbers"/>
        <w:numPr>
          <w:ilvl w:val="0"/>
          <w:numId w:val="15"/>
        </w:numPr>
        <w:spacing w:before="0" w:after="0"/>
        <w:rPr>
          <w:rFonts w:asciiTheme="majorHAnsi" w:hAnsiTheme="majorHAnsi"/>
        </w:rPr>
      </w:pPr>
      <w:r>
        <w:t xml:space="preserve">sensors; </w:t>
      </w:r>
    </w:p>
    <w:p w14:paraId="5E95DD80" w14:textId="77777777" w:rsidR="009C3A0E" w:rsidRDefault="00994197" w:rsidP="001478EC">
      <w:pPr>
        <w:pStyle w:val="blist-numbers"/>
        <w:numPr>
          <w:ilvl w:val="0"/>
          <w:numId w:val="15"/>
        </w:numPr>
        <w:spacing w:before="0" w:after="0"/>
        <w:rPr>
          <w:rFonts w:asciiTheme="majorHAnsi" w:hAnsiTheme="majorHAnsi"/>
        </w:rPr>
      </w:pPr>
      <w:r>
        <w:t xml:space="preserve">motors; </w:t>
      </w:r>
    </w:p>
    <w:p w14:paraId="365F6FC3" w14:textId="77777777" w:rsidR="009C3A0E" w:rsidRDefault="00994197" w:rsidP="001478EC">
      <w:pPr>
        <w:pStyle w:val="blist-numbers"/>
        <w:numPr>
          <w:ilvl w:val="0"/>
          <w:numId w:val="15"/>
        </w:numPr>
        <w:spacing w:before="0" w:after="0"/>
        <w:rPr>
          <w:rFonts w:asciiTheme="majorHAnsi" w:hAnsiTheme="majorHAnsi"/>
        </w:rPr>
      </w:pPr>
      <w:r>
        <w:lastRenderedPageBreak/>
        <w:t xml:space="preserve">controls; </w:t>
      </w:r>
    </w:p>
    <w:p w14:paraId="064F53C6" w14:textId="77777777" w:rsidR="009C3A0E" w:rsidRDefault="00994197" w:rsidP="001478EC">
      <w:pPr>
        <w:pStyle w:val="blist-numbers"/>
        <w:numPr>
          <w:ilvl w:val="0"/>
          <w:numId w:val="15"/>
        </w:numPr>
        <w:spacing w:before="0" w:after="0"/>
        <w:rPr>
          <w:rFonts w:asciiTheme="majorHAnsi" w:hAnsiTheme="majorHAnsi"/>
        </w:rPr>
      </w:pPr>
      <w:r>
        <w:t xml:space="preserve">maintenance walkway. </w:t>
      </w:r>
    </w:p>
    <w:p w14:paraId="2C4D94C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They arrive on the same transportation infrastructure used for processing platforms.</w:t>
      </w:r>
    </w:p>
    <w:p w14:paraId="3751FCA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crane places them onto standardized supports.</w:t>
      </w:r>
    </w:p>
    <w:p w14:paraId="5F55478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could make a kilometer-long bulk-material system much closer to assembling a kit than constructing an industrial facility.</w:t>
      </w:r>
    </w:p>
    <w:p w14:paraId="65A64290" w14:textId="77777777" w:rsidR="009C3A0E" w:rsidRDefault="00994197">
      <w:pPr>
        <w:pStyle w:val="Heading2"/>
        <w:spacing w:before="280"/>
      </w:pPr>
      <w:r>
        <w:t>The ship terminal itself could become modular</w:t>
      </w:r>
    </w:p>
    <w:p w14:paraId="3654687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 think this is another important extension of the concept.</w:t>
      </w:r>
    </w:p>
    <w:p w14:paraId="5F37F15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waterfront could have standardized </w:t>
      </w:r>
      <w:r>
        <w:rPr>
          <w:rFonts w:eastAsia="Times New Roman" w:cstheme="majorHAnsi"/>
          <w:b/>
          <w:bCs/>
          <w:szCs w:val="24"/>
        </w:rPr>
        <w:t>berth modules</w:t>
      </w:r>
      <w:r>
        <w:rPr>
          <w:rFonts w:eastAsia="Times New Roman" w:cstheme="majorHAnsi"/>
          <w:szCs w:val="24"/>
        </w:rPr>
        <w:t>.</w:t>
      </w:r>
    </w:p>
    <w:p w14:paraId="0031C61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a liquid/gas berth:</w:t>
      </w:r>
    </w:p>
    <w:p w14:paraId="1087FD2D" w14:textId="77777777" w:rsidR="009C3A0E" w:rsidRDefault="00994197" w:rsidP="00170316">
      <w:pPr>
        <w:spacing w:before="280" w:after="280"/>
        <w:ind w:left="720" w:hanging="36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ship loading arms</w:t>
      </w:r>
      <w:r>
        <w:rPr>
          <w:rFonts w:ascii="Courier New" w:eastAsia="Times New Roman" w:hAnsi="Courier New" w:cs="Courier New"/>
          <w:color w:val="4F81BD" w:themeColor="accent1"/>
          <w:sz w:val="22"/>
        </w:rPr>
        <w:br/>
        <w:t>→ emergency shutdown valves</w:t>
      </w:r>
      <w:r>
        <w:rPr>
          <w:rFonts w:ascii="Courier New" w:eastAsia="Times New Roman" w:hAnsi="Courier New" w:cs="Courier New"/>
          <w:color w:val="4F81BD" w:themeColor="accent1"/>
          <w:sz w:val="22"/>
        </w:rPr>
        <w:br/>
        <w:t>→ vapor return</w:t>
      </w:r>
      <w:r>
        <w:rPr>
          <w:rFonts w:ascii="Courier New" w:eastAsia="Times New Roman" w:hAnsi="Courier New" w:cs="Courier New"/>
          <w:color w:val="4F81BD" w:themeColor="accent1"/>
          <w:sz w:val="22"/>
        </w:rPr>
        <w:br/>
        <w:t>→ pumps</w:t>
      </w:r>
      <w:r>
        <w:rPr>
          <w:rFonts w:ascii="Courier New" w:eastAsia="Times New Roman" w:hAnsi="Courier New" w:cs="Courier New"/>
          <w:color w:val="4F81BD" w:themeColor="accent1"/>
          <w:sz w:val="22"/>
        </w:rPr>
        <w:br/>
        <w:t>→ meters</w:t>
      </w:r>
      <w:r>
        <w:rPr>
          <w:rFonts w:ascii="Courier New" w:eastAsia="Times New Roman" w:hAnsi="Courier New" w:cs="Courier New"/>
          <w:color w:val="4F81BD" w:themeColor="accent1"/>
          <w:sz w:val="22"/>
        </w:rPr>
        <w:br/>
        <w:t>→ sampling</w:t>
      </w:r>
      <w:r>
        <w:rPr>
          <w:rFonts w:ascii="Courier New" w:eastAsia="Times New Roman" w:hAnsi="Courier New" w:cs="Courier New"/>
          <w:color w:val="4F81BD" w:themeColor="accent1"/>
          <w:sz w:val="22"/>
        </w:rPr>
        <w:br/>
        <w:t>→ pipe manifold</w:t>
      </w:r>
    </w:p>
    <w:p w14:paraId="4C08650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could largely reside on one factory-built module.</w:t>
      </w:r>
    </w:p>
    <w:p w14:paraId="79181F1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bulk solids:</w:t>
      </w:r>
    </w:p>
    <w:p w14:paraId="2D6E13E5" w14:textId="77777777" w:rsidR="009C3A0E" w:rsidRDefault="00994197" w:rsidP="00170316">
      <w:pPr>
        <w:spacing w:before="280" w:after="280"/>
        <w:ind w:left="720" w:hanging="36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ship unloader</w:t>
      </w:r>
      <w:r>
        <w:rPr>
          <w:rFonts w:ascii="Courier New" w:eastAsia="Times New Roman" w:hAnsi="Courier New" w:cs="Courier New"/>
          <w:color w:val="4F81BD" w:themeColor="accent1"/>
          <w:sz w:val="22"/>
        </w:rPr>
        <w:br/>
        <w:t>→ receiving hopper</w:t>
      </w:r>
      <w:r>
        <w:rPr>
          <w:rFonts w:ascii="Courier New" w:eastAsia="Times New Roman" w:hAnsi="Courier New" w:cs="Courier New"/>
          <w:color w:val="4F81BD" w:themeColor="accent1"/>
          <w:sz w:val="22"/>
        </w:rPr>
        <w:br/>
        <w:t>→ crusher/screen if needed</w:t>
      </w:r>
      <w:r>
        <w:rPr>
          <w:rFonts w:ascii="Courier New" w:eastAsia="Times New Roman" w:hAnsi="Courier New" w:cs="Courier New"/>
          <w:color w:val="4F81BD" w:themeColor="accent1"/>
          <w:sz w:val="22"/>
        </w:rPr>
        <w:br/>
        <w:t>→ dust control</w:t>
      </w:r>
      <w:r>
        <w:rPr>
          <w:rFonts w:ascii="Courier New" w:eastAsia="Times New Roman" w:hAnsi="Courier New" w:cs="Courier New"/>
          <w:color w:val="4F81BD" w:themeColor="accent1"/>
          <w:sz w:val="22"/>
        </w:rPr>
        <w:br/>
        <w:t>→ conveyor</w:t>
      </w:r>
    </w:p>
    <w:p w14:paraId="72FDFDF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could be assembled into several giant shipyard-built modules.</w:t>
      </w:r>
    </w:p>
    <w:p w14:paraId="1504313E" w14:textId="77777777" w:rsidR="009C3A0E" w:rsidRPr="00E74120" w:rsidRDefault="00994197">
      <w:pPr>
        <w:spacing w:before="280" w:after="280"/>
        <w:rPr>
          <w:rFonts w:asciiTheme="majorHAnsi" w:eastAsia="Times New Roman" w:hAnsiTheme="majorHAnsi" w:cstheme="majorHAnsi"/>
          <w:b/>
          <w:bCs/>
          <w:szCs w:val="24"/>
        </w:rPr>
      </w:pPr>
      <w:r w:rsidRPr="00E74120">
        <w:rPr>
          <w:rFonts w:eastAsia="Times New Roman" w:cstheme="majorHAnsi"/>
          <w:b/>
          <w:bCs/>
          <w:szCs w:val="24"/>
        </w:rPr>
        <w:t>This is particularly logical because shipyards already specialize in constructing enormous steel structures immediately adjacent to water.</w:t>
      </w:r>
    </w:p>
    <w:p w14:paraId="5CE1C29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You could even build the waterfront equipment at the same shipyard that builds the 12 × 96 m chemical platforms.</w:t>
      </w:r>
    </w:p>
    <w:p w14:paraId="5BF39F28" w14:textId="77777777" w:rsidR="009C3A0E" w:rsidRDefault="00994197">
      <w:pPr>
        <w:pStyle w:val="Heading2"/>
        <w:spacing w:before="280"/>
      </w:pPr>
      <w:r>
        <w:lastRenderedPageBreak/>
        <w:t>I would build a common "distribution spine"</w:t>
      </w:r>
    </w:p>
    <w:p w14:paraId="2C2D9C1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physical arrangement I favor would have a large central material-distribution corridor running the entire length of the chemical yard.</w:t>
      </w:r>
    </w:p>
    <w:p w14:paraId="6CCB1BE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Think of it almost as an industrial subway.</w:t>
      </w:r>
    </w:p>
    <w:p w14:paraId="46F9D05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Above/below it would be standardized networks for:</w:t>
      </w:r>
    </w:p>
    <w:p w14:paraId="78BB9E8E" w14:textId="77777777" w:rsidR="009C3A0E" w:rsidRPr="00AC17D8" w:rsidRDefault="00994197" w:rsidP="001478EC">
      <w:pPr>
        <w:spacing w:before="160" w:beforeAutospacing="0" w:after="160" w:afterAutospacing="0"/>
        <w:ind w:left="2880" w:hanging="2520"/>
      </w:pPr>
      <w:r w:rsidRPr="00AC17D8">
        <w:rPr>
          <w:b/>
          <w:bCs/>
        </w:rPr>
        <w:t xml:space="preserve">liquids/gases: </w:t>
      </w:r>
      <w:r w:rsidR="00AC17D8" w:rsidRPr="00AC17D8">
        <w:tab/>
      </w:r>
      <w:r w:rsidRPr="00AC17D8">
        <w:t>large header pipes;</w:t>
      </w:r>
    </w:p>
    <w:p w14:paraId="50BEA9D1" w14:textId="77777777" w:rsidR="009C3A0E" w:rsidRPr="00AC17D8" w:rsidRDefault="00994197" w:rsidP="001478EC">
      <w:pPr>
        <w:spacing w:before="160" w:beforeAutospacing="0" w:after="160" w:afterAutospacing="0"/>
        <w:ind w:left="2880" w:hanging="2520"/>
      </w:pPr>
      <w:r w:rsidRPr="00AC17D8">
        <w:rPr>
          <w:b/>
          <w:bCs/>
        </w:rPr>
        <w:t xml:space="preserve">bulk solids: </w:t>
      </w:r>
      <w:r w:rsidR="00AC17D8" w:rsidRPr="00AC17D8">
        <w:tab/>
      </w:r>
      <w:r w:rsidRPr="00AC17D8">
        <w:t>enclosed conveyors;</w:t>
      </w:r>
    </w:p>
    <w:p w14:paraId="3D85970F" w14:textId="77777777" w:rsidR="009C3A0E" w:rsidRPr="00AC17D8" w:rsidRDefault="00994197" w:rsidP="001478EC">
      <w:pPr>
        <w:spacing w:before="160" w:beforeAutospacing="0" w:after="160" w:afterAutospacing="0"/>
        <w:ind w:left="2880" w:hanging="2520"/>
      </w:pPr>
      <w:r w:rsidRPr="00AC17D8">
        <w:rPr>
          <w:b/>
          <w:bCs/>
        </w:rPr>
        <w:t>discrete solids:</w:t>
      </w:r>
      <w:r w:rsidRPr="00AC17D8">
        <w:t xml:space="preserve"> </w:t>
      </w:r>
      <w:r w:rsidR="00AC17D8" w:rsidRPr="00AC17D8">
        <w:tab/>
      </w:r>
      <w:r w:rsidRPr="00AC17D8">
        <w:t>automated rail carts;</w:t>
      </w:r>
    </w:p>
    <w:p w14:paraId="4900F603" w14:textId="77777777" w:rsidR="009C3A0E" w:rsidRPr="00AC17D8" w:rsidRDefault="00994197" w:rsidP="001478EC">
      <w:pPr>
        <w:spacing w:before="160" w:beforeAutospacing="0" w:after="160" w:afterAutospacing="0"/>
        <w:ind w:left="2880" w:hanging="2520"/>
      </w:pPr>
      <w:r w:rsidRPr="00AC17D8">
        <w:rPr>
          <w:b/>
          <w:bCs/>
        </w:rPr>
        <w:t xml:space="preserve">utilities: </w:t>
      </w:r>
      <w:r w:rsidR="00AC17D8" w:rsidRPr="00AC17D8">
        <w:tab/>
      </w:r>
      <w:r w:rsidRPr="00AC17D8">
        <w:t>steam, water, power and communications;</w:t>
      </w:r>
    </w:p>
    <w:p w14:paraId="44EAA995" w14:textId="77777777" w:rsidR="009C3A0E" w:rsidRPr="00AC17D8" w:rsidRDefault="00994197" w:rsidP="001478EC">
      <w:pPr>
        <w:spacing w:before="160" w:beforeAutospacing="0" w:after="160" w:afterAutospacing="0"/>
        <w:ind w:left="2880" w:hanging="2520"/>
      </w:pPr>
      <w:r w:rsidRPr="00AC17D8">
        <w:rPr>
          <w:b/>
          <w:bCs/>
        </w:rPr>
        <w:t xml:space="preserve">platform replacement: </w:t>
      </w:r>
      <w:r w:rsidR="00AC17D8" w:rsidRPr="00AC17D8">
        <w:tab/>
      </w:r>
      <w:r w:rsidRPr="00AC17D8">
        <w:t>the much larger extra-wide double rail.</w:t>
      </w:r>
    </w:p>
    <w:p w14:paraId="7978807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Each 12 × 96 m processing bay would connect perpendicular to this spine.</w:t>
      </w:r>
    </w:p>
    <w:p w14:paraId="1EE505B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Then a processing platform doesn't need a dedicated 800-meter pipe back to the port.</w:t>
      </w:r>
    </w:p>
    <w:p w14:paraId="5318DEA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It connects perhaps 10–30 meters to the nearest standard header.</w:t>
      </w:r>
    </w:p>
    <w:p w14:paraId="7C23583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substantially reduces incremental cost when another platform is installed.</w:t>
      </w:r>
    </w:p>
    <w:p w14:paraId="72FCB0EA" w14:textId="77777777" w:rsidR="009C3A0E" w:rsidRDefault="00994197">
      <w:pPr>
        <w:pStyle w:val="Heading2"/>
        <w:spacing w:before="280"/>
      </w:pPr>
      <w:r>
        <w:t>Central storage can also eliminate repeated handling</w:t>
      </w:r>
    </w:p>
    <w:p w14:paraId="631BE6F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This becomes particularly important if you want to perform multiple processing steps at the same site.</w:t>
      </w:r>
    </w:p>
    <w:p w14:paraId="407933A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Suppose:</w:t>
      </w:r>
    </w:p>
    <w:p w14:paraId="04BE786A" w14:textId="77777777" w:rsidR="009C3A0E" w:rsidRPr="00AC17D8" w:rsidRDefault="00994197" w:rsidP="001478EC">
      <w:pPr>
        <w:pStyle w:val="bblueindent"/>
        <w:ind w:right="2448"/>
      </w:pPr>
      <w:r w:rsidRPr="00AC17D8">
        <w:t>Ship → Raw Material A → Platform 1 → Intermediate B → Platform 2 → Intermediate C → Platform 3 → Finished Product D → Ship</w:t>
      </w:r>
    </w:p>
    <w:p w14:paraId="1A1E349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 would not install separate large storage facilities between every platform.</w:t>
      </w:r>
    </w:p>
    <w:p w14:paraId="13D3E2D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Instead, </w:t>
      </w:r>
      <w:r w:rsidR="00E74120">
        <w:rPr>
          <w:rFonts w:eastAsia="Times New Roman" w:cstheme="majorHAnsi"/>
          <w:szCs w:val="24"/>
        </w:rPr>
        <w:t xml:space="preserve">through the common distribution spine, </w:t>
      </w:r>
      <w:r>
        <w:rPr>
          <w:rFonts w:eastAsia="Times New Roman" w:cstheme="majorHAnsi"/>
          <w:szCs w:val="24"/>
        </w:rPr>
        <w:t>there might be:</w:t>
      </w:r>
    </w:p>
    <w:p w14:paraId="42B21A1D" w14:textId="77777777" w:rsidR="009C3A0E" w:rsidRDefault="00E74120" w:rsidP="001478EC">
      <w:pPr>
        <w:pStyle w:val="blistNo-Spacebullet"/>
      </w:pPr>
      <w:r>
        <w:t>Raw-material storage zone</w:t>
      </w:r>
    </w:p>
    <w:p w14:paraId="45A0935E" w14:textId="77777777" w:rsidR="009C3A0E" w:rsidRDefault="00994197" w:rsidP="001478EC">
      <w:pPr>
        <w:pStyle w:val="blistNo-Spacebullet"/>
      </w:pPr>
      <w:r>
        <w:t>Intermediate-product tank/silo farm</w:t>
      </w:r>
    </w:p>
    <w:p w14:paraId="3C4245E8" w14:textId="77777777" w:rsidR="009C3A0E" w:rsidRDefault="00994197" w:rsidP="001478EC">
      <w:pPr>
        <w:pStyle w:val="blistNo-Spacebullet"/>
      </w:pPr>
      <w:r>
        <w:t>Finished-product storage zone</w:t>
      </w:r>
    </w:p>
    <w:p w14:paraId="5580971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lastRenderedPageBreak/>
        <w:t>That lets Platform 1 send intermediate B either directly to Platform 2 or temporarily into a common storage tank.</w:t>
      </w:r>
    </w:p>
    <w:p w14:paraId="4130537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Consequently, platforms can stop independently without shutting down the whole chain.</w:t>
      </w:r>
    </w:p>
    <w:p w14:paraId="75FE284F" w14:textId="77777777" w:rsidR="009C3A0E" w:rsidRDefault="00994197">
      <w:pPr>
        <w:pStyle w:val="Heading2"/>
        <w:spacing w:before="280"/>
      </w:pPr>
      <w:r>
        <w:t>The transporter itself can move more than chemical platforms</w:t>
      </w:r>
    </w:p>
    <w:p w14:paraId="325D4E1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This is an important implication of the double-width rail system described in your plan.</w:t>
      </w:r>
    </w:p>
    <w:p w14:paraId="408AB2A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business plan already envisages 12 m × 24 m double-width railcars transporting very large components and construction material, while the chemical-processing section extends that into four-car 12 × 96 m platform transport. </w:t>
      </w:r>
    </w:p>
    <w:p w14:paraId="23F3D39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Therefore, I wouldn't define the system as a </w:t>
      </w:r>
      <w:r>
        <w:rPr>
          <w:rFonts w:eastAsia="Times New Roman" w:cstheme="majorHAnsi"/>
          <w:b/>
          <w:bCs/>
          <w:szCs w:val="24"/>
        </w:rPr>
        <w:t>chemical-platform transporter</w:t>
      </w:r>
      <w:r>
        <w:rPr>
          <w:rFonts w:eastAsia="Times New Roman" w:cstheme="majorHAnsi"/>
          <w:szCs w:val="24"/>
        </w:rPr>
        <w:t>.</w:t>
      </w:r>
    </w:p>
    <w:p w14:paraId="5C09CA9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I'd define it as a:</w:t>
      </w:r>
    </w:p>
    <w:p w14:paraId="7EAD97D5" w14:textId="77777777" w:rsidR="009C3A0E" w:rsidRDefault="00994197" w:rsidP="00E74120">
      <w:pPr>
        <w:pStyle w:val="bblueindent"/>
      </w:pPr>
      <w:r>
        <w:t>Heavy Industrial Module Transportation Standard</w:t>
      </w:r>
    </w:p>
    <w:p w14:paraId="64A6C12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example:</w:t>
      </w:r>
    </w:p>
    <w:p w14:paraId="6C4E1D2F" w14:textId="77777777" w:rsidR="009C3A0E" w:rsidRDefault="00994197" w:rsidP="00E74120">
      <w:pPr>
        <w:pStyle w:val="bblueindent"/>
      </w:pPr>
      <w:r>
        <w:t>1 railcar = 12 × 24 m module</w:t>
      </w:r>
      <w:r>
        <w:br/>
        <w:t>2 railcars = 12 × 48 m module</w:t>
      </w:r>
      <w:r>
        <w:br/>
        <w:t>3 railcars = 12 × 72 m module</w:t>
      </w:r>
      <w:r>
        <w:br/>
        <w:t>4 railcars = 12 × 96 m module</w:t>
      </w:r>
    </w:p>
    <w:p w14:paraId="0BC2909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Then factories can build equipment to standardized envelopes.</w:t>
      </w:r>
    </w:p>
    <w:p w14:paraId="42325FF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96-m ammonia platform uses four.</w:t>
      </w:r>
    </w:p>
    <w:p w14:paraId="2197DEB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compressor station might use one.</w:t>
      </w:r>
    </w:p>
    <w:p w14:paraId="5A4812D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pump station might use one.</w:t>
      </w:r>
    </w:p>
    <w:p w14:paraId="1A0754F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giant air-separation unit might use two.</w:t>
      </w:r>
    </w:p>
    <w:p w14:paraId="26543F0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conveyor section might use four.</w:t>
      </w:r>
    </w:p>
    <w:p w14:paraId="0903F16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tunnel section might use one.</w:t>
      </w:r>
    </w:p>
    <w:p w14:paraId="7751A74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large pressure vessel might use one or two.</w:t>
      </w:r>
    </w:p>
    <w:p w14:paraId="128C4AD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This is analogous to the standard shipping container, but </w:t>
      </w:r>
      <w:r>
        <w:rPr>
          <w:rFonts w:eastAsia="Times New Roman" w:cstheme="majorHAnsi"/>
          <w:b/>
          <w:bCs/>
          <w:szCs w:val="24"/>
        </w:rPr>
        <w:t>hundreds of times larger</w:t>
      </w:r>
      <w:r>
        <w:rPr>
          <w:rFonts w:eastAsia="Times New Roman" w:cstheme="majorHAnsi"/>
          <w:szCs w:val="24"/>
        </w:rPr>
        <w:t>.</w:t>
      </w:r>
    </w:p>
    <w:p w14:paraId="2B1F8BA5" w14:textId="77777777" w:rsidR="009C3A0E" w:rsidRDefault="00994197">
      <w:pPr>
        <w:pStyle w:val="Heading2"/>
        <w:spacing w:before="280"/>
      </w:pPr>
      <w:r>
        <w:lastRenderedPageBreak/>
        <w:t>The biggest opportunity may be standardized interfaces</w:t>
      </w:r>
    </w:p>
    <w:p w14:paraId="743D109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physical module isn't necessarily the hard part.</w:t>
      </w:r>
    </w:p>
    <w:p w14:paraId="65B2F81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major economic benefit comes if </w:t>
      </w:r>
      <w:r>
        <w:rPr>
          <w:rFonts w:eastAsia="Times New Roman" w:cstheme="majorHAnsi"/>
          <w:b/>
          <w:bCs/>
          <w:szCs w:val="24"/>
        </w:rPr>
        <w:t>every module plugs into the same standard interfaces</w:t>
      </w:r>
      <w:r>
        <w:rPr>
          <w:rFonts w:eastAsia="Times New Roman" w:cstheme="majorHAnsi"/>
          <w:szCs w:val="24"/>
        </w:rPr>
        <w:t>.</w:t>
      </w:r>
    </w:p>
    <w:p w14:paraId="1DE3F52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instance, every 12 × 96 m bay could have standardized locations for:</w:t>
      </w:r>
    </w:p>
    <w:p w14:paraId="4D40A37F" w14:textId="77777777" w:rsidR="009C3A0E" w:rsidRDefault="00994197" w:rsidP="00E74120">
      <w:pPr>
        <w:pStyle w:val="bblueindent"/>
      </w:pPr>
      <w:r>
        <w:t>A — high-temperature heat supply</w:t>
      </w:r>
      <w:r>
        <w:br/>
        <w:t>B — heat return</w:t>
      </w:r>
      <w:r>
        <w:br/>
        <w:t>C — medium-pressure steam</w:t>
      </w:r>
      <w:r>
        <w:br/>
        <w:t>D — condensate</w:t>
      </w:r>
      <w:r>
        <w:br/>
        <w:t>E — cooling water supply/return</w:t>
      </w:r>
      <w:r>
        <w:br/>
        <w:t>F — process water</w:t>
      </w:r>
      <w:r>
        <w:br/>
        <w:t>G — high-voltage electricity</w:t>
      </w:r>
      <w:r>
        <w:br/>
        <w:t>H — communications/control</w:t>
      </w:r>
      <w:r>
        <w:br/>
        <w:t>I/J/K — pumped material headers</w:t>
      </w:r>
      <w:r>
        <w:br/>
        <w:t>L — bulk-solids conveyor interface</w:t>
      </w:r>
      <w:r>
        <w:br/>
        <w:t>M — rail-cart interface</w:t>
      </w:r>
    </w:p>
    <w:p w14:paraId="43CD202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platform transporter arrives, lowers the platform into position, and automated or semi-automated connectors make these interfaces.</w:t>
      </w:r>
    </w:p>
    <w:p w14:paraId="2F57F41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Then you can eventually do something very powerful:</w:t>
      </w:r>
    </w:p>
    <w:p w14:paraId="5C3B70AA" w14:textId="77777777" w:rsidR="009C3A0E" w:rsidRDefault="00994197" w:rsidP="00E74120">
      <w:pPr>
        <w:pStyle w:val="bblueindent"/>
      </w:pPr>
      <w:r>
        <w:t>Replace not merely individual machines, but entire factories.</w:t>
      </w:r>
    </w:p>
    <w:p w14:paraId="6F5E1BF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If Platform #37 is a 20-year-old evaporator system and a newer factory makes one that's 15% more efficient, disconnect #37, lift it onto the transporter, ship it back to the refurbishment factory, and insert the replacement.</w:t>
      </w:r>
    </w:p>
    <w:p w14:paraId="08630C3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is fundamentally different from today's industrial plants, where the building and equipment become effectively permanent.</w:t>
      </w:r>
    </w:p>
    <w:p w14:paraId="5AD8C38B" w14:textId="77777777" w:rsidR="009C3A0E" w:rsidRDefault="00994197">
      <w:pPr>
        <w:pStyle w:val="Heading3"/>
        <w:spacing w:before="280" w:after="280"/>
      </w:pPr>
      <w:r>
        <w:t>What I would prioritize</w:t>
      </w:r>
    </w:p>
    <w:p w14:paraId="48D2875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If the objective is to cut the </w:t>
      </w:r>
      <w:r>
        <w:rPr>
          <w:rFonts w:eastAsia="Times New Roman" w:cstheme="majorHAnsi"/>
          <w:b/>
          <w:bCs/>
          <w:szCs w:val="24"/>
        </w:rPr>
        <w:t>total delivered cost per tonne of chemical</w:t>
      </w:r>
      <w:r>
        <w:rPr>
          <w:rFonts w:eastAsia="Times New Roman" w:cstheme="majorHAnsi"/>
          <w:szCs w:val="24"/>
        </w:rPr>
        <w:t>, rather than merely make an interesting transportation system, I would put the first development money into six large-module families:</w:t>
      </w:r>
    </w:p>
    <w:p w14:paraId="4F9FA26C" w14:textId="77777777" w:rsidR="009C3A0E" w:rsidRPr="00E74120" w:rsidRDefault="00994197" w:rsidP="00E74120">
      <w:pPr>
        <w:pStyle w:val="bblueindent"/>
      </w:pPr>
      <w:r w:rsidRPr="00E74120">
        <w:lastRenderedPageBreak/>
        <w:t>pre-equipped tunnel modules; pipe/manifold platforms; pump/compressor platforms; modular enclosed conveyors and transfer towers; modular waterfront ship loading/unloading systems; and modular storage systems.</w:t>
      </w:r>
    </w:p>
    <w:p w14:paraId="3A26E67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Those six, combined with your </w:t>
      </w:r>
      <w:r>
        <w:rPr>
          <w:rFonts w:eastAsia="Times New Roman" w:cstheme="majorHAnsi"/>
          <w:b/>
          <w:bCs/>
          <w:szCs w:val="24"/>
        </w:rPr>
        <w:t>12 × 96 m chemical platforms and double-rail transporter</w:t>
      </w:r>
      <w:r>
        <w:rPr>
          <w:rFonts w:eastAsia="Times New Roman" w:cstheme="majorHAnsi"/>
          <w:szCs w:val="24"/>
        </w:rPr>
        <w:t>, would allow much more of the entire industrial site—not merely the chemical reaction equipment—to be manufactured in factories.</w:t>
      </w:r>
    </w:p>
    <w:p w14:paraId="01637BC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think that is the logical next step in the concept: rather than a </w:t>
      </w:r>
      <w:r>
        <w:rPr>
          <w:rFonts w:eastAsia="Times New Roman" w:cstheme="majorHAnsi"/>
          <w:b/>
          <w:bCs/>
          <w:szCs w:val="24"/>
        </w:rPr>
        <w:t>factory-made chemical processing platform</w:t>
      </w:r>
      <w:r>
        <w:rPr>
          <w:rFonts w:eastAsia="Times New Roman" w:cstheme="majorHAnsi"/>
          <w:szCs w:val="24"/>
        </w:rPr>
        <w:t xml:space="preserve">, the objective becomes a </w:t>
      </w:r>
      <w:r>
        <w:rPr>
          <w:rFonts w:eastAsia="Times New Roman" w:cstheme="majorHAnsi"/>
          <w:b/>
          <w:bCs/>
          <w:szCs w:val="24"/>
        </w:rPr>
        <w:t>factory-made chemical processing site assembled from standardized giant modules</w:t>
      </w:r>
      <w:r>
        <w:rPr>
          <w:rFonts w:eastAsia="Times New Roman" w:cstheme="majorHAnsi"/>
          <w:szCs w:val="24"/>
        </w:rPr>
        <w:t>.</w:t>
      </w:r>
    </w:p>
    <w:p w14:paraId="608F7ADF" w14:textId="77777777" w:rsidR="00FF42B6" w:rsidRDefault="00FF42B6" w:rsidP="00FF42B6">
      <w:pPr>
        <w:pStyle w:val="Heading1"/>
        <w:spacing w:before="280" w:after="280"/>
      </w:pPr>
      <w:bookmarkStart w:id="40" w:name="_Toc238205551"/>
      <w:r>
        <w:lastRenderedPageBreak/>
        <w:t>Independent Order-of-Magnitude Check on Program Scale</w:t>
      </w:r>
      <w:bookmarkEnd w:id="40"/>
    </w:p>
    <w:p w14:paraId="7B699C18" w14:textId="77777777" w:rsidR="00FF42B6" w:rsidRDefault="00FF42B6" w:rsidP="00FF42B6">
      <w:pPr>
        <w:pStyle w:val="cUserPromptText"/>
        <w:spacing w:before="280" w:after="280"/>
      </w:pPr>
      <w:r>
        <w:rPr>
          <w:rStyle w:val="UserPromptHeadingChar"/>
        </w:rPr>
        <w:t xml:space="preserve">Prompt to AI: </w:t>
      </w:r>
      <w:r>
        <w:t>How much would it cost and how long would it take to design (not prototype) all the things referred to in this chat? How much would it cost and how long would it take to build scaled-down 100:1 (or something) prototypes of all the things we talked about in this chat? We would want to test these for months, and look for changes (e.g. corrosion on internal surfaces of pipes). We are not working with nuclear fuel. This would be driven by heat from fossil fuel (e.g. coal in China or natural gas in USA). What is my fuel cost per month to runs prototypes? Answer this question for both USA and China.</w:t>
      </w:r>
    </w:p>
    <w:p w14:paraId="1D963D48" w14:textId="77777777" w:rsidR="00FF42B6" w:rsidRDefault="00FF42B6" w:rsidP="00FF42B6">
      <w:pPr>
        <w:spacing w:before="280" w:after="280"/>
      </w:pPr>
      <w:r>
        <w:rPr>
          <w:b/>
          <w:color w:val="4F81BD"/>
          <w:u w:val="single"/>
        </w:rPr>
        <w:t>Response From AI:</w:t>
      </w:r>
    </w:p>
    <w:p w14:paraId="27B9B0AD"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Yes. I think this can be turned into a fairly concrete R&amp;D program.</w:t>
      </w:r>
    </w:p>
    <w:p w14:paraId="19BB9532" w14:textId="77777777" w:rsidR="00123818" w:rsidRDefault="00994197">
      <w:pPr>
        <w:pStyle w:val="cSubject"/>
      </w:pPr>
      <w:r>
        <w:t>Budget relationship to the current $1B program</w:t>
      </w:r>
    </w:p>
    <w:p w14:paraId="4C57696B" w14:textId="77777777" w:rsidR="00123818" w:rsidRDefault="00994197" w:rsidP="006C09B4">
      <w:r>
        <w:t>This chapter is an independent bottom-up plausibility check, not an additional budget. The controlled program budget is the 11-work-package $800M technical plan plus the $200M centrally controlled reserve. Country-specific design and prototype estimates below are sensitivity checks on program scale and must not be added to those work-package totals.</w:t>
      </w:r>
    </w:p>
    <w:p w14:paraId="507407EF" w14:textId="77777777" w:rsidR="00FF42B6" w:rsidRPr="005554BF" w:rsidRDefault="00FF42B6" w:rsidP="00FF42B6">
      <w:pPr>
        <w:spacing w:before="280" w:after="280"/>
        <w:rPr>
          <w:rFonts w:asciiTheme="majorHAnsi" w:eastAsia="Times New Roman" w:hAnsiTheme="majorHAnsi" w:cstheme="majorHAnsi"/>
          <w:szCs w:val="24"/>
        </w:rPr>
      </w:pPr>
      <w:r w:rsidRPr="005554BF">
        <w:rPr>
          <w:rFonts w:eastAsia="Times New Roman" w:cstheme="majorHAnsi"/>
          <w:szCs w:val="24"/>
        </w:rPr>
        <w:t>My central estimate is that designing the complete system to a serious preliminary/FEED level would cost roughly $180 million in the U.S. or $100 million in China and take about 2–2½ years. Building and operating a useful family of scaled prototypes—not merely tabletop models—would add roughly $500 million in the U.S. or $260 million in China, with about another 2–3 years of overlapping fabrication and testing.</w:t>
      </w:r>
    </w:p>
    <w:p w14:paraId="0E614268" w14:textId="77777777" w:rsidR="00FF42B6" w:rsidRDefault="00FF42B6" w:rsidP="00FF42B6">
      <w:pPr>
        <w:spacing w:before="280" w:after="280"/>
        <w:rPr>
          <w:rFonts w:asciiTheme="majorHAnsi" w:eastAsia="Times New Roman" w:hAnsiTheme="majorHAnsi" w:cstheme="majorHAnsi"/>
          <w:szCs w:val="24"/>
        </w:rPr>
      </w:pPr>
      <w:r w:rsidRPr="005554BF">
        <w:rPr>
          <w:rFonts w:eastAsia="Times New Roman" w:cstheme="majorHAnsi"/>
          <w:szCs w:val="24"/>
        </w:rPr>
        <w:t>So, a design + scaled-prototype + 12–18-month test program could plausibly fit within a $1 billion program even in the United States, and substantially below $1 billion in China. That excludes construction of a full-scale commercial nuclear/chemical site.</w:t>
      </w:r>
    </w:p>
    <w:p w14:paraId="443D3672"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Your business plan already points in this direction: pages 54–56 call for the chemical-processing yard, factory-made platforms, underground tunnels, platform transportation, double-rail equipment, concrete-processing equipment and automated thermal-storage construction. The ideas we subsequently added—material-handling modules, waterfront equipment, storage modules and segmented electrified rail—expand that program.</w:t>
      </w:r>
    </w:p>
    <w:p w14:paraId="7B5E82C3" w14:textId="77777777" w:rsidR="00FF42B6" w:rsidRDefault="00FF42B6" w:rsidP="00FF42B6">
      <w:pPr>
        <w:pStyle w:val="Heading2"/>
        <w:spacing w:before="280"/>
      </w:pPr>
      <w:r>
        <w:lastRenderedPageBreak/>
        <w:t>What I am including</w:t>
      </w:r>
    </w:p>
    <w:p w14:paraId="73CB5A63"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For purposes of estimating "all the things we talked about," I am assuming the R&amp;D program covers:</w:t>
      </w:r>
    </w:p>
    <w:p w14:paraId="5B57895D" w14:textId="77777777" w:rsidR="00FF42B6" w:rsidRPr="00E74120" w:rsidRDefault="00FF42B6" w:rsidP="00E74120">
      <w:pPr>
        <w:pStyle w:val="blist-numbers"/>
      </w:pPr>
      <w:r w:rsidRPr="00E74120">
        <w:t xml:space="preserve">The 31 families of industrial processing platforms we discussed. </w:t>
      </w:r>
    </w:p>
    <w:p w14:paraId="483DA94C" w14:textId="77777777" w:rsidR="00FF42B6" w:rsidRPr="00E74120" w:rsidRDefault="00FF42B6" w:rsidP="00E74120">
      <w:pPr>
        <w:pStyle w:val="blist-numbers"/>
      </w:pPr>
      <w:r w:rsidRPr="00E74120">
        <w:t xml:space="preserve">The common chemical yard: underground tunnels, pipe headers, manifolds, pumps/compressors, conveyors, rail carts, storage and waterfront loading/unloading. </w:t>
      </w:r>
    </w:p>
    <w:p w14:paraId="0094B3C3" w14:textId="77777777" w:rsidR="00FF42B6" w:rsidRPr="00E74120" w:rsidRDefault="00FF42B6" w:rsidP="00E74120">
      <w:pPr>
        <w:pStyle w:val="blist-numbers"/>
      </w:pPr>
      <w:r w:rsidRPr="00E74120">
        <w:t xml:space="preserve">The 12 × 24 m double-width railcars, four-car 12 × 96 m transporter, rigid truss, switches, platform insertion/removal and ship/shore transfer. </w:t>
      </w:r>
    </w:p>
    <w:p w14:paraId="63C0E993" w14:textId="77777777" w:rsidR="00FF42B6" w:rsidRPr="00E74120" w:rsidRDefault="00FF42B6" w:rsidP="00E74120">
      <w:pPr>
        <w:pStyle w:val="blist-numbers"/>
      </w:pPr>
      <w:r w:rsidRPr="00E74120">
        <w:t xml:space="preserve">Factory/shipyard methods for constructing the giant platforms and logistics modules. </w:t>
      </w:r>
    </w:p>
    <w:p w14:paraId="7ACD8CE8" w14:textId="77777777" w:rsidR="00FF42B6" w:rsidRPr="00E74120" w:rsidRDefault="00FF42B6" w:rsidP="00E74120">
      <w:pPr>
        <w:pStyle w:val="blist-numbers"/>
      </w:pPr>
      <w:r w:rsidRPr="00E74120">
        <w:t xml:space="preserve">Automated excavation, concrete mixing/pumping, rebar, gantry/crane and tunnel-installation machinery relevant to constructing the yard. </w:t>
      </w:r>
    </w:p>
    <w:p w14:paraId="3AA3AA26" w14:textId="77777777" w:rsidR="00FF42B6" w:rsidRPr="00E74120" w:rsidRDefault="00FF42B6" w:rsidP="00E74120">
      <w:pPr>
        <w:pStyle w:val="blist-numbers"/>
      </w:pPr>
      <w:r w:rsidRPr="00E74120">
        <w:t xml:space="preserve">Automated construction of large thermal-storage tanks. </w:t>
      </w:r>
    </w:p>
    <w:p w14:paraId="33C35609" w14:textId="77777777" w:rsidR="00FF42B6" w:rsidRPr="00E74120" w:rsidRDefault="00FF42B6" w:rsidP="00E74120">
      <w:pPr>
        <w:pStyle w:val="blist-numbers"/>
      </w:pPr>
      <w:r w:rsidRPr="00E74120">
        <w:t xml:space="preserve">The segmented 440/690-V and medium-voltage electrified-rail concept, collectors, sectional switchgear, controls and safety systems. </w:t>
      </w:r>
    </w:p>
    <w:p w14:paraId="67C87620" w14:textId="77777777" w:rsidR="00FF42B6" w:rsidRPr="00E74120" w:rsidRDefault="00FF42B6" w:rsidP="00E74120">
      <w:pPr>
        <w:pStyle w:val="blist-numbers"/>
      </w:pPr>
      <w:r w:rsidRPr="00E74120">
        <w:t xml:space="preserve">Common mechanical/electrical/thermal/process/control standards, digital models, safety analysis, materials qualification, corrosion testing and cost models. </w:t>
      </w:r>
    </w:p>
    <w:p w14:paraId="1068A82F"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 xml:space="preserve">I am </w:t>
      </w:r>
      <w:r>
        <w:rPr>
          <w:rFonts w:eastAsia="Times New Roman" w:cstheme="majorHAnsi"/>
          <w:b/>
          <w:bCs/>
          <w:szCs w:val="24"/>
        </w:rPr>
        <w:t>not</w:t>
      </w:r>
      <w:r>
        <w:rPr>
          <w:rFonts w:eastAsia="Times New Roman" w:cstheme="majorHAnsi"/>
          <w:szCs w:val="24"/>
        </w:rPr>
        <w:t xml:space="preserve"> including nuclear-fuel systems, reactor physics, reactor licensing or construction of a nuclear reactor.</w:t>
      </w:r>
    </w:p>
    <w:p w14:paraId="1A08BE89" w14:textId="77777777" w:rsidR="00FF42B6" w:rsidRDefault="00FF42B6" w:rsidP="00FF42B6">
      <w:pPr>
        <w:pStyle w:val="Heading2"/>
        <w:spacing w:before="280"/>
      </w:pPr>
      <w:r>
        <w:t>1. Cost to design everything</w:t>
      </w:r>
    </w:p>
    <w:p w14:paraId="5C824EBB" w14:textId="77777777" w:rsidR="00FF42B6" w:rsidRPr="005554BF" w:rsidRDefault="00FF42B6" w:rsidP="00FF42B6">
      <w:pPr>
        <w:rPr>
          <w:rFonts w:asciiTheme="majorHAnsi" w:eastAsia="Times New Roman" w:hAnsiTheme="majorHAnsi" w:cstheme="majorHAnsi"/>
          <w:szCs w:val="24"/>
        </w:rPr>
      </w:pPr>
      <w:r w:rsidRPr="005554BF">
        <w:rPr>
          <w:rFonts w:eastAsia="Times New Roman" w:cstheme="majorHAnsi"/>
          <w:szCs w:val="24"/>
        </w:rPr>
        <w:t>By "design" I mean approximately a 30–40% engineering/FEED package: requirements, process flow diagrams, heat/mass balances, CAD layouts, major equipment sizing, structural concepts, controls architecture, safety analyses, interface standards, prototype specifications and cost models. It does not mean complete fabrication drawings for every nut, bolt and weld.</w:t>
      </w:r>
    </w:p>
    <w:tbl>
      <w:tblPr>
        <w:tblStyle w:val="gswTableStyle"/>
        <w:tblW w:w="8429" w:type="dxa"/>
        <w:tblLayout w:type="fixed"/>
        <w:tblLook w:val="04A0" w:firstRow="1" w:lastRow="0" w:firstColumn="1" w:lastColumn="0" w:noHBand="0" w:noVBand="1"/>
      </w:tblPr>
      <w:tblGrid>
        <w:gridCol w:w="6137"/>
        <w:gridCol w:w="1197"/>
        <w:gridCol w:w="1095"/>
      </w:tblGrid>
      <w:tr w:rsidR="00FF42B6" w14:paraId="67635A8C" w14:textId="77777777" w:rsidTr="005554BF">
        <w:trPr>
          <w:cnfStyle w:val="100000000000" w:firstRow="1" w:lastRow="0" w:firstColumn="0" w:lastColumn="0" w:oddVBand="0" w:evenVBand="0" w:oddHBand="0" w:evenHBand="0" w:firstRowFirstColumn="0" w:firstRowLastColumn="0" w:lastRowFirstColumn="0" w:lastRowLastColumn="0"/>
        </w:trPr>
        <w:tc>
          <w:tcPr>
            <w:tcW w:w="6137" w:type="dxa"/>
          </w:tcPr>
          <w:p w14:paraId="0E134849" w14:textId="77777777" w:rsidR="00FF42B6" w:rsidRDefault="00FF42B6" w:rsidP="003E4A91">
            <w:pPr>
              <w:pStyle w:val="cTableHeader"/>
              <w:spacing w:before="0" w:after="0"/>
            </w:pPr>
            <w:r>
              <w:t>Design work</w:t>
            </w:r>
          </w:p>
        </w:tc>
        <w:tc>
          <w:tcPr>
            <w:tcW w:w="1197" w:type="dxa"/>
          </w:tcPr>
          <w:p w14:paraId="14C8BEA9" w14:textId="77777777" w:rsidR="00FF42B6" w:rsidRDefault="00FF42B6" w:rsidP="003E4A91">
            <w:pPr>
              <w:pStyle w:val="cTableHeader"/>
              <w:spacing w:before="0" w:after="0"/>
            </w:pPr>
            <w:r>
              <w:t>USA</w:t>
            </w:r>
          </w:p>
        </w:tc>
        <w:tc>
          <w:tcPr>
            <w:tcW w:w="1095" w:type="dxa"/>
          </w:tcPr>
          <w:p w14:paraId="74471E53" w14:textId="77777777" w:rsidR="00FF42B6" w:rsidRDefault="00FF42B6" w:rsidP="003E4A91">
            <w:pPr>
              <w:pStyle w:val="cTableHeader"/>
              <w:spacing w:before="0" w:after="0"/>
            </w:pPr>
            <w:r>
              <w:t>China</w:t>
            </w:r>
          </w:p>
        </w:tc>
      </w:tr>
      <w:tr w:rsidR="00FF42B6" w14:paraId="7787D8DB" w14:textId="77777777" w:rsidTr="005554BF">
        <w:tc>
          <w:tcPr>
            <w:tcW w:w="6137" w:type="dxa"/>
          </w:tcPr>
          <w:p w14:paraId="6995AB90" w14:textId="77777777" w:rsidR="00FF42B6" w:rsidRDefault="00FF42B6" w:rsidP="003E4A91">
            <w:pPr>
              <w:pStyle w:val="cTableBody"/>
              <w:spacing w:before="0"/>
            </w:pPr>
            <w:r>
              <w:t>Overall site architecture, digital model and common standards</w:t>
            </w:r>
          </w:p>
        </w:tc>
        <w:tc>
          <w:tcPr>
            <w:tcW w:w="1197" w:type="dxa"/>
          </w:tcPr>
          <w:p w14:paraId="2DE39313" w14:textId="77777777" w:rsidR="00FF42B6" w:rsidRDefault="00FF42B6" w:rsidP="003E4A91">
            <w:pPr>
              <w:pStyle w:val="cTableBody"/>
              <w:spacing w:before="0"/>
            </w:pPr>
            <w:r>
              <w:t>$15–25M</w:t>
            </w:r>
          </w:p>
        </w:tc>
        <w:tc>
          <w:tcPr>
            <w:tcW w:w="1095" w:type="dxa"/>
          </w:tcPr>
          <w:p w14:paraId="0E8DF8A0" w14:textId="77777777" w:rsidR="00FF42B6" w:rsidRDefault="00FF42B6" w:rsidP="003E4A91">
            <w:pPr>
              <w:pStyle w:val="cTableBody"/>
              <w:spacing w:before="0"/>
            </w:pPr>
            <w:r>
              <w:t>$8–15M</w:t>
            </w:r>
          </w:p>
        </w:tc>
      </w:tr>
      <w:tr w:rsidR="00FF42B6" w14:paraId="5CAC3725" w14:textId="77777777" w:rsidTr="005554BF">
        <w:tc>
          <w:tcPr>
            <w:tcW w:w="6137" w:type="dxa"/>
          </w:tcPr>
          <w:p w14:paraId="31973562" w14:textId="77777777" w:rsidR="00FF42B6" w:rsidRDefault="00FF42B6" w:rsidP="003E4A91">
            <w:pPr>
              <w:pStyle w:val="cTableBody"/>
              <w:spacing w:before="0"/>
            </w:pPr>
            <w:r>
              <w:t>31 processing-platform designs</w:t>
            </w:r>
          </w:p>
        </w:tc>
        <w:tc>
          <w:tcPr>
            <w:tcW w:w="1197" w:type="dxa"/>
          </w:tcPr>
          <w:p w14:paraId="10E7B2C4" w14:textId="77777777" w:rsidR="00FF42B6" w:rsidRDefault="00FF42B6" w:rsidP="003E4A91">
            <w:pPr>
              <w:pStyle w:val="cTableBody"/>
              <w:spacing w:before="0"/>
            </w:pPr>
            <w:r>
              <w:t>$55–80M</w:t>
            </w:r>
          </w:p>
        </w:tc>
        <w:tc>
          <w:tcPr>
            <w:tcW w:w="1095" w:type="dxa"/>
          </w:tcPr>
          <w:p w14:paraId="23C1CB97" w14:textId="77777777" w:rsidR="00FF42B6" w:rsidRDefault="00FF42B6" w:rsidP="003E4A91">
            <w:pPr>
              <w:pStyle w:val="cTableBody"/>
              <w:spacing w:before="0"/>
            </w:pPr>
            <w:r>
              <w:t>$30–45M</w:t>
            </w:r>
          </w:p>
        </w:tc>
      </w:tr>
      <w:tr w:rsidR="00FF42B6" w14:paraId="72096C78" w14:textId="77777777" w:rsidTr="005554BF">
        <w:tc>
          <w:tcPr>
            <w:tcW w:w="6137" w:type="dxa"/>
          </w:tcPr>
          <w:p w14:paraId="55CC77BB" w14:textId="77777777" w:rsidR="00FF42B6" w:rsidRDefault="00FF42B6" w:rsidP="003E4A91">
            <w:pPr>
              <w:pStyle w:val="cTableBody"/>
              <w:spacing w:before="0"/>
            </w:pPr>
            <w:r>
              <w:t>Material handling, storage, tunnels, manifolds, conveyors, port modules</w:t>
            </w:r>
          </w:p>
        </w:tc>
        <w:tc>
          <w:tcPr>
            <w:tcW w:w="1197" w:type="dxa"/>
          </w:tcPr>
          <w:p w14:paraId="201A335A" w14:textId="77777777" w:rsidR="00FF42B6" w:rsidRDefault="00FF42B6" w:rsidP="003E4A91">
            <w:pPr>
              <w:pStyle w:val="cTableBody"/>
              <w:spacing w:before="0"/>
            </w:pPr>
            <w:r>
              <w:t>$20–35M</w:t>
            </w:r>
          </w:p>
        </w:tc>
        <w:tc>
          <w:tcPr>
            <w:tcW w:w="1095" w:type="dxa"/>
          </w:tcPr>
          <w:p w14:paraId="2830C52F" w14:textId="77777777" w:rsidR="00FF42B6" w:rsidRDefault="00FF42B6" w:rsidP="003E4A91">
            <w:pPr>
              <w:pStyle w:val="cTableBody"/>
              <w:spacing w:before="0"/>
            </w:pPr>
            <w:r>
              <w:t>$10–20M</w:t>
            </w:r>
          </w:p>
        </w:tc>
      </w:tr>
      <w:tr w:rsidR="00FF42B6" w14:paraId="6797981D" w14:textId="77777777" w:rsidTr="005554BF">
        <w:tc>
          <w:tcPr>
            <w:tcW w:w="6137" w:type="dxa"/>
          </w:tcPr>
          <w:p w14:paraId="6E9333F9" w14:textId="77777777" w:rsidR="00FF42B6" w:rsidRDefault="00FF42B6" w:rsidP="003E4A91">
            <w:pPr>
              <w:pStyle w:val="cTableBody"/>
              <w:spacing w:before="0"/>
            </w:pPr>
            <w:r>
              <w:t>Double-rail transport, transporter and ship/shore transfer</w:t>
            </w:r>
          </w:p>
        </w:tc>
        <w:tc>
          <w:tcPr>
            <w:tcW w:w="1197" w:type="dxa"/>
          </w:tcPr>
          <w:p w14:paraId="203DC561" w14:textId="77777777" w:rsidR="00FF42B6" w:rsidRDefault="00FF42B6" w:rsidP="003E4A91">
            <w:pPr>
              <w:pStyle w:val="cTableBody"/>
              <w:spacing w:before="0"/>
            </w:pPr>
            <w:r>
              <w:t>$15–25M</w:t>
            </w:r>
          </w:p>
        </w:tc>
        <w:tc>
          <w:tcPr>
            <w:tcW w:w="1095" w:type="dxa"/>
          </w:tcPr>
          <w:p w14:paraId="7CC9DFB2" w14:textId="77777777" w:rsidR="00FF42B6" w:rsidRDefault="00FF42B6" w:rsidP="003E4A91">
            <w:pPr>
              <w:pStyle w:val="cTableBody"/>
              <w:spacing w:before="0"/>
            </w:pPr>
            <w:r>
              <w:t>$8–15M</w:t>
            </w:r>
          </w:p>
        </w:tc>
      </w:tr>
      <w:tr w:rsidR="00FF42B6" w14:paraId="471B2560" w14:textId="77777777" w:rsidTr="005554BF">
        <w:tc>
          <w:tcPr>
            <w:tcW w:w="6137" w:type="dxa"/>
          </w:tcPr>
          <w:p w14:paraId="3DB37278" w14:textId="77777777" w:rsidR="00FF42B6" w:rsidRDefault="00FF42B6" w:rsidP="003E4A91">
            <w:pPr>
              <w:pStyle w:val="cTableBody"/>
              <w:spacing w:before="0"/>
            </w:pPr>
            <w:r>
              <w:t>Automated excavation/concrete/tunnel construction machines</w:t>
            </w:r>
          </w:p>
        </w:tc>
        <w:tc>
          <w:tcPr>
            <w:tcW w:w="1197" w:type="dxa"/>
          </w:tcPr>
          <w:p w14:paraId="283B2895" w14:textId="77777777" w:rsidR="00FF42B6" w:rsidRDefault="00FF42B6" w:rsidP="003E4A91">
            <w:pPr>
              <w:pStyle w:val="cTableBody"/>
              <w:spacing w:before="0"/>
            </w:pPr>
            <w:r>
              <w:t>$20–35M</w:t>
            </w:r>
          </w:p>
        </w:tc>
        <w:tc>
          <w:tcPr>
            <w:tcW w:w="1095" w:type="dxa"/>
          </w:tcPr>
          <w:p w14:paraId="00909E72" w14:textId="77777777" w:rsidR="00FF42B6" w:rsidRDefault="00FF42B6" w:rsidP="003E4A91">
            <w:pPr>
              <w:pStyle w:val="cTableBody"/>
              <w:spacing w:before="0"/>
            </w:pPr>
            <w:r>
              <w:t>$10–20M</w:t>
            </w:r>
          </w:p>
        </w:tc>
      </w:tr>
      <w:tr w:rsidR="00FF42B6" w14:paraId="6A30A431" w14:textId="77777777" w:rsidTr="005554BF">
        <w:tc>
          <w:tcPr>
            <w:tcW w:w="6137" w:type="dxa"/>
          </w:tcPr>
          <w:p w14:paraId="7775A2EC" w14:textId="77777777" w:rsidR="00FF42B6" w:rsidRDefault="00FF42B6" w:rsidP="003E4A91">
            <w:pPr>
              <w:pStyle w:val="cTableBody"/>
              <w:spacing w:before="0"/>
            </w:pPr>
            <w:r>
              <w:t>Automated thermal-storage tank construction</w:t>
            </w:r>
          </w:p>
        </w:tc>
        <w:tc>
          <w:tcPr>
            <w:tcW w:w="1197" w:type="dxa"/>
          </w:tcPr>
          <w:p w14:paraId="76F8353C" w14:textId="77777777" w:rsidR="00FF42B6" w:rsidRDefault="00FF42B6" w:rsidP="003E4A91">
            <w:pPr>
              <w:pStyle w:val="cTableBody"/>
              <w:spacing w:before="0"/>
            </w:pPr>
            <w:r>
              <w:t>$10–20M</w:t>
            </w:r>
          </w:p>
        </w:tc>
        <w:tc>
          <w:tcPr>
            <w:tcW w:w="1095" w:type="dxa"/>
          </w:tcPr>
          <w:p w14:paraId="2B1F4897" w14:textId="77777777" w:rsidR="00FF42B6" w:rsidRDefault="00FF42B6" w:rsidP="003E4A91">
            <w:pPr>
              <w:pStyle w:val="cTableBody"/>
              <w:spacing w:before="0"/>
            </w:pPr>
            <w:r>
              <w:t>$5–10M</w:t>
            </w:r>
          </w:p>
        </w:tc>
      </w:tr>
      <w:tr w:rsidR="00FF42B6" w14:paraId="474F9366" w14:textId="77777777" w:rsidTr="005554BF">
        <w:tc>
          <w:tcPr>
            <w:tcW w:w="6137" w:type="dxa"/>
          </w:tcPr>
          <w:p w14:paraId="6717D5BF" w14:textId="77777777" w:rsidR="00FF42B6" w:rsidRDefault="00FF42B6" w:rsidP="003E4A91">
            <w:pPr>
              <w:pStyle w:val="cTableBody"/>
              <w:spacing w:before="0"/>
            </w:pPr>
            <w:r>
              <w:lastRenderedPageBreak/>
              <w:t>Electrified rail, switchgear, collectors, controls and safety</w:t>
            </w:r>
          </w:p>
        </w:tc>
        <w:tc>
          <w:tcPr>
            <w:tcW w:w="1197" w:type="dxa"/>
          </w:tcPr>
          <w:p w14:paraId="186FFA73" w14:textId="77777777" w:rsidR="00FF42B6" w:rsidRDefault="00FF42B6" w:rsidP="003E4A91">
            <w:pPr>
              <w:pStyle w:val="cTableBody"/>
              <w:spacing w:before="0"/>
            </w:pPr>
            <w:r>
              <w:t>$5–10M</w:t>
            </w:r>
          </w:p>
        </w:tc>
        <w:tc>
          <w:tcPr>
            <w:tcW w:w="1095" w:type="dxa"/>
          </w:tcPr>
          <w:p w14:paraId="1AE7BD22" w14:textId="77777777" w:rsidR="00FF42B6" w:rsidRDefault="00FF42B6" w:rsidP="003E4A91">
            <w:pPr>
              <w:pStyle w:val="cTableBody"/>
              <w:spacing w:before="0"/>
            </w:pPr>
            <w:r>
              <w:t>$3–6M</w:t>
            </w:r>
          </w:p>
        </w:tc>
      </w:tr>
      <w:tr w:rsidR="00FF42B6" w14:paraId="450B3A54" w14:textId="77777777" w:rsidTr="005554BF">
        <w:tc>
          <w:tcPr>
            <w:tcW w:w="6137" w:type="dxa"/>
          </w:tcPr>
          <w:p w14:paraId="52D685EC" w14:textId="77777777" w:rsidR="00FF42B6" w:rsidRDefault="00FF42B6" w:rsidP="003E4A91">
            <w:pPr>
              <w:pStyle w:val="cTableBody"/>
              <w:spacing w:before="0"/>
            </w:pPr>
            <w:r>
              <w:t>Materials, HAZOP/safety, corrosion program, reliability and test planning</w:t>
            </w:r>
          </w:p>
        </w:tc>
        <w:tc>
          <w:tcPr>
            <w:tcW w:w="1197" w:type="dxa"/>
          </w:tcPr>
          <w:p w14:paraId="0ADC8EB9" w14:textId="77777777" w:rsidR="00FF42B6" w:rsidRDefault="00FF42B6" w:rsidP="003E4A91">
            <w:pPr>
              <w:pStyle w:val="cTableBody"/>
              <w:spacing w:before="0"/>
            </w:pPr>
            <w:r>
              <w:t>$10–20M</w:t>
            </w:r>
          </w:p>
        </w:tc>
        <w:tc>
          <w:tcPr>
            <w:tcW w:w="1095" w:type="dxa"/>
          </w:tcPr>
          <w:p w14:paraId="4A5BF678" w14:textId="77777777" w:rsidR="00FF42B6" w:rsidRDefault="00FF42B6" w:rsidP="003E4A91">
            <w:pPr>
              <w:pStyle w:val="cTableBody"/>
              <w:spacing w:before="0"/>
            </w:pPr>
            <w:r>
              <w:t>$5–10M</w:t>
            </w:r>
          </w:p>
        </w:tc>
      </w:tr>
      <w:tr w:rsidR="00FF42B6" w14:paraId="6F585B44" w14:textId="77777777" w:rsidTr="005554BF">
        <w:tc>
          <w:tcPr>
            <w:tcW w:w="6137" w:type="dxa"/>
          </w:tcPr>
          <w:p w14:paraId="5AC96F19" w14:textId="77777777" w:rsidR="00FF42B6" w:rsidRDefault="00FF42B6" w:rsidP="003E4A91">
            <w:pPr>
              <w:pStyle w:val="cTableBody"/>
              <w:spacing w:before="0"/>
            </w:pPr>
            <w:r>
              <w:t>Total</w:t>
            </w:r>
          </w:p>
        </w:tc>
        <w:tc>
          <w:tcPr>
            <w:tcW w:w="1197" w:type="dxa"/>
          </w:tcPr>
          <w:p w14:paraId="7CB7EFF7" w14:textId="77777777" w:rsidR="00FF42B6" w:rsidRDefault="00FF42B6" w:rsidP="003E4A91">
            <w:pPr>
              <w:pStyle w:val="cTableBody"/>
              <w:spacing w:before="0"/>
            </w:pPr>
            <w:r>
              <w:t>$150–250M</w:t>
            </w:r>
          </w:p>
        </w:tc>
        <w:tc>
          <w:tcPr>
            <w:tcW w:w="1095" w:type="dxa"/>
          </w:tcPr>
          <w:p w14:paraId="377DC76C" w14:textId="77777777" w:rsidR="00FF42B6" w:rsidRDefault="00FF42B6" w:rsidP="003E4A91">
            <w:pPr>
              <w:pStyle w:val="cTableBody"/>
              <w:spacing w:before="0"/>
            </w:pPr>
            <w:r>
              <w:t>$80–140M</w:t>
            </w:r>
          </w:p>
        </w:tc>
      </w:tr>
      <w:tr w:rsidR="00FF42B6" w14:paraId="3E022E91" w14:textId="77777777" w:rsidTr="005554BF">
        <w:tc>
          <w:tcPr>
            <w:tcW w:w="6137" w:type="dxa"/>
          </w:tcPr>
          <w:p w14:paraId="2BB22229" w14:textId="77777777" w:rsidR="00FF42B6" w:rsidRDefault="00FF42B6" w:rsidP="003E4A91">
            <w:pPr>
              <w:pStyle w:val="cTableBody"/>
              <w:spacing w:before="0"/>
            </w:pPr>
            <w:r>
              <w:t>Central estimate</w:t>
            </w:r>
          </w:p>
        </w:tc>
        <w:tc>
          <w:tcPr>
            <w:tcW w:w="1197" w:type="dxa"/>
          </w:tcPr>
          <w:p w14:paraId="6BD54C71" w14:textId="77777777" w:rsidR="00FF42B6" w:rsidRDefault="00FF42B6" w:rsidP="003E4A91">
            <w:pPr>
              <w:pStyle w:val="cTableBody"/>
              <w:spacing w:before="0"/>
            </w:pPr>
            <w:r>
              <w:t>~$180M</w:t>
            </w:r>
          </w:p>
        </w:tc>
        <w:tc>
          <w:tcPr>
            <w:tcW w:w="1095" w:type="dxa"/>
          </w:tcPr>
          <w:p w14:paraId="70E28B2D" w14:textId="77777777" w:rsidR="00FF42B6" w:rsidRDefault="00FF42B6" w:rsidP="003E4A91">
            <w:pPr>
              <w:pStyle w:val="cTableBody"/>
              <w:spacing w:before="0"/>
            </w:pPr>
            <w:r>
              <w:t>~$100M</w:t>
            </w:r>
          </w:p>
        </w:tc>
      </w:tr>
    </w:tbl>
    <w:p w14:paraId="74C135D5" w14:textId="77777777" w:rsidR="00FF42B6" w:rsidRPr="005554BF" w:rsidRDefault="00FF42B6" w:rsidP="00FF42B6">
      <w:pPr>
        <w:rPr>
          <w:rFonts w:asciiTheme="majorHAnsi" w:eastAsia="Times New Roman" w:hAnsiTheme="majorHAnsi" w:cstheme="majorHAnsi"/>
          <w:szCs w:val="24"/>
        </w:rPr>
      </w:pPr>
      <w:r w:rsidRPr="005554BF">
        <w:rPr>
          <w:rFonts w:eastAsia="Times New Roman" w:cstheme="majorHAnsi"/>
          <w:szCs w:val="24"/>
        </w:rPr>
        <w:t>These country differences are mostly labor and fabrication-engineering costs. As a reference point, U.S. production/nonsupervisory workers in engineering and drafting services were averaging about $47.77/hour in June 2026 before employer overhead, benefits and engineering-company markup, while engineering managers have a median salary around $168,000/year. China's National Bureau of Statistics reports an average 2025 wage of RMB 155,491/year for professional and technical personnel in larger enterprises. These aren't consulting billing rates, but they illustrate why a labor-intensive design program should cost appreciably less in China.</w:t>
      </w:r>
    </w:p>
    <w:p w14:paraId="333B1F52" w14:textId="77777777" w:rsidR="00FF42B6" w:rsidRPr="005554BF" w:rsidRDefault="00FF42B6" w:rsidP="00FF42B6">
      <w:pPr>
        <w:spacing w:before="280" w:after="280"/>
        <w:rPr>
          <w:rFonts w:asciiTheme="majorHAnsi" w:eastAsia="Times New Roman" w:hAnsiTheme="majorHAnsi" w:cstheme="majorHAnsi"/>
          <w:szCs w:val="24"/>
        </w:rPr>
      </w:pPr>
      <w:r w:rsidRPr="005554BF">
        <w:rPr>
          <w:rFonts w:eastAsia="Times New Roman" w:cstheme="majorHAnsi"/>
          <w:szCs w:val="24"/>
        </w:rPr>
        <w:t>I would allow 24–30 months in the U.S. and roughly 20–28 months in China if perhaps 200–300 engineers are working in parallel. China should be cheaper; I wouldn't assume it is automatically twice as fast.</w:t>
      </w:r>
    </w:p>
    <w:p w14:paraId="2CB617F5" w14:textId="1C6E0647" w:rsidR="00FF42B6" w:rsidRDefault="00FF42B6" w:rsidP="006C09B4">
      <w:pPr>
        <w:spacing w:before="280" w:after="280"/>
        <w:rPr>
          <w:rFonts w:asciiTheme="majorHAnsi" w:eastAsia="Times New Roman" w:hAnsiTheme="majorHAnsi" w:cstheme="majorHAnsi"/>
          <w:szCs w:val="24"/>
        </w:rPr>
      </w:pPr>
      <w:r w:rsidRPr="005554BF">
        <w:rPr>
          <w:rFonts w:eastAsia="Times New Roman" w:cstheme="majorHAnsi"/>
          <w:szCs w:val="24"/>
        </w:rPr>
        <w:t>If you want production-ready detailed designs, rather than FEED-level designs, I would roughly double the design budget and add perhaps another 12–18 months.</w:t>
      </w:r>
    </w:p>
    <w:p w14:paraId="60C1E28D" w14:textId="77777777" w:rsidR="00FF42B6" w:rsidRDefault="00FF42B6" w:rsidP="00FF42B6">
      <w:pPr>
        <w:pStyle w:val="Heading2"/>
        <w:spacing w:before="280"/>
      </w:pPr>
      <w:r>
        <w:t>2. I would NOT build everything at 1:100 scale</w:t>
      </w:r>
    </w:p>
    <w:p w14:paraId="091D1F2E"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This is important.</w:t>
      </w:r>
    </w:p>
    <w:p w14:paraId="3D41E707"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A 1:100 model of a 12 m × 96 m platform is only 0.12 m × 0.96 m.</w:t>
      </w:r>
    </w:p>
    <w:p w14:paraId="2448BDAE"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That's excellent for demonstrating:</w:t>
      </w:r>
    </w:p>
    <w:p w14:paraId="15A1704A" w14:textId="77777777" w:rsidR="00FF42B6" w:rsidRPr="00B16232" w:rsidRDefault="00FF42B6" w:rsidP="00AC17D8">
      <w:pPr>
        <w:pStyle w:val="blistNo-Spacebullet"/>
      </w:pPr>
      <w:r w:rsidRPr="00B16232">
        <w:t xml:space="preserve">rail movements; </w:t>
      </w:r>
    </w:p>
    <w:p w14:paraId="6D5D8393" w14:textId="77777777" w:rsidR="00FF42B6" w:rsidRPr="00B16232" w:rsidRDefault="00FF42B6" w:rsidP="00AC17D8">
      <w:pPr>
        <w:pStyle w:val="blistNo-Spacebullet"/>
      </w:pPr>
      <w:r w:rsidRPr="00B16232">
        <w:t xml:space="preserve">platform placement; </w:t>
      </w:r>
    </w:p>
    <w:p w14:paraId="378D7D30" w14:textId="77777777" w:rsidR="00FF42B6" w:rsidRPr="00B16232" w:rsidRDefault="00FF42B6" w:rsidP="00AC17D8">
      <w:pPr>
        <w:pStyle w:val="blistNo-Spacebullet"/>
      </w:pPr>
      <w:r w:rsidRPr="00B16232">
        <w:t xml:space="preserve">site layout; </w:t>
      </w:r>
    </w:p>
    <w:p w14:paraId="4A086BBC" w14:textId="77777777" w:rsidR="00FF42B6" w:rsidRPr="00B16232" w:rsidRDefault="00FF42B6" w:rsidP="00AC17D8">
      <w:pPr>
        <w:pStyle w:val="blistNo-Spacebullet"/>
      </w:pPr>
      <w:r w:rsidRPr="00B16232">
        <w:t xml:space="preserve">switching; </w:t>
      </w:r>
    </w:p>
    <w:p w14:paraId="4019E835" w14:textId="77777777" w:rsidR="00FF42B6" w:rsidRPr="00B16232" w:rsidRDefault="00FF42B6" w:rsidP="00AC17D8">
      <w:pPr>
        <w:pStyle w:val="blistNo-Spacebullet"/>
      </w:pPr>
      <w:r w:rsidRPr="00B16232">
        <w:t xml:space="preserve">underground corridors; </w:t>
      </w:r>
    </w:p>
    <w:p w14:paraId="3CEE1C16" w14:textId="77777777" w:rsidR="00FF42B6" w:rsidRPr="00B16232" w:rsidRDefault="00FF42B6" w:rsidP="00AC17D8">
      <w:pPr>
        <w:pStyle w:val="blistNo-Spacebullet"/>
      </w:pPr>
      <w:r w:rsidRPr="00B16232">
        <w:t xml:space="preserve">automated sequencing. </w:t>
      </w:r>
    </w:p>
    <w:p w14:paraId="15B841E0"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It is essentially useless for answering:</w:t>
      </w:r>
    </w:p>
    <w:p w14:paraId="58C3E599" w14:textId="77777777" w:rsidR="00FF42B6" w:rsidRDefault="00FF42B6" w:rsidP="00AC17D8">
      <w:pPr>
        <w:pStyle w:val="blistNo-Spacebullet"/>
        <w:rPr>
          <w:rFonts w:asciiTheme="majorHAnsi" w:hAnsiTheme="majorHAnsi"/>
        </w:rPr>
      </w:pPr>
      <w:r>
        <w:t xml:space="preserve">corrosion; </w:t>
      </w:r>
    </w:p>
    <w:p w14:paraId="6E4BF366" w14:textId="77777777" w:rsidR="00FF42B6" w:rsidRDefault="00FF42B6" w:rsidP="00AC17D8">
      <w:pPr>
        <w:pStyle w:val="blistNo-Spacebullet"/>
        <w:rPr>
          <w:rFonts w:asciiTheme="majorHAnsi" w:hAnsiTheme="majorHAnsi"/>
        </w:rPr>
      </w:pPr>
      <w:r>
        <w:t xml:space="preserve">pipe pressure drop; </w:t>
      </w:r>
    </w:p>
    <w:p w14:paraId="72C58191" w14:textId="77777777" w:rsidR="00FF42B6" w:rsidRDefault="00FF42B6" w:rsidP="00AC17D8">
      <w:pPr>
        <w:pStyle w:val="blistNo-Spacebullet"/>
        <w:rPr>
          <w:rFonts w:asciiTheme="majorHAnsi" w:hAnsiTheme="majorHAnsi"/>
        </w:rPr>
      </w:pPr>
      <w:r>
        <w:t xml:space="preserve">heat transfer; </w:t>
      </w:r>
    </w:p>
    <w:p w14:paraId="1E089F13" w14:textId="77777777" w:rsidR="00FF42B6" w:rsidRDefault="00FF42B6" w:rsidP="00AC17D8">
      <w:pPr>
        <w:pStyle w:val="blistNo-Spacebullet"/>
        <w:rPr>
          <w:rFonts w:asciiTheme="majorHAnsi" w:hAnsiTheme="majorHAnsi"/>
        </w:rPr>
      </w:pPr>
      <w:r>
        <w:t xml:space="preserve">pump behavior; </w:t>
      </w:r>
    </w:p>
    <w:p w14:paraId="4BCB5812" w14:textId="77777777" w:rsidR="00FF42B6" w:rsidRDefault="00FF42B6" w:rsidP="00AC17D8">
      <w:pPr>
        <w:pStyle w:val="blistNo-Spacebullet"/>
        <w:rPr>
          <w:rFonts w:asciiTheme="majorHAnsi" w:hAnsiTheme="majorHAnsi"/>
        </w:rPr>
      </w:pPr>
      <w:r>
        <w:lastRenderedPageBreak/>
        <w:t xml:space="preserve">solids handling; </w:t>
      </w:r>
    </w:p>
    <w:p w14:paraId="52FE7EE8" w14:textId="77777777" w:rsidR="00FF42B6" w:rsidRDefault="00FF42B6" w:rsidP="00AC17D8">
      <w:pPr>
        <w:pStyle w:val="blistNo-Spacebullet"/>
        <w:rPr>
          <w:rFonts w:asciiTheme="majorHAnsi" w:hAnsiTheme="majorHAnsi"/>
        </w:rPr>
      </w:pPr>
      <w:r>
        <w:t xml:space="preserve">thermal cycling; </w:t>
      </w:r>
    </w:p>
    <w:p w14:paraId="0857785B" w14:textId="77777777" w:rsidR="00FF42B6" w:rsidRDefault="00FF42B6" w:rsidP="00AC17D8">
      <w:pPr>
        <w:pStyle w:val="blistNo-Spacebullet"/>
        <w:rPr>
          <w:rFonts w:asciiTheme="majorHAnsi" w:hAnsiTheme="majorHAnsi"/>
        </w:rPr>
      </w:pPr>
      <w:r>
        <w:t xml:space="preserve">seals; </w:t>
      </w:r>
    </w:p>
    <w:p w14:paraId="1EB0E805" w14:textId="77777777" w:rsidR="00FF42B6" w:rsidRDefault="00FF42B6" w:rsidP="00AC17D8">
      <w:pPr>
        <w:pStyle w:val="blistNo-Spacebullet"/>
        <w:rPr>
          <w:rFonts w:asciiTheme="majorHAnsi" w:hAnsiTheme="majorHAnsi"/>
        </w:rPr>
      </w:pPr>
      <w:r>
        <w:t xml:space="preserve">valves; </w:t>
      </w:r>
    </w:p>
    <w:p w14:paraId="03C1BAB2" w14:textId="77777777" w:rsidR="00FF42B6" w:rsidRDefault="00FF42B6" w:rsidP="00AC17D8">
      <w:pPr>
        <w:pStyle w:val="blistNo-Spacebullet"/>
        <w:rPr>
          <w:rFonts w:asciiTheme="majorHAnsi" w:hAnsiTheme="majorHAnsi"/>
        </w:rPr>
      </w:pPr>
      <w:r>
        <w:t xml:space="preserve">weld durability. </w:t>
      </w:r>
    </w:p>
    <w:p w14:paraId="3A23FEF4"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Those phenomena don't simply scale geometrically.</w:t>
      </w:r>
    </w:p>
    <w:p w14:paraId="11F8AAA3" w14:textId="77777777" w:rsidR="00FF42B6" w:rsidRDefault="00FF42B6" w:rsidP="00FF42B6">
      <w:pPr>
        <w:rPr>
          <w:rFonts w:asciiTheme="majorHAnsi" w:eastAsia="Times New Roman" w:hAnsiTheme="majorHAnsi" w:cstheme="majorHAnsi"/>
          <w:szCs w:val="24"/>
        </w:rPr>
      </w:pPr>
      <w:r>
        <w:rPr>
          <w:rFonts w:eastAsia="Times New Roman" w:cstheme="majorHAnsi"/>
          <w:szCs w:val="24"/>
        </w:rPr>
        <w:t xml:space="preserve">I would therefore build </w:t>
      </w:r>
      <w:r>
        <w:rPr>
          <w:rFonts w:eastAsia="Times New Roman" w:cstheme="majorHAnsi"/>
          <w:b/>
          <w:bCs/>
          <w:szCs w:val="24"/>
        </w:rPr>
        <w:t>different scales for different questions</w:t>
      </w:r>
      <w:r>
        <w:rPr>
          <w:rFonts w:eastAsia="Times New Roman" w:cstheme="majorHAnsi"/>
          <w:szCs w:val="24"/>
        </w:rPr>
        <w:t>.</w:t>
      </w:r>
    </w:p>
    <w:tbl>
      <w:tblPr>
        <w:tblStyle w:val="gswTableStyle"/>
        <w:tblW w:w="10152" w:type="dxa"/>
        <w:tblLayout w:type="fixed"/>
        <w:tblLook w:val="04A0" w:firstRow="1" w:lastRow="0" w:firstColumn="1" w:lastColumn="0" w:noHBand="0" w:noVBand="1"/>
      </w:tblPr>
      <w:tblGrid>
        <w:gridCol w:w="4445"/>
        <w:gridCol w:w="5707"/>
      </w:tblGrid>
      <w:tr w:rsidR="00FF42B6" w14:paraId="32095630" w14:textId="77777777" w:rsidTr="005554BF">
        <w:trPr>
          <w:cnfStyle w:val="100000000000" w:firstRow="1" w:lastRow="0" w:firstColumn="0" w:lastColumn="0" w:oddVBand="0" w:evenVBand="0" w:oddHBand="0" w:evenHBand="0" w:firstRowFirstColumn="0" w:firstRowLastColumn="0" w:lastRowFirstColumn="0" w:lastRowLastColumn="0"/>
        </w:trPr>
        <w:tc>
          <w:tcPr>
            <w:tcW w:w="4445" w:type="dxa"/>
          </w:tcPr>
          <w:p w14:paraId="0BB6FA72" w14:textId="77777777" w:rsidR="00FF42B6" w:rsidRDefault="00FF42B6" w:rsidP="003E4A91">
            <w:pPr>
              <w:pStyle w:val="cTableHeader"/>
              <w:spacing w:before="0" w:after="0"/>
            </w:pPr>
            <w:r>
              <w:t>Test</w:t>
            </w:r>
          </w:p>
        </w:tc>
        <w:tc>
          <w:tcPr>
            <w:tcW w:w="5707" w:type="dxa"/>
          </w:tcPr>
          <w:p w14:paraId="05B2A8FB" w14:textId="77777777" w:rsidR="00FF42B6" w:rsidRDefault="00FF42B6" w:rsidP="003E4A91">
            <w:pPr>
              <w:pStyle w:val="cTableHeader"/>
              <w:spacing w:before="0" w:after="0"/>
            </w:pPr>
            <w:r>
              <w:t>Recommended scale</w:t>
            </w:r>
          </w:p>
        </w:tc>
      </w:tr>
      <w:tr w:rsidR="00FF42B6" w14:paraId="3014A836" w14:textId="77777777" w:rsidTr="005554BF">
        <w:tc>
          <w:tcPr>
            <w:tcW w:w="4445" w:type="dxa"/>
          </w:tcPr>
          <w:p w14:paraId="2B3C4156" w14:textId="77777777" w:rsidR="00FF42B6" w:rsidRDefault="00FF42B6" w:rsidP="003E4A91">
            <w:pPr>
              <w:pStyle w:val="cTableBody"/>
              <w:spacing w:before="0"/>
            </w:pPr>
            <w:r>
              <w:t>Entire site / choreography</w:t>
            </w:r>
          </w:p>
        </w:tc>
        <w:tc>
          <w:tcPr>
            <w:tcW w:w="5707" w:type="dxa"/>
          </w:tcPr>
          <w:p w14:paraId="41A3482C" w14:textId="77777777" w:rsidR="00FF42B6" w:rsidRDefault="00FF42B6" w:rsidP="003E4A91">
            <w:pPr>
              <w:pStyle w:val="cTableBody"/>
              <w:spacing w:before="0"/>
            </w:pPr>
            <w:r>
              <w:t>1:100</w:t>
            </w:r>
          </w:p>
        </w:tc>
      </w:tr>
      <w:tr w:rsidR="00FF42B6" w14:paraId="04E63BA8" w14:textId="77777777" w:rsidTr="005554BF">
        <w:tc>
          <w:tcPr>
            <w:tcW w:w="4445" w:type="dxa"/>
          </w:tcPr>
          <w:p w14:paraId="2385EC7F" w14:textId="77777777" w:rsidR="00FF42B6" w:rsidRDefault="00FF42B6" w:rsidP="003E4A91">
            <w:pPr>
              <w:pStyle w:val="cTableBody"/>
              <w:spacing w:before="0"/>
            </w:pPr>
            <w:r>
              <w:t>Railcars, transporter, switches, gantries</w:t>
            </w:r>
          </w:p>
        </w:tc>
        <w:tc>
          <w:tcPr>
            <w:tcW w:w="5707" w:type="dxa"/>
          </w:tcPr>
          <w:p w14:paraId="63CE858C" w14:textId="77777777" w:rsidR="00FF42B6" w:rsidRDefault="00FF42B6" w:rsidP="003E4A91">
            <w:pPr>
              <w:pStyle w:val="cTableBody"/>
              <w:spacing w:before="0"/>
            </w:pPr>
            <w:r>
              <w:t>~1:10</w:t>
            </w:r>
          </w:p>
        </w:tc>
      </w:tr>
      <w:tr w:rsidR="00FF42B6" w14:paraId="79009B81" w14:textId="77777777" w:rsidTr="005554BF">
        <w:tc>
          <w:tcPr>
            <w:tcW w:w="4445" w:type="dxa"/>
          </w:tcPr>
          <w:p w14:paraId="0F8B4FCF" w14:textId="77777777" w:rsidR="00FF42B6" w:rsidRDefault="00FF42B6" w:rsidP="003E4A91">
            <w:pPr>
              <w:pStyle w:val="cTableBody"/>
              <w:spacing w:before="0"/>
            </w:pPr>
            <w:r>
              <w:t>Conveyors, loading equipment, mechanical modules</w:t>
            </w:r>
          </w:p>
        </w:tc>
        <w:tc>
          <w:tcPr>
            <w:tcW w:w="5707" w:type="dxa"/>
          </w:tcPr>
          <w:p w14:paraId="6E817F61" w14:textId="77777777" w:rsidR="00FF42B6" w:rsidRDefault="00FF42B6" w:rsidP="003E4A91">
            <w:pPr>
              <w:pStyle w:val="cTableBody"/>
              <w:spacing w:before="0"/>
            </w:pPr>
            <w:r>
              <w:t>~1:5 to 1:10</w:t>
            </w:r>
          </w:p>
        </w:tc>
      </w:tr>
      <w:tr w:rsidR="00FF42B6" w14:paraId="2BF65DBF" w14:textId="77777777" w:rsidTr="005554BF">
        <w:tc>
          <w:tcPr>
            <w:tcW w:w="4445" w:type="dxa"/>
          </w:tcPr>
          <w:p w14:paraId="275A9A07" w14:textId="77777777" w:rsidR="00FF42B6" w:rsidRDefault="00FF42B6" w:rsidP="003E4A91">
            <w:pPr>
              <w:pStyle w:val="cTableBody"/>
              <w:spacing w:before="0"/>
            </w:pPr>
            <w:r>
              <w:t>Process platforms</w:t>
            </w:r>
          </w:p>
        </w:tc>
        <w:tc>
          <w:tcPr>
            <w:tcW w:w="5707" w:type="dxa"/>
          </w:tcPr>
          <w:p w14:paraId="59D3C340" w14:textId="77777777" w:rsidR="00FF42B6" w:rsidRDefault="00FF42B6" w:rsidP="003E4A91">
            <w:pPr>
              <w:pStyle w:val="cTableBody"/>
              <w:spacing w:before="0"/>
            </w:pPr>
            <w:r>
              <w:t>pilot throughput, perhaps 1:10–1:50 capacity, not geometric scaling</w:t>
            </w:r>
          </w:p>
        </w:tc>
      </w:tr>
      <w:tr w:rsidR="00FF42B6" w14:paraId="526A26A6" w14:textId="77777777" w:rsidTr="005554BF">
        <w:tc>
          <w:tcPr>
            <w:tcW w:w="4445" w:type="dxa"/>
          </w:tcPr>
          <w:p w14:paraId="257726A7" w14:textId="77777777" w:rsidR="00FF42B6" w:rsidRDefault="00FF42B6" w:rsidP="003E4A91">
            <w:pPr>
              <w:pStyle w:val="cTableBody"/>
              <w:spacing w:before="0"/>
            </w:pPr>
            <w:r>
              <w:t>Pipes/valves/materials</w:t>
            </w:r>
          </w:p>
        </w:tc>
        <w:tc>
          <w:tcPr>
            <w:tcW w:w="5707" w:type="dxa"/>
          </w:tcPr>
          <w:p w14:paraId="6712AC55" w14:textId="77777777" w:rsidR="00FF42B6" w:rsidRDefault="00FF42B6" w:rsidP="003E4A91">
            <w:pPr>
              <w:pStyle w:val="cTableBody"/>
              <w:spacing w:before="0"/>
            </w:pPr>
            <w:r>
              <w:t>Often full-size diameter representative sections</w:t>
            </w:r>
          </w:p>
        </w:tc>
      </w:tr>
      <w:tr w:rsidR="00FF42B6" w14:paraId="4BD2AF21" w14:textId="77777777" w:rsidTr="005554BF">
        <w:tc>
          <w:tcPr>
            <w:tcW w:w="4445" w:type="dxa"/>
          </w:tcPr>
          <w:p w14:paraId="4D598C1D" w14:textId="77777777" w:rsidR="00FF42B6" w:rsidRDefault="00FF42B6" w:rsidP="003E4A91">
            <w:pPr>
              <w:pStyle w:val="cTableBody"/>
              <w:spacing w:before="0"/>
            </w:pPr>
            <w:r>
              <w:t>Corrosion loops</w:t>
            </w:r>
          </w:p>
        </w:tc>
        <w:tc>
          <w:tcPr>
            <w:tcW w:w="5707" w:type="dxa"/>
          </w:tcPr>
          <w:p w14:paraId="7F611E41" w14:textId="77777777" w:rsidR="00FF42B6" w:rsidRDefault="00FF42B6" w:rsidP="003E4A91">
            <w:pPr>
              <w:pStyle w:val="cTableBody"/>
              <w:spacing w:before="0"/>
            </w:pPr>
            <w:r>
              <w:t>Actual material + actual fluid + actual temperature</w:t>
            </w:r>
          </w:p>
        </w:tc>
      </w:tr>
      <w:tr w:rsidR="00FF42B6" w14:paraId="0118D93C" w14:textId="77777777" w:rsidTr="005554BF">
        <w:tc>
          <w:tcPr>
            <w:tcW w:w="4445" w:type="dxa"/>
          </w:tcPr>
          <w:p w14:paraId="6C956738" w14:textId="77777777" w:rsidR="00FF42B6" w:rsidRDefault="00FF42B6" w:rsidP="003E4A91">
            <w:pPr>
              <w:pStyle w:val="cTableBody"/>
              <w:spacing w:before="0"/>
            </w:pPr>
            <w:r>
              <w:t>Thermal-storage construction</w:t>
            </w:r>
          </w:p>
        </w:tc>
        <w:tc>
          <w:tcPr>
            <w:tcW w:w="5707" w:type="dxa"/>
          </w:tcPr>
          <w:p w14:paraId="3AA5AE34" w14:textId="77777777" w:rsidR="00FF42B6" w:rsidRDefault="00FF42B6" w:rsidP="003E4A91">
            <w:pPr>
              <w:pStyle w:val="cTableBody"/>
              <w:spacing w:before="0"/>
            </w:pPr>
            <w:r>
              <w:t>Perhaps 1:5–1:10 tank plus full-size welding/inspection trials</w:t>
            </w:r>
          </w:p>
        </w:tc>
      </w:tr>
      <w:tr w:rsidR="00FF42B6" w14:paraId="10B660B4" w14:textId="77777777" w:rsidTr="005554BF">
        <w:tc>
          <w:tcPr>
            <w:tcW w:w="4445" w:type="dxa"/>
          </w:tcPr>
          <w:p w14:paraId="31528C31" w14:textId="77777777" w:rsidR="00FF42B6" w:rsidRDefault="00FF42B6" w:rsidP="003E4A91">
            <w:pPr>
              <w:pStyle w:val="cTableBody"/>
              <w:spacing w:before="0"/>
            </w:pPr>
            <w:r>
              <w:t>Electrified rail</w:t>
            </w:r>
          </w:p>
        </w:tc>
        <w:tc>
          <w:tcPr>
            <w:tcW w:w="5707" w:type="dxa"/>
          </w:tcPr>
          <w:p w14:paraId="46D912E3" w14:textId="77777777" w:rsidR="00FF42B6" w:rsidRDefault="00FF42B6" w:rsidP="003E4A91">
            <w:pPr>
              <w:pStyle w:val="cTableBody"/>
              <w:spacing w:before="0"/>
            </w:pPr>
            <w:r>
              <w:t>Preferably full voltage, reduced track length and reduced power</w:t>
            </w:r>
          </w:p>
        </w:tc>
      </w:tr>
    </w:tbl>
    <w:p w14:paraId="3FA88719" w14:textId="77777777" w:rsidR="00FF42B6" w:rsidRDefault="00FF42B6" w:rsidP="00FF42B6">
      <w:pPr>
        <w:rPr>
          <w:rFonts w:asciiTheme="majorHAnsi" w:eastAsia="Times New Roman" w:hAnsiTheme="majorHAnsi" w:cstheme="majorHAnsi"/>
          <w:szCs w:val="24"/>
        </w:rPr>
      </w:pPr>
      <w:r>
        <w:rPr>
          <w:rFonts w:eastAsia="Times New Roman" w:cstheme="majorHAnsi"/>
          <w:szCs w:val="24"/>
        </w:rPr>
        <w:t xml:space="preserve">For corrosion in particular, I would use removable coupons and spool pieces and pull specimens after perhaps </w:t>
      </w:r>
      <w:r>
        <w:rPr>
          <w:rFonts w:eastAsia="Times New Roman" w:cstheme="majorHAnsi"/>
          <w:b/>
          <w:bCs/>
          <w:szCs w:val="24"/>
        </w:rPr>
        <w:t>3, 6 and 12 months</w:t>
      </w:r>
      <w:r>
        <w:rPr>
          <w:rFonts w:eastAsia="Times New Roman" w:cstheme="majorHAnsi"/>
          <w:szCs w:val="24"/>
        </w:rPr>
        <w:t xml:space="preserve">, while continuously monitoring temperature, chemistry and flow. ASTM G31 specifically warns that corrosion results depend on solution composition, temperature, motion, exposure duration and other conditions, and that accelerated testing can be misleading. </w:t>
      </w:r>
    </w:p>
    <w:p w14:paraId="3F539C47"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 xml:space="preserve">So </w:t>
      </w:r>
      <w:r>
        <w:rPr>
          <w:rFonts w:eastAsia="Times New Roman" w:cstheme="majorHAnsi"/>
          <w:b/>
          <w:bCs/>
          <w:szCs w:val="24"/>
        </w:rPr>
        <w:t>don't scale the chemistry by 100:1</w:t>
      </w:r>
      <w:r>
        <w:rPr>
          <w:rFonts w:eastAsia="Times New Roman" w:cstheme="majorHAnsi"/>
          <w:szCs w:val="24"/>
        </w:rPr>
        <w:t>. Scale the throughput while preserving the relevant physical environment.</w:t>
      </w:r>
    </w:p>
    <w:p w14:paraId="059F339A" w14:textId="77777777" w:rsidR="00FF42B6" w:rsidRDefault="00FF42B6" w:rsidP="00FF42B6">
      <w:pPr>
        <w:pStyle w:val="Heading2"/>
        <w:spacing w:before="280"/>
      </w:pPr>
      <w:r>
        <w:t>3. Cost to build and test the prototypes</w:t>
      </w:r>
    </w:p>
    <w:p w14:paraId="478B4C53" w14:textId="77777777" w:rsidR="00FF42B6" w:rsidRDefault="00FF42B6" w:rsidP="00FF42B6">
      <w:pPr>
        <w:rPr>
          <w:rFonts w:asciiTheme="majorHAnsi" w:eastAsia="Times New Roman" w:hAnsiTheme="majorHAnsi" w:cstheme="majorHAnsi"/>
          <w:szCs w:val="24"/>
        </w:rPr>
      </w:pPr>
      <w:r>
        <w:rPr>
          <w:rFonts w:eastAsia="Times New Roman" w:cstheme="majorHAnsi"/>
          <w:szCs w:val="24"/>
        </w:rPr>
        <w:t>I would envision something closer to a small industrial research campus than a collection of models.</w:t>
      </w:r>
    </w:p>
    <w:tbl>
      <w:tblPr>
        <w:tblStyle w:val="gswTableStyle"/>
        <w:tblW w:w="8806" w:type="dxa"/>
        <w:tblLayout w:type="fixed"/>
        <w:tblLook w:val="04A0" w:firstRow="1" w:lastRow="0" w:firstColumn="1" w:lastColumn="0" w:noHBand="0" w:noVBand="1"/>
      </w:tblPr>
      <w:tblGrid>
        <w:gridCol w:w="6410"/>
        <w:gridCol w:w="1199"/>
        <w:gridCol w:w="1197"/>
      </w:tblGrid>
      <w:tr w:rsidR="00FF42B6" w14:paraId="7F853A89" w14:textId="77777777" w:rsidTr="005554BF">
        <w:trPr>
          <w:cnfStyle w:val="100000000000" w:firstRow="1" w:lastRow="0" w:firstColumn="0" w:lastColumn="0" w:oddVBand="0" w:evenVBand="0" w:oddHBand="0" w:evenHBand="0" w:firstRowFirstColumn="0" w:firstRowLastColumn="0" w:lastRowFirstColumn="0" w:lastRowLastColumn="0"/>
        </w:trPr>
        <w:tc>
          <w:tcPr>
            <w:tcW w:w="6410" w:type="dxa"/>
          </w:tcPr>
          <w:p w14:paraId="45FBDA87" w14:textId="77777777" w:rsidR="00FF42B6" w:rsidRDefault="00FF42B6" w:rsidP="003E4A91">
            <w:pPr>
              <w:pStyle w:val="cTableHeader"/>
              <w:spacing w:before="0" w:after="0"/>
            </w:pPr>
            <w:r>
              <w:t>Prototype/test component</w:t>
            </w:r>
          </w:p>
        </w:tc>
        <w:tc>
          <w:tcPr>
            <w:tcW w:w="1199" w:type="dxa"/>
          </w:tcPr>
          <w:p w14:paraId="69FB46BB" w14:textId="77777777" w:rsidR="00FF42B6" w:rsidRDefault="00FF42B6" w:rsidP="003E4A91">
            <w:pPr>
              <w:pStyle w:val="cTableHeader"/>
              <w:spacing w:before="0" w:after="0"/>
            </w:pPr>
            <w:r>
              <w:t>USA</w:t>
            </w:r>
          </w:p>
        </w:tc>
        <w:tc>
          <w:tcPr>
            <w:tcW w:w="1197" w:type="dxa"/>
          </w:tcPr>
          <w:p w14:paraId="67D55E08" w14:textId="77777777" w:rsidR="00FF42B6" w:rsidRDefault="00FF42B6" w:rsidP="003E4A91">
            <w:pPr>
              <w:pStyle w:val="cTableHeader"/>
              <w:spacing w:before="0" w:after="0"/>
            </w:pPr>
            <w:r>
              <w:t>China</w:t>
            </w:r>
          </w:p>
        </w:tc>
      </w:tr>
      <w:tr w:rsidR="00FF42B6" w14:paraId="00C1E7CB" w14:textId="77777777" w:rsidTr="005554BF">
        <w:tc>
          <w:tcPr>
            <w:tcW w:w="6410" w:type="dxa"/>
          </w:tcPr>
          <w:p w14:paraId="35238D9C" w14:textId="77777777" w:rsidR="00FF42B6" w:rsidRDefault="00FF42B6" w:rsidP="003E4A91">
            <w:pPr>
              <w:pStyle w:val="cTableBody"/>
              <w:spacing w:before="0"/>
            </w:pPr>
            <w:r>
              <w:t>1:100 complete physical yard + digital twin</w:t>
            </w:r>
          </w:p>
        </w:tc>
        <w:tc>
          <w:tcPr>
            <w:tcW w:w="1199" w:type="dxa"/>
          </w:tcPr>
          <w:p w14:paraId="2FFC6C9E" w14:textId="77777777" w:rsidR="00FF42B6" w:rsidRDefault="00FF42B6" w:rsidP="003E4A91">
            <w:pPr>
              <w:pStyle w:val="cTableBody"/>
              <w:spacing w:before="0"/>
            </w:pPr>
            <w:r>
              <w:t>$2–5M</w:t>
            </w:r>
          </w:p>
        </w:tc>
        <w:tc>
          <w:tcPr>
            <w:tcW w:w="1197" w:type="dxa"/>
          </w:tcPr>
          <w:p w14:paraId="01DFC62A" w14:textId="77777777" w:rsidR="00FF42B6" w:rsidRDefault="00FF42B6" w:rsidP="003E4A91">
            <w:pPr>
              <w:pStyle w:val="cTableBody"/>
              <w:spacing w:before="0"/>
            </w:pPr>
            <w:r>
              <w:t>$1–3M</w:t>
            </w:r>
          </w:p>
        </w:tc>
      </w:tr>
      <w:tr w:rsidR="00FF42B6" w14:paraId="5AC1818E" w14:textId="77777777" w:rsidTr="005554BF">
        <w:tc>
          <w:tcPr>
            <w:tcW w:w="6410" w:type="dxa"/>
          </w:tcPr>
          <w:p w14:paraId="29E60282" w14:textId="77777777" w:rsidR="00FF42B6" w:rsidRDefault="00FF42B6" w:rsidP="003E4A91">
            <w:pPr>
              <w:pStyle w:val="cTableBody"/>
              <w:spacing w:before="0"/>
            </w:pPr>
            <w:r>
              <w:t>1:10 double-rail/transporter/gantry/logistics demonstrators</w:t>
            </w:r>
          </w:p>
        </w:tc>
        <w:tc>
          <w:tcPr>
            <w:tcW w:w="1199" w:type="dxa"/>
          </w:tcPr>
          <w:p w14:paraId="77FB02B2" w14:textId="77777777" w:rsidR="00FF42B6" w:rsidRDefault="00FF42B6" w:rsidP="003E4A91">
            <w:pPr>
              <w:pStyle w:val="cTableBody"/>
              <w:spacing w:before="0"/>
            </w:pPr>
            <w:r>
              <w:t>$40–70M</w:t>
            </w:r>
          </w:p>
        </w:tc>
        <w:tc>
          <w:tcPr>
            <w:tcW w:w="1197" w:type="dxa"/>
          </w:tcPr>
          <w:p w14:paraId="73A34CAD" w14:textId="77777777" w:rsidR="00FF42B6" w:rsidRDefault="00FF42B6" w:rsidP="003E4A91">
            <w:pPr>
              <w:pStyle w:val="cTableBody"/>
              <w:spacing w:before="0"/>
            </w:pPr>
            <w:r>
              <w:t>$20–40M</w:t>
            </w:r>
          </w:p>
        </w:tc>
      </w:tr>
      <w:tr w:rsidR="00FF42B6" w14:paraId="63119C9D" w14:textId="77777777" w:rsidTr="005554BF">
        <w:tc>
          <w:tcPr>
            <w:tcW w:w="6410" w:type="dxa"/>
          </w:tcPr>
          <w:p w14:paraId="4C941667" w14:textId="77777777" w:rsidR="00FF42B6" w:rsidRDefault="00FF42B6" w:rsidP="003E4A91">
            <w:pPr>
              <w:pStyle w:val="cTableBody"/>
              <w:spacing w:before="0"/>
            </w:pPr>
            <w:r>
              <w:t>31 functional process-platform pilot systems</w:t>
            </w:r>
          </w:p>
        </w:tc>
        <w:tc>
          <w:tcPr>
            <w:tcW w:w="1199" w:type="dxa"/>
          </w:tcPr>
          <w:p w14:paraId="682C43E2" w14:textId="77777777" w:rsidR="00FF42B6" w:rsidRDefault="00FF42B6" w:rsidP="003E4A91">
            <w:pPr>
              <w:pStyle w:val="cTableBody"/>
              <w:spacing w:before="0"/>
            </w:pPr>
            <w:r>
              <w:t>$150–300M</w:t>
            </w:r>
          </w:p>
        </w:tc>
        <w:tc>
          <w:tcPr>
            <w:tcW w:w="1197" w:type="dxa"/>
          </w:tcPr>
          <w:p w14:paraId="05352679" w14:textId="77777777" w:rsidR="00FF42B6" w:rsidRDefault="00FF42B6" w:rsidP="003E4A91">
            <w:pPr>
              <w:pStyle w:val="cTableBody"/>
              <w:spacing w:before="0"/>
            </w:pPr>
            <w:r>
              <w:t>$75–160M</w:t>
            </w:r>
          </w:p>
        </w:tc>
      </w:tr>
      <w:tr w:rsidR="00FF42B6" w14:paraId="4CAFD6BD" w14:textId="77777777" w:rsidTr="005554BF">
        <w:tc>
          <w:tcPr>
            <w:tcW w:w="6410" w:type="dxa"/>
          </w:tcPr>
          <w:p w14:paraId="35B216C4" w14:textId="77777777" w:rsidR="00FF42B6" w:rsidRDefault="00FF42B6" w:rsidP="003E4A91">
            <w:pPr>
              <w:pStyle w:val="cTableBody"/>
              <w:spacing w:before="0"/>
            </w:pPr>
            <w:r>
              <w:t xml:space="preserve">Tunnels, manifolds, pumping, conveyors, storage and waterfront </w:t>
            </w:r>
            <w:r>
              <w:lastRenderedPageBreak/>
              <w:t>prototypes</w:t>
            </w:r>
          </w:p>
        </w:tc>
        <w:tc>
          <w:tcPr>
            <w:tcW w:w="1199" w:type="dxa"/>
          </w:tcPr>
          <w:p w14:paraId="0C202DFB" w14:textId="77777777" w:rsidR="00FF42B6" w:rsidRDefault="00FF42B6" w:rsidP="003E4A91">
            <w:pPr>
              <w:pStyle w:val="cTableBody"/>
              <w:spacing w:before="0"/>
            </w:pPr>
            <w:r>
              <w:lastRenderedPageBreak/>
              <w:t>$40–70M</w:t>
            </w:r>
          </w:p>
        </w:tc>
        <w:tc>
          <w:tcPr>
            <w:tcW w:w="1197" w:type="dxa"/>
          </w:tcPr>
          <w:p w14:paraId="4990A251" w14:textId="77777777" w:rsidR="00FF42B6" w:rsidRDefault="00FF42B6" w:rsidP="003E4A91">
            <w:pPr>
              <w:pStyle w:val="cTableBody"/>
              <w:spacing w:before="0"/>
            </w:pPr>
            <w:r>
              <w:t>$20–40M</w:t>
            </w:r>
          </w:p>
        </w:tc>
      </w:tr>
      <w:tr w:rsidR="00FF42B6" w14:paraId="379985A2" w14:textId="77777777" w:rsidTr="005554BF">
        <w:tc>
          <w:tcPr>
            <w:tcW w:w="6410" w:type="dxa"/>
          </w:tcPr>
          <w:p w14:paraId="10CDFE49" w14:textId="77777777" w:rsidR="00FF42B6" w:rsidRDefault="00FF42B6" w:rsidP="003E4A91">
            <w:pPr>
              <w:pStyle w:val="cTableBody"/>
              <w:spacing w:before="0"/>
            </w:pPr>
            <w:r>
              <w:t>Thermal-storage tank + automated tank-building equipment</w:t>
            </w:r>
          </w:p>
        </w:tc>
        <w:tc>
          <w:tcPr>
            <w:tcW w:w="1199" w:type="dxa"/>
          </w:tcPr>
          <w:p w14:paraId="49A0E008" w14:textId="77777777" w:rsidR="00FF42B6" w:rsidRDefault="00FF42B6" w:rsidP="003E4A91">
            <w:pPr>
              <w:pStyle w:val="cTableBody"/>
              <w:spacing w:before="0"/>
            </w:pPr>
            <w:r>
              <w:t>$25–50M</w:t>
            </w:r>
          </w:p>
        </w:tc>
        <w:tc>
          <w:tcPr>
            <w:tcW w:w="1197" w:type="dxa"/>
          </w:tcPr>
          <w:p w14:paraId="3BBF5E82" w14:textId="77777777" w:rsidR="00FF42B6" w:rsidRDefault="00FF42B6" w:rsidP="003E4A91">
            <w:pPr>
              <w:pStyle w:val="cTableBody"/>
              <w:spacing w:before="0"/>
            </w:pPr>
            <w:r>
              <w:t>$12–30M</w:t>
            </w:r>
          </w:p>
        </w:tc>
      </w:tr>
      <w:tr w:rsidR="00FF42B6" w14:paraId="6E5C3D9A" w14:textId="77777777" w:rsidTr="005554BF">
        <w:tc>
          <w:tcPr>
            <w:tcW w:w="6410" w:type="dxa"/>
          </w:tcPr>
          <w:p w14:paraId="17A85A9E" w14:textId="77777777" w:rsidR="00FF42B6" w:rsidRDefault="00FF42B6" w:rsidP="003E4A91">
            <w:pPr>
              <w:pStyle w:val="cTableBody"/>
              <w:spacing w:before="0"/>
            </w:pPr>
            <w:r>
              <w:t>Electrified-rail test loop and high-power machinery</w:t>
            </w:r>
          </w:p>
        </w:tc>
        <w:tc>
          <w:tcPr>
            <w:tcW w:w="1199" w:type="dxa"/>
          </w:tcPr>
          <w:p w14:paraId="30A90CCE" w14:textId="77777777" w:rsidR="00FF42B6" w:rsidRDefault="00FF42B6" w:rsidP="003E4A91">
            <w:pPr>
              <w:pStyle w:val="cTableBody"/>
              <w:spacing w:before="0"/>
            </w:pPr>
            <w:r>
              <w:t>$10–25M</w:t>
            </w:r>
          </w:p>
        </w:tc>
        <w:tc>
          <w:tcPr>
            <w:tcW w:w="1197" w:type="dxa"/>
          </w:tcPr>
          <w:p w14:paraId="605D1785" w14:textId="77777777" w:rsidR="00FF42B6" w:rsidRDefault="00FF42B6" w:rsidP="003E4A91">
            <w:pPr>
              <w:pStyle w:val="cTableBody"/>
              <w:spacing w:before="0"/>
            </w:pPr>
            <w:r>
              <w:t>$5–15M</w:t>
            </w:r>
          </w:p>
        </w:tc>
      </w:tr>
      <w:tr w:rsidR="00FF42B6" w14:paraId="16C17D81" w14:textId="77777777" w:rsidTr="005554BF">
        <w:tc>
          <w:tcPr>
            <w:tcW w:w="6410" w:type="dxa"/>
          </w:tcPr>
          <w:p w14:paraId="63B4398D" w14:textId="77777777" w:rsidR="00FF42B6" w:rsidRDefault="00FF42B6" w:rsidP="003E4A91">
            <w:pPr>
              <w:pStyle w:val="cTableBody"/>
              <w:spacing w:before="0"/>
            </w:pPr>
            <w:r>
              <w:t>Full-temperature flow loops/materials/corrosion facility</w:t>
            </w:r>
          </w:p>
        </w:tc>
        <w:tc>
          <w:tcPr>
            <w:tcW w:w="1199" w:type="dxa"/>
          </w:tcPr>
          <w:p w14:paraId="1410B2C3" w14:textId="77777777" w:rsidR="00FF42B6" w:rsidRDefault="00FF42B6" w:rsidP="003E4A91">
            <w:pPr>
              <w:pStyle w:val="cTableBody"/>
              <w:spacing w:before="0"/>
            </w:pPr>
            <w:r>
              <w:t>$20–40M</w:t>
            </w:r>
          </w:p>
        </w:tc>
        <w:tc>
          <w:tcPr>
            <w:tcW w:w="1197" w:type="dxa"/>
          </w:tcPr>
          <w:p w14:paraId="5FA6A2D4" w14:textId="77777777" w:rsidR="00FF42B6" w:rsidRDefault="00FF42B6" w:rsidP="003E4A91">
            <w:pPr>
              <w:pStyle w:val="cTableBody"/>
              <w:spacing w:before="0"/>
            </w:pPr>
            <w:r>
              <w:t>$10–20M</w:t>
            </w:r>
          </w:p>
        </w:tc>
      </w:tr>
      <w:tr w:rsidR="00FF42B6" w14:paraId="37BC3F5F" w14:textId="77777777" w:rsidTr="005554BF">
        <w:tc>
          <w:tcPr>
            <w:tcW w:w="6410" w:type="dxa"/>
          </w:tcPr>
          <w:p w14:paraId="17F87337" w14:textId="77777777" w:rsidR="00FF42B6" w:rsidRDefault="00FF42B6" w:rsidP="003E4A91">
            <w:pPr>
              <w:pStyle w:val="cTableBody"/>
              <w:spacing w:before="0"/>
            </w:pPr>
            <w:r>
              <w:t>Test-site utilities, instrumentation, controls and safety</w:t>
            </w:r>
          </w:p>
        </w:tc>
        <w:tc>
          <w:tcPr>
            <w:tcW w:w="1199" w:type="dxa"/>
          </w:tcPr>
          <w:p w14:paraId="3168C50C" w14:textId="77777777" w:rsidR="00FF42B6" w:rsidRDefault="00FF42B6" w:rsidP="003E4A91">
            <w:pPr>
              <w:pStyle w:val="cTableBody"/>
              <w:spacing w:before="0"/>
            </w:pPr>
            <w:r>
              <w:t>$30–50M</w:t>
            </w:r>
          </w:p>
        </w:tc>
        <w:tc>
          <w:tcPr>
            <w:tcW w:w="1197" w:type="dxa"/>
          </w:tcPr>
          <w:p w14:paraId="1B5C1C74" w14:textId="77777777" w:rsidR="00FF42B6" w:rsidRDefault="00FF42B6" w:rsidP="003E4A91">
            <w:pPr>
              <w:pStyle w:val="cTableBody"/>
              <w:spacing w:before="0"/>
            </w:pPr>
            <w:r>
              <w:t>$15–30M</w:t>
            </w:r>
          </w:p>
        </w:tc>
      </w:tr>
      <w:tr w:rsidR="00FF42B6" w14:paraId="6B53359E" w14:textId="77777777" w:rsidTr="005554BF">
        <w:tc>
          <w:tcPr>
            <w:tcW w:w="6410" w:type="dxa"/>
          </w:tcPr>
          <w:p w14:paraId="4BD7DFF3" w14:textId="77777777" w:rsidR="00FF42B6" w:rsidRDefault="00FF42B6" w:rsidP="003E4A91">
            <w:pPr>
              <w:pStyle w:val="cTableBody"/>
              <w:spacing w:before="0"/>
            </w:pPr>
            <w:r>
              <w:t>12–18 months of testing, staff, maintenance and analysis</w:t>
            </w:r>
          </w:p>
        </w:tc>
        <w:tc>
          <w:tcPr>
            <w:tcW w:w="1199" w:type="dxa"/>
          </w:tcPr>
          <w:p w14:paraId="33B74F36" w14:textId="77777777" w:rsidR="00FF42B6" w:rsidRDefault="00FF42B6" w:rsidP="003E4A91">
            <w:pPr>
              <w:pStyle w:val="cTableBody"/>
              <w:spacing w:before="0"/>
            </w:pPr>
            <w:r>
              <w:t>$40–70M</w:t>
            </w:r>
          </w:p>
        </w:tc>
        <w:tc>
          <w:tcPr>
            <w:tcW w:w="1197" w:type="dxa"/>
          </w:tcPr>
          <w:p w14:paraId="1A668D9B" w14:textId="77777777" w:rsidR="00FF42B6" w:rsidRDefault="00FF42B6" w:rsidP="003E4A91">
            <w:pPr>
              <w:pStyle w:val="cTableBody"/>
              <w:spacing w:before="0"/>
            </w:pPr>
            <w:r>
              <w:t>$20–40M</w:t>
            </w:r>
          </w:p>
        </w:tc>
      </w:tr>
      <w:tr w:rsidR="00FF42B6" w14:paraId="69DB4ABA" w14:textId="77777777" w:rsidTr="005554BF">
        <w:tc>
          <w:tcPr>
            <w:tcW w:w="6410" w:type="dxa"/>
          </w:tcPr>
          <w:p w14:paraId="723CE515" w14:textId="77777777" w:rsidR="00FF42B6" w:rsidRDefault="00FF42B6" w:rsidP="003E4A91">
            <w:pPr>
              <w:pStyle w:val="cTableBody"/>
              <w:spacing w:before="0"/>
            </w:pPr>
            <w:r>
              <w:t>Total</w:t>
            </w:r>
          </w:p>
        </w:tc>
        <w:tc>
          <w:tcPr>
            <w:tcW w:w="1199" w:type="dxa"/>
          </w:tcPr>
          <w:p w14:paraId="252D4C0B" w14:textId="77777777" w:rsidR="00FF42B6" w:rsidRDefault="00FF42B6" w:rsidP="003E4A91">
            <w:pPr>
              <w:pStyle w:val="cTableBody"/>
              <w:spacing w:before="0"/>
            </w:pPr>
            <w:r>
              <w:t>$360–680M</w:t>
            </w:r>
          </w:p>
        </w:tc>
        <w:tc>
          <w:tcPr>
            <w:tcW w:w="1197" w:type="dxa"/>
          </w:tcPr>
          <w:p w14:paraId="55CB0DBF" w14:textId="77777777" w:rsidR="00FF42B6" w:rsidRDefault="00FF42B6" w:rsidP="003E4A91">
            <w:pPr>
              <w:pStyle w:val="cTableBody"/>
              <w:spacing w:before="0"/>
            </w:pPr>
            <w:r>
              <w:t>$180–380M</w:t>
            </w:r>
          </w:p>
        </w:tc>
      </w:tr>
      <w:tr w:rsidR="00FF42B6" w14:paraId="0930BFB7" w14:textId="77777777" w:rsidTr="005554BF">
        <w:tc>
          <w:tcPr>
            <w:tcW w:w="6410" w:type="dxa"/>
          </w:tcPr>
          <w:p w14:paraId="1CCEA274" w14:textId="77777777" w:rsidR="00FF42B6" w:rsidRDefault="00FF42B6" w:rsidP="003E4A91">
            <w:pPr>
              <w:pStyle w:val="cTableBody"/>
              <w:spacing w:before="0"/>
            </w:pPr>
            <w:r>
              <w:t>Central estimate</w:t>
            </w:r>
          </w:p>
        </w:tc>
        <w:tc>
          <w:tcPr>
            <w:tcW w:w="1199" w:type="dxa"/>
          </w:tcPr>
          <w:p w14:paraId="3E3B10A9" w14:textId="77777777" w:rsidR="00FF42B6" w:rsidRDefault="00FF42B6" w:rsidP="003E4A91">
            <w:pPr>
              <w:pStyle w:val="cTableBody"/>
              <w:spacing w:before="0"/>
            </w:pPr>
            <w:r>
              <w:t>~$500M</w:t>
            </w:r>
          </w:p>
        </w:tc>
        <w:tc>
          <w:tcPr>
            <w:tcW w:w="1197" w:type="dxa"/>
          </w:tcPr>
          <w:p w14:paraId="7AFAF909" w14:textId="77777777" w:rsidR="00FF42B6" w:rsidRDefault="00FF42B6" w:rsidP="003E4A91">
            <w:pPr>
              <w:pStyle w:val="cTableBody"/>
              <w:spacing w:before="0"/>
            </w:pPr>
            <w:r>
              <w:t>~$260M</w:t>
            </w:r>
          </w:p>
        </w:tc>
      </w:tr>
    </w:tbl>
    <w:p w14:paraId="2E378342" w14:textId="77777777" w:rsidR="00FF42B6" w:rsidRDefault="00FF42B6" w:rsidP="00FF42B6">
      <w:pPr>
        <w:rPr>
          <w:rFonts w:asciiTheme="majorHAnsi" w:eastAsia="Times New Roman" w:hAnsiTheme="majorHAnsi" w:cstheme="majorHAnsi"/>
          <w:szCs w:val="24"/>
        </w:rPr>
      </w:pPr>
      <w:r>
        <w:rPr>
          <w:rFonts w:eastAsia="Times New Roman" w:cstheme="majorHAnsi"/>
          <w:szCs w:val="24"/>
        </w:rPr>
        <w:t>These are program-planning estimates rather than contractor quotations.</w:t>
      </w:r>
    </w:p>
    <w:p w14:paraId="22B34229" w14:textId="77777777" w:rsidR="00FF42B6" w:rsidRDefault="00FF42B6" w:rsidP="00FF42B6">
      <w:pPr>
        <w:pStyle w:val="cSubject"/>
        <w:spacing w:before="280" w:after="280"/>
      </w:pPr>
      <w:r>
        <w:t>Schedule</w:t>
      </w:r>
    </w:p>
    <w:p w14:paraId="51FDE7CD"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I would expect approximately:</w:t>
      </w:r>
    </w:p>
    <w:p w14:paraId="14B27333" w14:textId="77777777" w:rsidR="00FF42B6" w:rsidRDefault="00FF42B6" w:rsidP="001478EC">
      <w:pPr>
        <w:spacing w:before="160" w:beforeAutospacing="0" w:after="160" w:afterAutospacing="0"/>
        <w:ind w:left="2160" w:hanging="1800"/>
        <w:rPr>
          <w:rFonts w:asciiTheme="majorHAnsi" w:eastAsia="Times New Roman" w:hAnsiTheme="majorHAnsi" w:cstheme="majorHAnsi"/>
          <w:szCs w:val="24"/>
        </w:rPr>
      </w:pPr>
      <w:r>
        <w:rPr>
          <w:rFonts w:eastAsia="Times New Roman" w:cstheme="majorHAnsi"/>
          <w:b/>
          <w:bCs/>
          <w:szCs w:val="24"/>
        </w:rPr>
        <w:t>Months 0–12:</w:t>
      </w:r>
      <w:r>
        <w:rPr>
          <w:rFonts w:eastAsia="Times New Roman" w:cstheme="majorHAnsi"/>
          <w:szCs w:val="24"/>
        </w:rPr>
        <w:t xml:space="preserve"> </w:t>
      </w:r>
      <w:r w:rsidR="00A57761">
        <w:rPr>
          <w:rFonts w:eastAsia="Times New Roman" w:cstheme="majorHAnsi"/>
          <w:szCs w:val="24"/>
        </w:rPr>
        <w:tab/>
      </w:r>
      <w:r>
        <w:rPr>
          <w:rFonts w:eastAsia="Times New Roman" w:cstheme="majorHAnsi"/>
          <w:szCs w:val="24"/>
        </w:rPr>
        <w:t>design progresses; test requirements frozen.</w:t>
      </w:r>
    </w:p>
    <w:p w14:paraId="1CFA2932" w14:textId="77777777" w:rsidR="00FF42B6" w:rsidRDefault="00FF42B6" w:rsidP="001478EC">
      <w:pPr>
        <w:spacing w:before="160" w:beforeAutospacing="0" w:after="160" w:afterAutospacing="0"/>
        <w:ind w:left="2160" w:hanging="1800"/>
        <w:rPr>
          <w:rFonts w:asciiTheme="majorHAnsi" w:eastAsia="Times New Roman" w:hAnsiTheme="majorHAnsi" w:cstheme="majorHAnsi"/>
          <w:szCs w:val="24"/>
        </w:rPr>
      </w:pPr>
      <w:r>
        <w:rPr>
          <w:rFonts w:eastAsia="Times New Roman" w:cstheme="majorHAnsi"/>
          <w:b/>
          <w:bCs/>
          <w:szCs w:val="24"/>
        </w:rPr>
        <w:t>Months 9–24:</w:t>
      </w:r>
      <w:r w:rsidR="00A57761">
        <w:rPr>
          <w:rFonts w:eastAsia="Times New Roman" w:cstheme="majorHAnsi"/>
          <w:b/>
          <w:bCs/>
          <w:szCs w:val="24"/>
        </w:rPr>
        <w:tab/>
      </w:r>
      <w:r>
        <w:rPr>
          <w:rFonts w:eastAsia="Times New Roman" w:cstheme="majorHAnsi"/>
          <w:szCs w:val="24"/>
        </w:rPr>
        <w:t xml:space="preserve"> prototype fabrication begins while detailed design continues.</w:t>
      </w:r>
    </w:p>
    <w:p w14:paraId="440B2972" w14:textId="77777777" w:rsidR="00FF42B6" w:rsidRDefault="00FF42B6" w:rsidP="001478EC">
      <w:pPr>
        <w:spacing w:before="160" w:beforeAutospacing="0" w:after="160" w:afterAutospacing="0"/>
        <w:ind w:left="2160" w:hanging="1800"/>
        <w:rPr>
          <w:rFonts w:asciiTheme="majorHAnsi" w:eastAsia="Times New Roman" w:hAnsiTheme="majorHAnsi" w:cstheme="majorHAnsi"/>
          <w:szCs w:val="24"/>
        </w:rPr>
      </w:pPr>
      <w:r>
        <w:rPr>
          <w:rFonts w:eastAsia="Times New Roman" w:cstheme="majorHAnsi"/>
          <w:b/>
          <w:bCs/>
          <w:szCs w:val="24"/>
        </w:rPr>
        <w:t>Months 18–30:</w:t>
      </w:r>
      <w:r>
        <w:rPr>
          <w:rFonts w:eastAsia="Times New Roman" w:cstheme="majorHAnsi"/>
          <w:szCs w:val="24"/>
        </w:rPr>
        <w:t xml:space="preserve"> </w:t>
      </w:r>
      <w:r w:rsidR="00A57761">
        <w:rPr>
          <w:rFonts w:eastAsia="Times New Roman" w:cstheme="majorHAnsi"/>
          <w:szCs w:val="24"/>
        </w:rPr>
        <w:tab/>
      </w:r>
      <w:r>
        <w:rPr>
          <w:rFonts w:eastAsia="Times New Roman" w:cstheme="majorHAnsi"/>
          <w:szCs w:val="24"/>
        </w:rPr>
        <w:t>test facility and first prototypes commissioned.</w:t>
      </w:r>
    </w:p>
    <w:p w14:paraId="7B41E2C9" w14:textId="77777777" w:rsidR="00FF42B6" w:rsidRDefault="00FF42B6" w:rsidP="001478EC">
      <w:pPr>
        <w:spacing w:before="160" w:beforeAutospacing="0" w:after="160" w:afterAutospacing="0"/>
        <w:ind w:left="2160" w:hanging="1800"/>
        <w:rPr>
          <w:rFonts w:asciiTheme="majorHAnsi" w:eastAsia="Times New Roman" w:hAnsiTheme="majorHAnsi" w:cstheme="majorHAnsi"/>
          <w:szCs w:val="24"/>
        </w:rPr>
      </w:pPr>
      <w:r>
        <w:rPr>
          <w:rFonts w:eastAsia="Times New Roman" w:cstheme="majorHAnsi"/>
          <w:b/>
          <w:bCs/>
          <w:szCs w:val="24"/>
        </w:rPr>
        <w:t>Months 24–42:</w:t>
      </w:r>
      <w:r>
        <w:rPr>
          <w:rFonts w:eastAsia="Times New Roman" w:cstheme="majorHAnsi"/>
          <w:szCs w:val="24"/>
        </w:rPr>
        <w:t xml:space="preserve"> </w:t>
      </w:r>
      <w:r w:rsidR="00A57761">
        <w:rPr>
          <w:rFonts w:eastAsia="Times New Roman" w:cstheme="majorHAnsi"/>
          <w:szCs w:val="24"/>
        </w:rPr>
        <w:tab/>
      </w:r>
      <w:r>
        <w:rPr>
          <w:rFonts w:eastAsia="Times New Roman" w:cstheme="majorHAnsi"/>
          <w:szCs w:val="24"/>
        </w:rPr>
        <w:t>progressively operate the different systems.</w:t>
      </w:r>
    </w:p>
    <w:p w14:paraId="29A63A33" w14:textId="77777777" w:rsidR="00FF42B6" w:rsidRDefault="00FF42B6" w:rsidP="001478EC">
      <w:pPr>
        <w:spacing w:before="160" w:beforeAutospacing="0" w:after="160" w:afterAutospacing="0"/>
        <w:ind w:left="2160" w:hanging="1800"/>
        <w:rPr>
          <w:rFonts w:asciiTheme="majorHAnsi" w:eastAsia="Times New Roman" w:hAnsiTheme="majorHAnsi" w:cstheme="majorHAnsi"/>
          <w:szCs w:val="24"/>
        </w:rPr>
      </w:pPr>
      <w:r>
        <w:rPr>
          <w:rFonts w:eastAsia="Times New Roman" w:cstheme="majorHAnsi"/>
          <w:b/>
          <w:bCs/>
          <w:szCs w:val="24"/>
        </w:rPr>
        <w:t>Months 30–48:</w:t>
      </w:r>
      <w:r>
        <w:rPr>
          <w:rFonts w:eastAsia="Times New Roman" w:cstheme="majorHAnsi"/>
          <w:szCs w:val="24"/>
        </w:rPr>
        <w:t xml:space="preserve"> </w:t>
      </w:r>
      <w:r w:rsidR="00A57761">
        <w:rPr>
          <w:rFonts w:eastAsia="Times New Roman" w:cstheme="majorHAnsi"/>
          <w:szCs w:val="24"/>
        </w:rPr>
        <w:tab/>
      </w:r>
      <w:r>
        <w:rPr>
          <w:rFonts w:eastAsia="Times New Roman" w:cstheme="majorHAnsi"/>
          <w:szCs w:val="24"/>
        </w:rPr>
        <w:t>long-duration thermal cycling, corrosion and reliability testing.</w:t>
      </w:r>
    </w:p>
    <w:p w14:paraId="69136FB2"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Thus, from a standing start:</w:t>
      </w:r>
    </w:p>
    <w:p w14:paraId="29B0F035" w14:textId="77777777" w:rsidR="00FF42B6" w:rsidRDefault="00FF42B6" w:rsidP="001478EC">
      <w:pPr>
        <w:spacing w:before="160" w:beforeAutospacing="0" w:after="160" w:afterAutospacing="0"/>
        <w:ind w:left="2160" w:hanging="1800"/>
        <w:rPr>
          <w:rFonts w:asciiTheme="majorHAnsi" w:eastAsia="Times New Roman" w:hAnsiTheme="majorHAnsi" w:cstheme="majorHAnsi"/>
          <w:szCs w:val="24"/>
        </w:rPr>
      </w:pPr>
      <w:r>
        <w:rPr>
          <w:rFonts w:eastAsia="Times New Roman" w:cstheme="majorHAnsi"/>
          <w:b/>
          <w:bCs/>
          <w:szCs w:val="24"/>
        </w:rPr>
        <w:t xml:space="preserve">USA: </w:t>
      </w:r>
      <w:r w:rsidR="00A57761">
        <w:rPr>
          <w:rFonts w:eastAsia="Times New Roman" w:cstheme="majorHAnsi"/>
          <w:b/>
          <w:bCs/>
          <w:szCs w:val="24"/>
        </w:rPr>
        <w:tab/>
      </w:r>
      <w:r w:rsidRPr="00A57761">
        <w:rPr>
          <w:rFonts w:eastAsia="Times New Roman" w:cstheme="majorHAnsi"/>
          <w:szCs w:val="24"/>
        </w:rPr>
        <w:t>~4 years to complete the major scaled-prototype program.</w:t>
      </w:r>
    </w:p>
    <w:p w14:paraId="03FBF45A" w14:textId="77777777" w:rsidR="00FF42B6" w:rsidRDefault="00FF42B6" w:rsidP="001478EC">
      <w:pPr>
        <w:spacing w:before="160" w:beforeAutospacing="0" w:after="160" w:afterAutospacing="0"/>
        <w:ind w:left="2160" w:hanging="1800"/>
        <w:rPr>
          <w:rFonts w:asciiTheme="majorHAnsi" w:eastAsia="Times New Roman" w:hAnsiTheme="majorHAnsi" w:cstheme="majorHAnsi"/>
          <w:szCs w:val="24"/>
        </w:rPr>
      </w:pPr>
      <w:r>
        <w:rPr>
          <w:rFonts w:eastAsia="Times New Roman" w:cstheme="majorHAnsi"/>
          <w:b/>
          <w:bCs/>
          <w:szCs w:val="24"/>
        </w:rPr>
        <w:t xml:space="preserve">China: </w:t>
      </w:r>
      <w:r w:rsidR="00A57761" w:rsidRPr="00A57761">
        <w:rPr>
          <w:rFonts w:eastAsia="Times New Roman" w:cstheme="majorHAnsi"/>
          <w:szCs w:val="24"/>
        </w:rPr>
        <w:tab/>
      </w:r>
      <w:r w:rsidRPr="00A57761">
        <w:rPr>
          <w:rFonts w:eastAsia="Times New Roman" w:cstheme="majorHAnsi"/>
          <w:szCs w:val="24"/>
        </w:rPr>
        <w:t>perhaps ~3½–4 years.</w:t>
      </w:r>
    </w:p>
    <w:p w14:paraId="73D9E507"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You don't have to wait until the entire design program finishes before starting prototypes.</w:t>
      </w:r>
    </w:p>
    <w:p w14:paraId="09343090" w14:textId="77777777" w:rsidR="00FF42B6" w:rsidRDefault="00FF42B6" w:rsidP="00FF42B6">
      <w:pPr>
        <w:pStyle w:val="Heading2"/>
        <w:spacing w:before="280"/>
      </w:pPr>
      <w:r>
        <w:t>4. Total design + prototype program</w:t>
      </w:r>
    </w:p>
    <w:p w14:paraId="3237B0E5" w14:textId="77777777" w:rsidR="00FF42B6" w:rsidRDefault="00FF42B6" w:rsidP="00FF42B6">
      <w:pPr>
        <w:rPr>
          <w:rFonts w:asciiTheme="majorHAnsi" w:eastAsia="Times New Roman" w:hAnsiTheme="majorHAnsi" w:cstheme="majorHAnsi"/>
          <w:szCs w:val="24"/>
        </w:rPr>
      </w:pPr>
      <w:r>
        <w:rPr>
          <w:rFonts w:eastAsia="Times New Roman" w:cstheme="majorHAnsi"/>
          <w:szCs w:val="24"/>
        </w:rPr>
        <w:t>The central numbers I'd use in the proposal are therefore:</w:t>
      </w:r>
    </w:p>
    <w:tbl>
      <w:tblPr>
        <w:tblStyle w:val="gswTableStyle"/>
        <w:tblW w:w="5579" w:type="dxa"/>
        <w:tblLayout w:type="fixed"/>
        <w:tblLook w:val="04A0" w:firstRow="1" w:lastRow="0" w:firstColumn="1" w:lastColumn="0" w:noHBand="0" w:noVBand="1"/>
      </w:tblPr>
      <w:tblGrid>
        <w:gridCol w:w="2767"/>
        <w:gridCol w:w="1578"/>
        <w:gridCol w:w="1234"/>
      </w:tblGrid>
      <w:tr w:rsidR="00FF42B6" w:rsidRPr="005554BF" w14:paraId="77363AA9" w14:textId="77777777" w:rsidTr="005554BF">
        <w:trPr>
          <w:cnfStyle w:val="100000000000" w:firstRow="1" w:lastRow="0" w:firstColumn="0" w:lastColumn="0" w:oddVBand="0" w:evenVBand="0" w:oddHBand="0" w:evenHBand="0" w:firstRowFirstColumn="0" w:firstRowLastColumn="0" w:lastRowFirstColumn="0" w:lastRowLastColumn="0"/>
        </w:trPr>
        <w:tc>
          <w:tcPr>
            <w:tcW w:w="2767" w:type="dxa"/>
          </w:tcPr>
          <w:p w14:paraId="1D8A1DF4" w14:textId="77777777" w:rsidR="00FF42B6" w:rsidRPr="005554BF" w:rsidRDefault="00FF42B6" w:rsidP="005554BF">
            <w:pPr>
              <w:pStyle w:val="cTableHeader"/>
            </w:pPr>
            <w:r w:rsidRPr="005554BF">
              <w:t>Program</w:t>
            </w:r>
          </w:p>
        </w:tc>
        <w:tc>
          <w:tcPr>
            <w:tcW w:w="1578" w:type="dxa"/>
          </w:tcPr>
          <w:p w14:paraId="56ABEE89" w14:textId="77777777" w:rsidR="00FF42B6" w:rsidRPr="005554BF" w:rsidRDefault="00FF42B6" w:rsidP="005554BF">
            <w:pPr>
              <w:pStyle w:val="cTableHeader"/>
            </w:pPr>
            <w:r w:rsidRPr="005554BF">
              <w:t>USA</w:t>
            </w:r>
          </w:p>
        </w:tc>
        <w:tc>
          <w:tcPr>
            <w:tcW w:w="1234" w:type="dxa"/>
          </w:tcPr>
          <w:p w14:paraId="1CEACFE5" w14:textId="77777777" w:rsidR="00FF42B6" w:rsidRPr="005554BF" w:rsidRDefault="00FF42B6" w:rsidP="005554BF">
            <w:pPr>
              <w:pStyle w:val="cTableHeader"/>
            </w:pPr>
            <w:r w:rsidRPr="005554BF">
              <w:t>China</w:t>
            </w:r>
          </w:p>
        </w:tc>
      </w:tr>
      <w:tr w:rsidR="00FF42B6" w14:paraId="7C8EE8B6" w14:textId="77777777" w:rsidTr="005554BF">
        <w:tc>
          <w:tcPr>
            <w:tcW w:w="2767" w:type="dxa"/>
          </w:tcPr>
          <w:p w14:paraId="7675679E" w14:textId="77777777" w:rsidR="00FF42B6" w:rsidRDefault="00FF42B6" w:rsidP="003E4A91">
            <w:pPr>
              <w:pStyle w:val="cTableBody"/>
              <w:spacing w:before="0"/>
            </w:pPr>
            <w:r>
              <w:t>Design</w:t>
            </w:r>
          </w:p>
        </w:tc>
        <w:tc>
          <w:tcPr>
            <w:tcW w:w="1578" w:type="dxa"/>
          </w:tcPr>
          <w:p w14:paraId="11150CEA" w14:textId="77777777" w:rsidR="00FF42B6" w:rsidRDefault="00FF42B6" w:rsidP="003E4A91">
            <w:pPr>
              <w:pStyle w:val="cTableBody"/>
              <w:spacing w:before="0"/>
            </w:pPr>
            <w:r>
              <w:t>~$180M</w:t>
            </w:r>
          </w:p>
        </w:tc>
        <w:tc>
          <w:tcPr>
            <w:tcW w:w="1234" w:type="dxa"/>
          </w:tcPr>
          <w:p w14:paraId="6F9D31DD" w14:textId="77777777" w:rsidR="00FF42B6" w:rsidRDefault="00FF42B6" w:rsidP="003E4A91">
            <w:pPr>
              <w:pStyle w:val="cTableBody"/>
              <w:spacing w:before="0"/>
            </w:pPr>
            <w:r>
              <w:t>~$100M</w:t>
            </w:r>
          </w:p>
        </w:tc>
      </w:tr>
      <w:tr w:rsidR="00FF42B6" w14:paraId="3781C465" w14:textId="77777777" w:rsidTr="005554BF">
        <w:tc>
          <w:tcPr>
            <w:tcW w:w="2767" w:type="dxa"/>
          </w:tcPr>
          <w:p w14:paraId="11829105" w14:textId="77777777" w:rsidR="00FF42B6" w:rsidRDefault="00FF42B6" w:rsidP="003E4A91">
            <w:pPr>
              <w:pStyle w:val="cTableBody"/>
              <w:spacing w:before="0"/>
            </w:pPr>
            <w:r>
              <w:t>Prototype construction/testing</w:t>
            </w:r>
          </w:p>
        </w:tc>
        <w:tc>
          <w:tcPr>
            <w:tcW w:w="1578" w:type="dxa"/>
          </w:tcPr>
          <w:p w14:paraId="59022CE1" w14:textId="77777777" w:rsidR="00FF42B6" w:rsidRDefault="00FF42B6" w:rsidP="003E4A91">
            <w:pPr>
              <w:pStyle w:val="cTableBody"/>
              <w:spacing w:before="0"/>
            </w:pPr>
            <w:r>
              <w:t>~$500M</w:t>
            </w:r>
          </w:p>
        </w:tc>
        <w:tc>
          <w:tcPr>
            <w:tcW w:w="1234" w:type="dxa"/>
          </w:tcPr>
          <w:p w14:paraId="43809931" w14:textId="77777777" w:rsidR="00FF42B6" w:rsidRDefault="00FF42B6" w:rsidP="003E4A91">
            <w:pPr>
              <w:pStyle w:val="cTableBody"/>
              <w:spacing w:before="0"/>
            </w:pPr>
            <w:r>
              <w:t>~$260M</w:t>
            </w:r>
          </w:p>
        </w:tc>
      </w:tr>
      <w:tr w:rsidR="00FF42B6" w14:paraId="67DA3984" w14:textId="77777777" w:rsidTr="005554BF">
        <w:tc>
          <w:tcPr>
            <w:tcW w:w="2767" w:type="dxa"/>
          </w:tcPr>
          <w:p w14:paraId="08581722" w14:textId="77777777" w:rsidR="00FF42B6" w:rsidRDefault="00FF42B6" w:rsidP="003E4A91">
            <w:pPr>
              <w:pStyle w:val="cTableBody"/>
              <w:spacing w:before="0"/>
            </w:pPr>
            <w:r>
              <w:t>Subtotal</w:t>
            </w:r>
          </w:p>
        </w:tc>
        <w:tc>
          <w:tcPr>
            <w:tcW w:w="1578" w:type="dxa"/>
          </w:tcPr>
          <w:p w14:paraId="367C2EEC" w14:textId="77777777" w:rsidR="00FF42B6" w:rsidRDefault="00FF42B6" w:rsidP="003E4A91">
            <w:pPr>
              <w:pStyle w:val="cTableBody"/>
              <w:spacing w:before="0"/>
            </w:pPr>
            <w:r>
              <w:t>~$680M</w:t>
            </w:r>
          </w:p>
        </w:tc>
        <w:tc>
          <w:tcPr>
            <w:tcW w:w="1234" w:type="dxa"/>
          </w:tcPr>
          <w:p w14:paraId="5520D6B8" w14:textId="77777777" w:rsidR="00FF42B6" w:rsidRDefault="00FF42B6" w:rsidP="003E4A91">
            <w:pPr>
              <w:pStyle w:val="cTableBody"/>
              <w:spacing w:before="0"/>
            </w:pPr>
            <w:r>
              <w:t>~$360M</w:t>
            </w:r>
          </w:p>
        </w:tc>
      </w:tr>
      <w:tr w:rsidR="00FF42B6" w14:paraId="666423C7" w14:textId="77777777" w:rsidTr="005554BF">
        <w:tc>
          <w:tcPr>
            <w:tcW w:w="2767" w:type="dxa"/>
          </w:tcPr>
          <w:p w14:paraId="39DD73A4" w14:textId="77777777" w:rsidR="00FF42B6" w:rsidRDefault="00FF42B6" w:rsidP="003E4A91">
            <w:pPr>
              <w:pStyle w:val="cTableBody"/>
              <w:spacing w:before="0"/>
            </w:pPr>
            <w:r>
              <w:lastRenderedPageBreak/>
              <w:t>Suggested contingency/reserve</w:t>
            </w:r>
          </w:p>
        </w:tc>
        <w:tc>
          <w:tcPr>
            <w:tcW w:w="1578" w:type="dxa"/>
          </w:tcPr>
          <w:p w14:paraId="7FAA29A0" w14:textId="77777777" w:rsidR="00FF42B6" w:rsidRDefault="00FF42B6" w:rsidP="003E4A91">
            <w:pPr>
              <w:pStyle w:val="cTableBody"/>
              <w:spacing w:before="0"/>
            </w:pPr>
            <w:r>
              <w:t>~$120–200M</w:t>
            </w:r>
          </w:p>
        </w:tc>
        <w:tc>
          <w:tcPr>
            <w:tcW w:w="1234" w:type="dxa"/>
          </w:tcPr>
          <w:p w14:paraId="3E0BD12B" w14:textId="77777777" w:rsidR="00FF42B6" w:rsidRDefault="00FF42B6" w:rsidP="003E4A91">
            <w:pPr>
              <w:pStyle w:val="cTableBody"/>
              <w:spacing w:before="0"/>
            </w:pPr>
            <w:r>
              <w:t>~$70–120M</w:t>
            </w:r>
          </w:p>
        </w:tc>
      </w:tr>
      <w:tr w:rsidR="00FF42B6" w14:paraId="3F35AF31" w14:textId="77777777" w:rsidTr="005554BF">
        <w:tc>
          <w:tcPr>
            <w:tcW w:w="2767" w:type="dxa"/>
          </w:tcPr>
          <w:p w14:paraId="2ABD7C3C" w14:textId="77777777" w:rsidR="00FF42B6" w:rsidRDefault="00FF42B6" w:rsidP="003E4A91">
            <w:pPr>
              <w:pStyle w:val="cTableBody"/>
              <w:spacing w:before="0"/>
            </w:pPr>
            <w:r>
              <w:t>Practical program budget</w:t>
            </w:r>
          </w:p>
        </w:tc>
        <w:tc>
          <w:tcPr>
            <w:tcW w:w="1578" w:type="dxa"/>
          </w:tcPr>
          <w:p w14:paraId="4253D5B3" w14:textId="77777777" w:rsidR="00FF42B6" w:rsidRDefault="00FF42B6" w:rsidP="003E4A91">
            <w:pPr>
              <w:pStyle w:val="cTableBody"/>
              <w:spacing w:before="0"/>
            </w:pPr>
            <w:r>
              <w:t>~$800M</w:t>
            </w:r>
          </w:p>
        </w:tc>
        <w:tc>
          <w:tcPr>
            <w:tcW w:w="1234" w:type="dxa"/>
          </w:tcPr>
          <w:p w14:paraId="253A0DF1" w14:textId="77777777" w:rsidR="00FF42B6" w:rsidRDefault="00FF42B6" w:rsidP="003E4A91">
            <w:pPr>
              <w:pStyle w:val="cTableBody"/>
              <w:spacing w:before="0"/>
            </w:pPr>
            <w:r>
              <w:t>~$450M</w:t>
            </w:r>
          </w:p>
        </w:tc>
      </w:tr>
      <w:tr w:rsidR="00FF42B6" w14:paraId="09941670" w14:textId="77777777" w:rsidTr="005554BF">
        <w:tc>
          <w:tcPr>
            <w:tcW w:w="2767" w:type="dxa"/>
          </w:tcPr>
          <w:p w14:paraId="098EC013" w14:textId="77777777" w:rsidR="00FF42B6" w:rsidRDefault="00FF42B6" w:rsidP="003E4A91">
            <w:pPr>
              <w:pStyle w:val="cTableBody"/>
              <w:spacing w:before="0"/>
            </w:pPr>
            <w:r>
              <w:t>Calendar duration</w:t>
            </w:r>
          </w:p>
        </w:tc>
        <w:tc>
          <w:tcPr>
            <w:tcW w:w="1578" w:type="dxa"/>
          </w:tcPr>
          <w:p w14:paraId="446B4124" w14:textId="77777777" w:rsidR="00FF42B6" w:rsidRDefault="00FF42B6" w:rsidP="003E4A91">
            <w:pPr>
              <w:pStyle w:val="cTableBody"/>
              <w:spacing w:before="0"/>
            </w:pPr>
            <w:r>
              <w:t>~4 years</w:t>
            </w:r>
          </w:p>
        </w:tc>
        <w:tc>
          <w:tcPr>
            <w:tcW w:w="1234" w:type="dxa"/>
          </w:tcPr>
          <w:p w14:paraId="61AECA4F" w14:textId="77777777" w:rsidR="00FF42B6" w:rsidRDefault="00FF42B6" w:rsidP="003E4A91">
            <w:pPr>
              <w:pStyle w:val="cTableBody"/>
              <w:spacing w:before="0"/>
            </w:pPr>
            <w:r>
              <w:t>~3½–4 years</w:t>
            </w:r>
          </w:p>
        </w:tc>
      </w:tr>
    </w:tbl>
    <w:p w14:paraId="112D8315" w14:textId="77777777" w:rsidR="00FF42B6" w:rsidRDefault="00FF42B6" w:rsidP="00FF42B6">
      <w:pPr>
        <w:rPr>
          <w:rFonts w:asciiTheme="majorHAnsi" w:eastAsia="Times New Roman" w:hAnsiTheme="majorHAnsi" w:cstheme="majorHAnsi"/>
          <w:szCs w:val="24"/>
        </w:rPr>
      </w:pPr>
      <w:r>
        <w:rPr>
          <w:rFonts w:eastAsia="Times New Roman" w:cstheme="majorHAnsi"/>
          <w:szCs w:val="24"/>
        </w:rPr>
        <w:t xml:space="preserve">That is an interesting result because it suggests a </w:t>
      </w:r>
      <w:r>
        <w:rPr>
          <w:rFonts w:eastAsia="Times New Roman" w:cstheme="majorHAnsi"/>
          <w:b/>
          <w:bCs/>
          <w:szCs w:val="24"/>
        </w:rPr>
        <w:t>$1 billion / 5-year development fund is approximately the right order of magnitude even in the U.S.</w:t>
      </w:r>
      <w:r>
        <w:rPr>
          <w:rFonts w:eastAsia="Times New Roman" w:cstheme="majorHAnsi"/>
          <w:szCs w:val="24"/>
        </w:rPr>
        <w:t xml:space="preserve"> In China, the same $1 billion would potentially leave considerable money for progressively larger prototypes or the first near-full-scale demonstrations.</w:t>
      </w:r>
    </w:p>
    <w:p w14:paraId="1A0A7F8B"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 xml:space="preserve">It also agrees directionally with the R&amp;D philosophy in your business plan, which explicitly distinguishes comparatively modest design expenditures from much larger prototype expenditures. </w:t>
      </w:r>
    </w:p>
    <w:p w14:paraId="1FCBB2D7" w14:textId="77777777" w:rsidR="00FF42B6" w:rsidRDefault="00FF42B6" w:rsidP="00FF42B6">
      <w:pPr>
        <w:pStyle w:val="Heading2"/>
        <w:spacing w:before="280"/>
      </w:pPr>
      <w:r>
        <w:t>5. Fossil-fuel heat source for testing</w:t>
      </w:r>
    </w:p>
    <w:p w14:paraId="6498B68C"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Because there is no nuclear fuel, I would make the test facility look like this:</w:t>
      </w:r>
    </w:p>
    <w:p w14:paraId="51A00DE6" w14:textId="77777777" w:rsidR="00FF42B6" w:rsidRDefault="00FF42B6" w:rsidP="007A7BAC">
      <w:pPr>
        <w:pStyle w:val="bblueindent"/>
      </w:pPr>
      <w:r>
        <w:t>fossil heat source → intermediate heat loop → prototype</w:t>
      </w:r>
    </w:p>
    <w:p w14:paraId="0441FFC2"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The prototype therefore doesn't know whether its heat originally came from coal, gas or a nuclear reactor.</w:t>
      </w:r>
    </w:p>
    <w:p w14:paraId="72FD68BA"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For PWR-like testing you can provide the appropriate steam/hot-water conditions.</w:t>
      </w:r>
    </w:p>
    <w:p w14:paraId="7EA78AB2"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For HTR-PM-like testing, a fossil-fired heater can heat an intermediate fluid or gas to the required higher temperature.</w:t>
      </w:r>
    </w:p>
    <w:p w14:paraId="7C80DADA"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That is much better scientifically than having combustion gases pass directly through the chemical-processing equipment because it preserves the intended nuclear/industrial interface.</w:t>
      </w:r>
    </w:p>
    <w:p w14:paraId="7658D7B3" w14:textId="77777777" w:rsidR="00FF42B6" w:rsidRDefault="00FF42B6" w:rsidP="00FF42B6">
      <w:pPr>
        <w:pStyle w:val="Heading2"/>
        <w:spacing w:before="280"/>
      </w:pPr>
      <w:r>
        <w:t>6. U.S. prototype fuel cost — natural gas</w:t>
      </w:r>
    </w:p>
    <w:p w14:paraId="4957EDA1"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 xml:space="preserve">The latest published EIA U.S. average industrial natural-gas price is </w:t>
      </w:r>
      <w:r>
        <w:rPr>
          <w:rFonts w:eastAsia="Times New Roman" w:cstheme="majorHAnsi"/>
          <w:b/>
          <w:bCs/>
          <w:szCs w:val="24"/>
        </w:rPr>
        <w:t>$4.27 per thousand cubic feet for May 2026</w:t>
      </w:r>
      <w:r>
        <w:rPr>
          <w:rFonts w:eastAsia="Times New Roman" w:cstheme="majorHAnsi"/>
          <w:szCs w:val="24"/>
        </w:rPr>
        <w:t xml:space="preserve">. EIA separately forecasts Henry Hub at roughly $3.6/MMBtu in 2026, but an R&amp;D facility pays a delivered industrial price rather than simply the Henry Hub commodity price. </w:t>
      </w:r>
    </w:p>
    <w:p w14:paraId="4D442037"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Using:</w:t>
      </w:r>
    </w:p>
    <w:p w14:paraId="4994B8F1" w14:textId="77777777" w:rsidR="00FF42B6" w:rsidRPr="007A7BAC" w:rsidRDefault="00FF42B6" w:rsidP="007A7BAC">
      <w:pPr>
        <w:spacing w:before="280" w:after="280"/>
        <w:ind w:left="360"/>
        <w:rPr>
          <w:rFonts w:asciiTheme="majorHAnsi" w:eastAsia="Times New Roman" w:hAnsiTheme="majorHAnsi" w:cstheme="majorHAnsi"/>
          <w:szCs w:val="24"/>
        </w:rPr>
      </w:pPr>
      <w:r w:rsidRPr="007A7BAC">
        <w:rPr>
          <w:rFonts w:eastAsia="Times New Roman" w:cstheme="majorHAnsi"/>
          <w:szCs w:val="24"/>
        </w:rPr>
        <w:t>$4.27/Mcf,</w:t>
      </w:r>
      <w:r w:rsidRPr="007A7BAC">
        <w:rPr>
          <w:rFonts w:eastAsia="Times New Roman" w:cstheme="majorHAnsi"/>
          <w:szCs w:val="24"/>
        </w:rPr>
        <w:br/>
        <w:t>approximately 1.036 MMBtu/Mcf,</w:t>
      </w:r>
      <w:r w:rsidRPr="007A7BAC">
        <w:rPr>
          <w:rFonts w:eastAsia="Times New Roman" w:cstheme="majorHAnsi"/>
          <w:szCs w:val="24"/>
        </w:rPr>
        <w:br/>
        <w:t>and 90% heater efficiency,</w:t>
      </w:r>
    </w:p>
    <w:p w14:paraId="6987E305"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lastRenderedPageBreak/>
        <w:t>I get approximately:</w:t>
      </w:r>
    </w:p>
    <w:p w14:paraId="1D1D1F1E" w14:textId="77777777" w:rsidR="00FF42B6" w:rsidRPr="007A7BAC" w:rsidRDefault="00FF42B6" w:rsidP="007A7BAC">
      <w:pPr>
        <w:spacing w:before="280" w:after="280"/>
        <w:ind w:left="360"/>
        <w:rPr>
          <w:rFonts w:asciiTheme="majorHAnsi" w:eastAsia="Times New Roman" w:hAnsiTheme="majorHAnsi" w:cstheme="majorHAnsi"/>
          <w:szCs w:val="24"/>
        </w:rPr>
      </w:pPr>
      <w:r w:rsidRPr="007A7BAC">
        <w:rPr>
          <w:rFonts w:eastAsia="Times New Roman" w:cstheme="majorHAnsi"/>
          <w:szCs w:val="24"/>
        </w:rPr>
        <w:t>$15.6 per MWh of useful test heat.</w:t>
      </w:r>
    </w:p>
    <w:p w14:paraId="013F95BF" w14:textId="77777777" w:rsidR="00FF42B6" w:rsidRDefault="00FF42B6" w:rsidP="00FF42B6">
      <w:pPr>
        <w:rPr>
          <w:rFonts w:asciiTheme="majorHAnsi" w:eastAsia="Times New Roman" w:hAnsiTheme="majorHAnsi" w:cstheme="majorHAnsi"/>
          <w:szCs w:val="24"/>
        </w:rPr>
      </w:pPr>
      <w:r>
        <w:rPr>
          <w:rFonts w:eastAsia="Times New Roman" w:cstheme="majorHAnsi"/>
          <w:szCs w:val="24"/>
        </w:rPr>
        <w:t>A 30-day month contains 720 hours, so:</w:t>
      </w:r>
    </w:p>
    <w:tbl>
      <w:tblPr>
        <w:tblStyle w:val="gswTableStyle"/>
        <w:tblW w:w="6205" w:type="dxa"/>
        <w:tblLayout w:type="fixed"/>
        <w:tblLook w:val="04A0" w:firstRow="1" w:lastRow="0" w:firstColumn="1" w:lastColumn="0" w:noHBand="0" w:noVBand="1"/>
      </w:tblPr>
      <w:tblGrid>
        <w:gridCol w:w="4168"/>
        <w:gridCol w:w="2037"/>
      </w:tblGrid>
      <w:tr w:rsidR="00FF42B6" w:rsidRPr="005554BF" w14:paraId="3F04E9AF" w14:textId="77777777" w:rsidTr="005554BF">
        <w:trPr>
          <w:cnfStyle w:val="100000000000" w:firstRow="1" w:lastRow="0" w:firstColumn="0" w:lastColumn="0" w:oddVBand="0" w:evenVBand="0" w:oddHBand="0" w:evenHBand="0" w:firstRowFirstColumn="0" w:firstRowLastColumn="0" w:lastRowFirstColumn="0" w:lastRowLastColumn="0"/>
        </w:trPr>
        <w:tc>
          <w:tcPr>
            <w:tcW w:w="4167" w:type="dxa"/>
          </w:tcPr>
          <w:p w14:paraId="7F607DAD" w14:textId="77777777" w:rsidR="00FF42B6" w:rsidRPr="005554BF" w:rsidRDefault="00FF42B6" w:rsidP="005554BF">
            <w:pPr>
              <w:pStyle w:val="cTableHeader"/>
            </w:pPr>
            <w:r w:rsidRPr="005554BF">
              <w:t>Average useful heat supplied to prototypes</w:t>
            </w:r>
          </w:p>
        </w:tc>
        <w:tc>
          <w:tcPr>
            <w:tcW w:w="2037" w:type="dxa"/>
          </w:tcPr>
          <w:p w14:paraId="33C24604" w14:textId="77777777" w:rsidR="00FF42B6" w:rsidRPr="005554BF" w:rsidRDefault="00FF42B6" w:rsidP="005554BF">
            <w:pPr>
              <w:pStyle w:val="cTableHeader"/>
            </w:pPr>
            <w:r w:rsidRPr="005554BF">
              <w:t>U.S. gas fuel/month</w:t>
            </w:r>
          </w:p>
        </w:tc>
      </w:tr>
      <w:tr w:rsidR="00FF42B6" w14:paraId="077C50C7" w14:textId="77777777" w:rsidTr="005554BF">
        <w:tc>
          <w:tcPr>
            <w:tcW w:w="4167" w:type="dxa"/>
          </w:tcPr>
          <w:p w14:paraId="3A85BD6F" w14:textId="77777777" w:rsidR="00FF42B6" w:rsidRDefault="00FF42B6" w:rsidP="003E4A91">
            <w:pPr>
              <w:pStyle w:val="cTableBody"/>
              <w:spacing w:before="0"/>
              <w:ind w:left="290"/>
            </w:pPr>
            <w:r>
              <w:t>0.5 MW</w:t>
            </w:r>
            <w:r>
              <w:rPr>
                <w:vertAlign w:val="subscript"/>
              </w:rPr>
              <w:t>th</w:t>
            </w:r>
          </w:p>
        </w:tc>
        <w:tc>
          <w:tcPr>
            <w:tcW w:w="2037" w:type="dxa"/>
          </w:tcPr>
          <w:p w14:paraId="37C12384" w14:textId="77777777" w:rsidR="00FF42B6" w:rsidRDefault="00FF42B6" w:rsidP="003E4A91">
            <w:pPr>
              <w:pStyle w:val="cTableBody"/>
              <w:spacing w:before="0"/>
            </w:pPr>
            <w:r>
              <w:t>~$5,600</w:t>
            </w:r>
          </w:p>
        </w:tc>
      </w:tr>
      <w:tr w:rsidR="00FF42B6" w14:paraId="736509DE" w14:textId="77777777" w:rsidTr="005554BF">
        <w:tc>
          <w:tcPr>
            <w:tcW w:w="4167" w:type="dxa"/>
          </w:tcPr>
          <w:p w14:paraId="4733A341" w14:textId="77777777" w:rsidR="00FF42B6" w:rsidRDefault="00FF42B6" w:rsidP="003E4A91">
            <w:pPr>
              <w:pStyle w:val="cTableBody"/>
              <w:spacing w:before="0"/>
              <w:ind w:left="290"/>
            </w:pPr>
            <w:r>
              <w:t>1 MW</w:t>
            </w:r>
            <w:r>
              <w:rPr>
                <w:vertAlign w:val="subscript"/>
              </w:rPr>
              <w:t>th</w:t>
            </w:r>
          </w:p>
        </w:tc>
        <w:tc>
          <w:tcPr>
            <w:tcW w:w="2037" w:type="dxa"/>
          </w:tcPr>
          <w:p w14:paraId="230AE0F6" w14:textId="77777777" w:rsidR="00FF42B6" w:rsidRDefault="00FF42B6" w:rsidP="003E4A91">
            <w:pPr>
              <w:pStyle w:val="cTableBody"/>
              <w:spacing w:before="0"/>
            </w:pPr>
            <w:r>
              <w:t>~$11,300</w:t>
            </w:r>
          </w:p>
        </w:tc>
      </w:tr>
      <w:tr w:rsidR="00FF42B6" w14:paraId="62E7538B" w14:textId="77777777" w:rsidTr="005554BF">
        <w:tc>
          <w:tcPr>
            <w:tcW w:w="4167" w:type="dxa"/>
          </w:tcPr>
          <w:p w14:paraId="063874F3" w14:textId="77777777" w:rsidR="00FF42B6" w:rsidRDefault="00FF42B6" w:rsidP="003E4A91">
            <w:pPr>
              <w:pStyle w:val="cTableBody"/>
              <w:spacing w:before="0"/>
              <w:ind w:left="290"/>
            </w:pPr>
            <w:r>
              <w:t>3 MW</w:t>
            </w:r>
            <w:r>
              <w:rPr>
                <w:vertAlign w:val="subscript"/>
              </w:rPr>
              <w:t>th</w:t>
            </w:r>
          </w:p>
        </w:tc>
        <w:tc>
          <w:tcPr>
            <w:tcW w:w="2037" w:type="dxa"/>
          </w:tcPr>
          <w:p w14:paraId="3EEB45F3" w14:textId="77777777" w:rsidR="00FF42B6" w:rsidRDefault="00FF42B6" w:rsidP="003E4A91">
            <w:pPr>
              <w:pStyle w:val="cTableBody"/>
              <w:spacing w:before="0"/>
            </w:pPr>
            <w:r>
              <w:t>~$34,000</w:t>
            </w:r>
          </w:p>
        </w:tc>
      </w:tr>
      <w:tr w:rsidR="00FF42B6" w14:paraId="49A8C0ED" w14:textId="77777777" w:rsidTr="005554BF">
        <w:tc>
          <w:tcPr>
            <w:tcW w:w="4167" w:type="dxa"/>
          </w:tcPr>
          <w:p w14:paraId="5F7CD449" w14:textId="77777777" w:rsidR="00FF42B6" w:rsidRDefault="00FF42B6" w:rsidP="003E4A91">
            <w:pPr>
              <w:pStyle w:val="cTableBody"/>
              <w:spacing w:before="0"/>
              <w:ind w:left="290"/>
            </w:pPr>
            <w:r>
              <w:t>5 MW</w:t>
            </w:r>
            <w:r>
              <w:rPr>
                <w:vertAlign w:val="subscript"/>
              </w:rPr>
              <w:t>th</w:t>
            </w:r>
          </w:p>
        </w:tc>
        <w:tc>
          <w:tcPr>
            <w:tcW w:w="2037" w:type="dxa"/>
          </w:tcPr>
          <w:p w14:paraId="52E8D7B9" w14:textId="77777777" w:rsidR="00FF42B6" w:rsidRDefault="00FF42B6" w:rsidP="003E4A91">
            <w:pPr>
              <w:pStyle w:val="cTableBody"/>
              <w:spacing w:before="0"/>
            </w:pPr>
            <w:r>
              <w:t>~$56,000</w:t>
            </w:r>
          </w:p>
        </w:tc>
      </w:tr>
      <w:tr w:rsidR="00FF42B6" w14:paraId="5174F4EE" w14:textId="77777777" w:rsidTr="005554BF">
        <w:tc>
          <w:tcPr>
            <w:tcW w:w="4167" w:type="dxa"/>
          </w:tcPr>
          <w:p w14:paraId="69FE3370" w14:textId="77777777" w:rsidR="00FF42B6" w:rsidRDefault="00FF42B6" w:rsidP="003E4A91">
            <w:pPr>
              <w:pStyle w:val="cTableBody"/>
              <w:spacing w:before="0"/>
              <w:ind w:left="290"/>
            </w:pPr>
            <w:r>
              <w:t>10 MW</w:t>
            </w:r>
            <w:r>
              <w:rPr>
                <w:vertAlign w:val="subscript"/>
              </w:rPr>
              <w:t>th</w:t>
            </w:r>
          </w:p>
        </w:tc>
        <w:tc>
          <w:tcPr>
            <w:tcW w:w="2037" w:type="dxa"/>
          </w:tcPr>
          <w:p w14:paraId="58084CBE" w14:textId="77777777" w:rsidR="00FF42B6" w:rsidRDefault="00FF42B6" w:rsidP="003E4A91">
            <w:pPr>
              <w:pStyle w:val="cTableBody"/>
              <w:spacing w:before="0"/>
            </w:pPr>
            <w:r>
              <w:t>~$113,000</w:t>
            </w:r>
          </w:p>
        </w:tc>
      </w:tr>
    </w:tbl>
    <w:p w14:paraId="0EE53B7C" w14:textId="77777777" w:rsidR="00FF42B6" w:rsidRDefault="00FF42B6" w:rsidP="00FF42B6">
      <w:pPr>
        <w:rPr>
          <w:rFonts w:asciiTheme="majorHAnsi" w:eastAsia="Times New Roman" w:hAnsiTheme="majorHAnsi" w:cstheme="majorHAnsi"/>
          <w:szCs w:val="24"/>
        </w:rPr>
      </w:pPr>
      <w:r>
        <w:t>I would provision a prototype campus for roughly 5–10 MWth peak, but I doubt its long-term average needs to exceed roughly 2–3 MWth, because all 31 platform families won't be operating at maximum heat simultaneously.</w:t>
      </w:r>
    </w:p>
    <w:p w14:paraId="0B27C28A"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So, my central U.S. fuel budget would be only:</w:t>
      </w:r>
    </w:p>
    <w:p w14:paraId="0F5EEE58" w14:textId="77777777" w:rsidR="00FF42B6" w:rsidRDefault="00FF42B6" w:rsidP="007A7BAC">
      <w:pPr>
        <w:pStyle w:val="bblueindent"/>
      </w:pPr>
      <w:r>
        <w:t>~$30,000–$40,000/month of natural gas.</w:t>
      </w:r>
    </w:p>
    <w:p w14:paraId="47EA6103"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 xml:space="preserve">Even running at an average 3 MWth continuously for 18 months would consume only around </w:t>
      </w:r>
      <w:r>
        <w:rPr>
          <w:rFonts w:eastAsia="Times New Roman" w:cstheme="majorHAnsi"/>
          <w:b/>
          <w:bCs/>
          <w:szCs w:val="24"/>
        </w:rPr>
        <w:t>$0.6 million of gas</w:t>
      </w:r>
      <w:r>
        <w:rPr>
          <w:rFonts w:eastAsia="Times New Roman" w:cstheme="majorHAnsi"/>
          <w:szCs w:val="24"/>
        </w:rPr>
        <w:t>.</w:t>
      </w:r>
    </w:p>
    <w:p w14:paraId="05988F07" w14:textId="77777777" w:rsidR="00FF42B6" w:rsidRDefault="00FF42B6" w:rsidP="00FF42B6">
      <w:pPr>
        <w:pStyle w:val="Heading2"/>
        <w:spacing w:before="280"/>
      </w:pPr>
      <w:r>
        <w:t>7. China prototype fuel cost — coal</w:t>
      </w:r>
    </w:p>
    <w:p w14:paraId="48B3B857"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 xml:space="preserve">Chinese coal prices move considerably. A May 2026 market report put 5,500-kcal/kg Qinhuangdao thermal coal around </w:t>
      </w:r>
      <w:r>
        <w:rPr>
          <w:rFonts w:eastAsia="Times New Roman" w:cstheme="majorHAnsi"/>
          <w:b/>
          <w:bCs/>
          <w:szCs w:val="24"/>
        </w:rPr>
        <w:t>$122/t</w:t>
      </w:r>
      <w:r>
        <w:rPr>
          <w:rFonts w:eastAsia="Times New Roman" w:cstheme="majorHAnsi"/>
          <w:szCs w:val="24"/>
        </w:rPr>
        <w:t xml:space="preserve">, while prices have moved materially above and below that level. I would therefore use </w:t>
      </w:r>
      <w:r>
        <w:rPr>
          <w:rFonts w:eastAsia="Times New Roman" w:cstheme="majorHAnsi"/>
          <w:b/>
          <w:bCs/>
          <w:szCs w:val="24"/>
        </w:rPr>
        <w:t>$90–$120/t</w:t>
      </w:r>
      <w:r>
        <w:rPr>
          <w:rFonts w:eastAsia="Times New Roman" w:cstheme="majorHAnsi"/>
          <w:szCs w:val="24"/>
        </w:rPr>
        <w:t xml:space="preserve"> as a reasonable prototype-program sensitivity range rather than pretending today's spot quote will persist throughout a multiyear program.</w:t>
      </w:r>
    </w:p>
    <w:p w14:paraId="31B3AF4F"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 xml:space="preserve">5,500-kcal/kg coal contains approximately </w:t>
      </w:r>
      <w:r>
        <w:rPr>
          <w:rFonts w:eastAsia="Times New Roman" w:cstheme="majorHAnsi"/>
          <w:b/>
          <w:bCs/>
          <w:szCs w:val="24"/>
        </w:rPr>
        <w:t>6.39 MWhth/t</w:t>
      </w:r>
      <w:r>
        <w:rPr>
          <w:rFonts w:eastAsia="Times New Roman" w:cstheme="majorHAnsi"/>
          <w:szCs w:val="24"/>
        </w:rPr>
        <w:t>.</w:t>
      </w:r>
    </w:p>
    <w:p w14:paraId="55592B09"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 xml:space="preserve">Assuming an </w:t>
      </w:r>
      <w:r>
        <w:rPr>
          <w:rFonts w:eastAsia="Times New Roman" w:cstheme="majorHAnsi"/>
          <w:b/>
          <w:bCs/>
          <w:szCs w:val="24"/>
        </w:rPr>
        <w:t>85% useful-heater efficiency</w:t>
      </w:r>
      <w:r>
        <w:rPr>
          <w:rFonts w:eastAsia="Times New Roman" w:cstheme="majorHAnsi"/>
          <w:szCs w:val="24"/>
        </w:rPr>
        <w:t>, a tonne supplies approximately 5.43 MWh of useful test heat.</w:t>
      </w:r>
    </w:p>
    <w:p w14:paraId="58D4E118"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That produces:</w:t>
      </w:r>
    </w:p>
    <w:p w14:paraId="79CC33FA" w14:textId="77777777" w:rsidR="00FF42B6" w:rsidRPr="007A7BAC" w:rsidRDefault="00FF42B6" w:rsidP="007A7BAC">
      <w:pPr>
        <w:spacing w:before="280" w:after="280"/>
        <w:ind w:left="360"/>
        <w:rPr>
          <w:rFonts w:asciiTheme="majorHAnsi" w:eastAsia="Times New Roman" w:hAnsiTheme="majorHAnsi" w:cstheme="majorHAnsi"/>
          <w:szCs w:val="24"/>
        </w:rPr>
      </w:pPr>
      <w:r w:rsidRPr="007A7BAC">
        <w:rPr>
          <w:rFonts w:eastAsia="Times New Roman" w:cstheme="majorHAnsi"/>
          <w:szCs w:val="24"/>
        </w:rPr>
        <w:t>$17–22/MWh of useful heat at $90–120/t coal.</w:t>
      </w:r>
    </w:p>
    <w:p w14:paraId="29F2EAFE" w14:textId="77777777" w:rsidR="00FF42B6" w:rsidRDefault="00FF42B6" w:rsidP="00FF42B6">
      <w:pPr>
        <w:rPr>
          <w:rFonts w:asciiTheme="majorHAnsi" w:eastAsia="Times New Roman" w:hAnsiTheme="majorHAnsi" w:cstheme="majorHAnsi"/>
          <w:szCs w:val="24"/>
        </w:rPr>
      </w:pPr>
      <w:r>
        <w:rPr>
          <w:rFonts w:eastAsia="Times New Roman" w:cstheme="majorHAnsi"/>
          <w:szCs w:val="24"/>
        </w:rPr>
        <w:t>Therefore:</w:t>
      </w:r>
    </w:p>
    <w:tbl>
      <w:tblPr>
        <w:tblStyle w:val="gswTableStyle"/>
        <w:tblW w:w="5013" w:type="dxa"/>
        <w:tblLayout w:type="fixed"/>
        <w:tblLook w:val="04A0" w:firstRow="1" w:lastRow="0" w:firstColumn="1" w:lastColumn="0" w:noHBand="0" w:noVBand="1"/>
      </w:tblPr>
      <w:tblGrid>
        <w:gridCol w:w="2804"/>
        <w:gridCol w:w="2209"/>
      </w:tblGrid>
      <w:tr w:rsidR="00FF42B6" w:rsidRPr="005554BF" w14:paraId="4DE1B81B" w14:textId="77777777" w:rsidTr="005554BF">
        <w:trPr>
          <w:cnfStyle w:val="100000000000" w:firstRow="1" w:lastRow="0" w:firstColumn="0" w:lastColumn="0" w:oddVBand="0" w:evenVBand="0" w:oddHBand="0" w:evenHBand="0" w:firstRowFirstColumn="0" w:firstRowLastColumn="0" w:lastRowFirstColumn="0" w:lastRowLastColumn="0"/>
        </w:trPr>
        <w:tc>
          <w:tcPr>
            <w:tcW w:w="2803" w:type="dxa"/>
          </w:tcPr>
          <w:p w14:paraId="672DDEC6" w14:textId="77777777" w:rsidR="00FF42B6" w:rsidRPr="005554BF" w:rsidRDefault="00FF42B6" w:rsidP="005554BF">
            <w:pPr>
              <w:pStyle w:val="cTableHeader"/>
            </w:pPr>
            <w:r w:rsidRPr="005554BF">
              <w:lastRenderedPageBreak/>
              <w:t>Average useful heat supplied</w:t>
            </w:r>
          </w:p>
        </w:tc>
        <w:tc>
          <w:tcPr>
            <w:tcW w:w="2209" w:type="dxa"/>
          </w:tcPr>
          <w:p w14:paraId="65C83D3A" w14:textId="77777777" w:rsidR="00FF42B6" w:rsidRPr="005554BF" w:rsidRDefault="00FF42B6" w:rsidP="005554BF">
            <w:pPr>
              <w:pStyle w:val="cTableHeader"/>
            </w:pPr>
            <w:r w:rsidRPr="005554BF">
              <w:t>China coal fuel/month</w:t>
            </w:r>
          </w:p>
        </w:tc>
      </w:tr>
      <w:tr w:rsidR="00FF42B6" w14:paraId="1DE05282" w14:textId="77777777" w:rsidTr="005554BF">
        <w:tc>
          <w:tcPr>
            <w:tcW w:w="2803" w:type="dxa"/>
          </w:tcPr>
          <w:p w14:paraId="6760BC12" w14:textId="77777777" w:rsidR="00FF42B6" w:rsidRDefault="00FF42B6" w:rsidP="003E4A91">
            <w:pPr>
              <w:pStyle w:val="cTableBody"/>
              <w:spacing w:before="0"/>
            </w:pPr>
            <w:r>
              <w:t>0.5 MW</w:t>
            </w:r>
            <w:r>
              <w:rPr>
                <w:vertAlign w:val="subscript"/>
              </w:rPr>
              <w:t>th</w:t>
            </w:r>
          </w:p>
        </w:tc>
        <w:tc>
          <w:tcPr>
            <w:tcW w:w="2209" w:type="dxa"/>
          </w:tcPr>
          <w:p w14:paraId="051BFDB2" w14:textId="77777777" w:rsidR="00FF42B6" w:rsidRDefault="00FF42B6" w:rsidP="003E4A91">
            <w:pPr>
              <w:pStyle w:val="cTableBody"/>
              <w:spacing w:before="0"/>
            </w:pPr>
            <w:r>
              <w:t>~$6,000–8,000</w:t>
            </w:r>
          </w:p>
        </w:tc>
      </w:tr>
      <w:tr w:rsidR="00FF42B6" w14:paraId="39A1F2A6" w14:textId="77777777" w:rsidTr="005554BF">
        <w:tc>
          <w:tcPr>
            <w:tcW w:w="2803" w:type="dxa"/>
          </w:tcPr>
          <w:p w14:paraId="41CA0B96" w14:textId="77777777" w:rsidR="00FF42B6" w:rsidRDefault="00FF42B6" w:rsidP="003E4A91">
            <w:pPr>
              <w:pStyle w:val="cTableBody"/>
              <w:spacing w:before="0"/>
            </w:pPr>
            <w:r>
              <w:t>1 MW</w:t>
            </w:r>
            <w:r>
              <w:rPr>
                <w:vertAlign w:val="subscript"/>
              </w:rPr>
              <w:t>th</w:t>
            </w:r>
          </w:p>
        </w:tc>
        <w:tc>
          <w:tcPr>
            <w:tcW w:w="2209" w:type="dxa"/>
          </w:tcPr>
          <w:p w14:paraId="7F2B4278" w14:textId="77777777" w:rsidR="00FF42B6" w:rsidRDefault="00FF42B6" w:rsidP="003E4A91">
            <w:pPr>
              <w:pStyle w:val="cTableBody"/>
              <w:spacing w:before="0"/>
            </w:pPr>
            <w:r>
              <w:t>~$12,000–16,000</w:t>
            </w:r>
          </w:p>
        </w:tc>
      </w:tr>
      <w:tr w:rsidR="00FF42B6" w14:paraId="0943A9F6" w14:textId="77777777" w:rsidTr="005554BF">
        <w:tc>
          <w:tcPr>
            <w:tcW w:w="2803" w:type="dxa"/>
          </w:tcPr>
          <w:p w14:paraId="14E6AA4A" w14:textId="77777777" w:rsidR="00FF42B6" w:rsidRDefault="00FF42B6" w:rsidP="003E4A91">
            <w:pPr>
              <w:pStyle w:val="cTableBody"/>
              <w:spacing w:before="0"/>
            </w:pPr>
            <w:r>
              <w:t>3 MW</w:t>
            </w:r>
            <w:r>
              <w:rPr>
                <w:vertAlign w:val="subscript"/>
              </w:rPr>
              <w:t>th</w:t>
            </w:r>
          </w:p>
        </w:tc>
        <w:tc>
          <w:tcPr>
            <w:tcW w:w="2209" w:type="dxa"/>
          </w:tcPr>
          <w:p w14:paraId="701FA682" w14:textId="77777777" w:rsidR="00FF42B6" w:rsidRDefault="00FF42B6" w:rsidP="003E4A91">
            <w:pPr>
              <w:pStyle w:val="cTableBody"/>
              <w:spacing w:before="0"/>
            </w:pPr>
            <w:r>
              <w:t>~$36,000–49,000</w:t>
            </w:r>
          </w:p>
        </w:tc>
      </w:tr>
      <w:tr w:rsidR="00FF42B6" w14:paraId="2C9AEF7B" w14:textId="77777777" w:rsidTr="005554BF">
        <w:tc>
          <w:tcPr>
            <w:tcW w:w="2803" w:type="dxa"/>
          </w:tcPr>
          <w:p w14:paraId="03DC0907" w14:textId="77777777" w:rsidR="00FF42B6" w:rsidRDefault="00FF42B6" w:rsidP="003E4A91">
            <w:pPr>
              <w:pStyle w:val="cTableBody"/>
              <w:spacing w:before="0"/>
            </w:pPr>
            <w:r>
              <w:t>5 MW</w:t>
            </w:r>
            <w:r>
              <w:rPr>
                <w:vertAlign w:val="subscript"/>
              </w:rPr>
              <w:t>th</w:t>
            </w:r>
          </w:p>
        </w:tc>
        <w:tc>
          <w:tcPr>
            <w:tcW w:w="2209" w:type="dxa"/>
          </w:tcPr>
          <w:p w14:paraId="2B531009" w14:textId="77777777" w:rsidR="00FF42B6" w:rsidRDefault="00FF42B6" w:rsidP="003E4A91">
            <w:pPr>
              <w:pStyle w:val="cTableBody"/>
              <w:spacing w:before="0"/>
            </w:pPr>
            <w:r>
              <w:t>~$60,000–81,000</w:t>
            </w:r>
          </w:p>
        </w:tc>
      </w:tr>
      <w:tr w:rsidR="00FF42B6" w14:paraId="4F9C1606" w14:textId="77777777" w:rsidTr="005554BF">
        <w:tc>
          <w:tcPr>
            <w:tcW w:w="2803" w:type="dxa"/>
          </w:tcPr>
          <w:p w14:paraId="4EE1FCBA" w14:textId="77777777" w:rsidR="00FF42B6" w:rsidRDefault="00FF42B6" w:rsidP="003E4A91">
            <w:pPr>
              <w:pStyle w:val="cTableBody"/>
              <w:spacing w:before="0"/>
            </w:pPr>
            <w:r>
              <w:t>10 MW</w:t>
            </w:r>
            <w:r>
              <w:rPr>
                <w:vertAlign w:val="subscript"/>
              </w:rPr>
              <w:t>th</w:t>
            </w:r>
          </w:p>
        </w:tc>
        <w:tc>
          <w:tcPr>
            <w:tcW w:w="2209" w:type="dxa"/>
          </w:tcPr>
          <w:p w14:paraId="4EA94A81" w14:textId="77777777" w:rsidR="00FF42B6" w:rsidRDefault="00FF42B6" w:rsidP="003E4A91">
            <w:pPr>
              <w:pStyle w:val="cTableBody"/>
              <w:spacing w:before="0"/>
            </w:pPr>
            <w:r>
              <w:t>~$120,000–162,000</w:t>
            </w:r>
          </w:p>
        </w:tc>
      </w:tr>
    </w:tbl>
    <w:p w14:paraId="3205B1E2" w14:textId="77777777" w:rsidR="00FF42B6" w:rsidRDefault="00FF42B6" w:rsidP="00FF42B6">
      <w:pPr>
        <w:rPr>
          <w:rFonts w:asciiTheme="majorHAnsi" w:eastAsia="Times New Roman" w:hAnsiTheme="majorHAnsi" w:cstheme="majorHAnsi"/>
          <w:szCs w:val="24"/>
        </w:rPr>
      </w:pPr>
      <w:r>
        <w:rPr>
          <w:rFonts w:eastAsia="Times New Roman" w:cstheme="majorHAnsi"/>
          <w:szCs w:val="24"/>
        </w:rPr>
        <w:t>So, I would budget approximately:</w:t>
      </w:r>
    </w:p>
    <w:p w14:paraId="1F85EC71" w14:textId="77777777" w:rsidR="00FF42B6" w:rsidRDefault="00FF42B6" w:rsidP="007A7BAC">
      <w:pPr>
        <w:pStyle w:val="bblueindent"/>
      </w:pPr>
      <w:r>
        <w:t>$40,000–$50,000/month of coal for a 3-MW-average Chinese test facility.</w:t>
      </w:r>
    </w:p>
    <w:p w14:paraId="6FCC6D82"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 xml:space="preserve">Again, that is </w:t>
      </w:r>
      <w:r>
        <w:rPr>
          <w:rFonts w:eastAsia="Times New Roman" w:cstheme="majorHAnsi"/>
          <w:b/>
          <w:bCs/>
          <w:szCs w:val="24"/>
        </w:rPr>
        <w:t>fuel only</w:t>
      </w:r>
      <w:r>
        <w:rPr>
          <w:rFonts w:eastAsia="Times New Roman" w:cstheme="majorHAnsi"/>
          <w:szCs w:val="24"/>
        </w:rPr>
        <w:t>. Coal ash handling, particulate controls, SO₂/NOₓ controls, labor and permitting are separate.</w:t>
      </w:r>
    </w:p>
    <w:p w14:paraId="109218DA"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For a relatively small research facility, those coal-related balance-of-plant costs could actually be more bothersome than the cost of coal itself.</w:t>
      </w:r>
    </w:p>
    <w:p w14:paraId="4FD02A27" w14:textId="77777777" w:rsidR="00FF42B6" w:rsidRDefault="00FF42B6" w:rsidP="00FF42B6">
      <w:pPr>
        <w:pStyle w:val="Heading2"/>
        <w:spacing w:before="280"/>
      </w:pPr>
      <w:r>
        <w:t>8. Fuel is almost irrelevant to the overall R&amp;D budget</w:t>
      </w:r>
    </w:p>
    <w:p w14:paraId="7FEDF487"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This is perhaps the most useful finding.</w:t>
      </w:r>
    </w:p>
    <w:p w14:paraId="66CAE17E"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Take an aggressive case:</w:t>
      </w:r>
    </w:p>
    <w:p w14:paraId="103981C2" w14:textId="77777777" w:rsidR="00FF42B6" w:rsidRDefault="00FF42B6" w:rsidP="007A7BAC">
      <w:pPr>
        <w:pStyle w:val="bblueindent"/>
      </w:pPr>
      <w:r>
        <w:t>5 MWth average, 18 months of continuous operation.</w:t>
      </w:r>
    </w:p>
    <w:p w14:paraId="0933A0EF"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Approximate fuel expenditure:</w:t>
      </w:r>
    </w:p>
    <w:p w14:paraId="1CB19FCF" w14:textId="77777777" w:rsidR="00FF42B6" w:rsidRDefault="00FF42B6" w:rsidP="00B71A27">
      <w:pPr>
        <w:pStyle w:val="bblueindent"/>
        <w:spacing w:before="160" w:beforeAutospacing="0" w:after="160" w:afterAutospacing="0"/>
        <w:ind w:right="14"/>
      </w:pPr>
      <w:r>
        <w:t>USA natural gas: ~$1.0M.</w:t>
      </w:r>
    </w:p>
    <w:p w14:paraId="654C7767" w14:textId="77777777" w:rsidR="00FF42B6" w:rsidRDefault="00FF42B6" w:rsidP="00B71A27">
      <w:pPr>
        <w:pStyle w:val="bblueindent"/>
        <w:spacing w:before="160" w:beforeAutospacing="0" w:after="160" w:afterAutospacing="0"/>
        <w:ind w:right="14"/>
      </w:pPr>
      <w:r>
        <w:t>China coal: ~$1.1–1.5M.</w:t>
      </w:r>
    </w:p>
    <w:p w14:paraId="418D94E4"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Compare that with:</w:t>
      </w:r>
    </w:p>
    <w:p w14:paraId="6F95CCEF" w14:textId="77777777" w:rsidR="00FF42B6" w:rsidRDefault="00FF42B6" w:rsidP="007A7BAC">
      <w:pPr>
        <w:pStyle w:val="bblueindent"/>
      </w:pPr>
      <w:r>
        <w:t>$500M U.S. prototype program or</w:t>
      </w:r>
      <w:r>
        <w:br/>
        <w:t>$260M Chinese prototype program.</w:t>
      </w:r>
    </w:p>
    <w:p w14:paraId="60E3F26B"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 xml:space="preserve">Fuel is around </w:t>
      </w:r>
      <w:r>
        <w:rPr>
          <w:rFonts w:eastAsia="Times New Roman" w:cstheme="majorHAnsi"/>
          <w:b/>
          <w:bCs/>
          <w:szCs w:val="24"/>
        </w:rPr>
        <w:t>a few tenths of one percent of the R&amp;D cost</w:t>
      </w:r>
      <w:r>
        <w:rPr>
          <w:rFonts w:eastAsia="Times New Roman" w:cstheme="majorHAnsi"/>
          <w:szCs w:val="24"/>
        </w:rPr>
        <w:t>.</w:t>
      </w:r>
    </w:p>
    <w:p w14:paraId="23D7EDFB"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The expensive parts are:</w:t>
      </w:r>
    </w:p>
    <w:p w14:paraId="2DD17A5F" w14:textId="77777777" w:rsidR="00FF42B6" w:rsidRDefault="00FF42B6" w:rsidP="007A7BAC">
      <w:pPr>
        <w:pStyle w:val="bblueindent"/>
      </w:pPr>
      <w:r>
        <w:t>engineers, machines, steel, pipes, pumps, instrumentation, sensors, test stands, controls, repeated modifications, teardown inspections and personnel operating the experiments.</w:t>
      </w:r>
    </w:p>
    <w:p w14:paraId="58504D3A"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lastRenderedPageBreak/>
        <w:t xml:space="preserve">This means you should not scale the experiments down aggressively merely to save fuel. </w:t>
      </w:r>
      <w:r>
        <w:rPr>
          <w:rFonts w:eastAsia="Times New Roman" w:cstheme="majorHAnsi"/>
          <w:b/>
          <w:bCs/>
          <w:szCs w:val="24"/>
        </w:rPr>
        <w:t>Run them large enough to obtain trustworthy engineering data.</w:t>
      </w:r>
    </w:p>
    <w:p w14:paraId="1BAF8530" w14:textId="77777777" w:rsidR="00FF42B6" w:rsidRDefault="00FF42B6" w:rsidP="00FF42B6">
      <w:pPr>
        <w:pStyle w:val="Heading2"/>
        <w:spacing w:before="280"/>
      </w:pPr>
      <w:r>
        <w:t>What I would actually build</w:t>
      </w:r>
    </w:p>
    <w:p w14:paraId="3795311E"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Instead of saying "build everything at 1:100," I would establish one large test campus containing:</w:t>
      </w:r>
    </w:p>
    <w:p w14:paraId="718A2BF4" w14:textId="77777777" w:rsidR="00FF42B6" w:rsidRDefault="00FF42B6" w:rsidP="007A7BAC">
      <w:pPr>
        <w:pStyle w:val="bblueindent"/>
      </w:pPr>
      <w:r>
        <w:t>a 1:100 complete-yard demonstrator + a 1:10 transportation/construction yard + several MW of real thermal test loops + roughly 8–12 integrated pilot process skids plus subsystem rigs/test articles for the remaining platform families + a short full-voltage electrified-rail section + a scaled thermal-storage construction area.</w:t>
      </w:r>
    </w:p>
    <w:p w14:paraId="5CC52A99"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 xml:space="preserve">Most importantly, I would make the </w:t>
      </w:r>
      <w:r>
        <w:rPr>
          <w:rFonts w:eastAsia="Times New Roman" w:cstheme="majorHAnsi"/>
          <w:b/>
          <w:bCs/>
          <w:szCs w:val="24"/>
        </w:rPr>
        <w:t>interfaces full-scale or close to full-scale</w:t>
      </w:r>
      <w:r>
        <w:rPr>
          <w:rFonts w:eastAsia="Times New Roman" w:cstheme="majorHAnsi"/>
          <w:szCs w:val="24"/>
        </w:rPr>
        <w:t xml:space="preserve"> wherever the purpose is to learn about connectors, valves, welds, insulation, leaks, corrosion, maintenance or replacement.</w:t>
      </w:r>
    </w:p>
    <w:p w14:paraId="13000C45"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 xml:space="preserve">The research question isn't whether a pretty miniature factory works. It is whether, after </w:t>
      </w:r>
      <w:r>
        <w:rPr>
          <w:rFonts w:eastAsia="Times New Roman" w:cstheme="majorHAnsi"/>
          <w:b/>
          <w:bCs/>
          <w:szCs w:val="24"/>
        </w:rPr>
        <w:t>thousands of hours of hot operation</w:t>
      </w:r>
      <w:r>
        <w:rPr>
          <w:rFonts w:eastAsia="Times New Roman" w:cstheme="majorHAnsi"/>
          <w:szCs w:val="24"/>
        </w:rPr>
        <w:t>, you can disconnect Platform #12, inspect the pipe wall, measure corrosion and deposits, move the platform out on the transporter, insert another one, reconnect it, and resume operation economically.</w:t>
      </w:r>
    </w:p>
    <w:p w14:paraId="03E380FF" w14:textId="77777777" w:rsidR="00FF42B6" w:rsidRDefault="00FF42B6" w:rsidP="00FF42B6">
      <w:pPr>
        <w:spacing w:before="280" w:after="280"/>
        <w:rPr>
          <w:rFonts w:asciiTheme="majorHAnsi" w:eastAsia="Times New Roman" w:hAnsiTheme="majorHAnsi" w:cstheme="majorHAnsi"/>
          <w:szCs w:val="24"/>
        </w:rPr>
      </w:pPr>
      <w:r>
        <w:rPr>
          <w:rFonts w:eastAsia="Times New Roman" w:cstheme="majorHAnsi"/>
          <w:szCs w:val="24"/>
        </w:rPr>
        <w:t>That is the experiment that would make the later full-scale system believable.</w:t>
      </w:r>
    </w:p>
    <w:p w14:paraId="49D86684" w14:textId="77777777" w:rsidR="009C3A0E" w:rsidRDefault="00994197">
      <w:pPr>
        <w:pStyle w:val="Heading1"/>
        <w:spacing w:before="280" w:after="280"/>
      </w:pPr>
      <w:bookmarkStart w:id="41" w:name="_Toc237345529"/>
      <w:bookmarkStart w:id="42" w:name="_Toc237471110"/>
      <w:bookmarkStart w:id="43" w:name="_Toc238129765"/>
      <w:bookmarkStart w:id="44" w:name="_Toc238205552"/>
      <w:r>
        <w:lastRenderedPageBreak/>
        <w:t>Standards Development</w:t>
      </w:r>
      <w:bookmarkEnd w:id="41"/>
      <w:bookmarkEnd w:id="42"/>
      <w:bookmarkEnd w:id="43"/>
      <w:bookmarkEnd w:id="44"/>
    </w:p>
    <w:p w14:paraId="0DE1B26B" w14:textId="77777777" w:rsidR="009C3A0E" w:rsidRDefault="00994197">
      <w:pPr>
        <w:pStyle w:val="cUserPromptText"/>
        <w:spacing w:before="280" w:after="280"/>
      </w:pPr>
      <w:r>
        <w:rPr>
          <w:rStyle w:val="UserPromptHeadingChar"/>
        </w:rPr>
        <w:t xml:space="preserve">Prompt to AI: </w:t>
      </w:r>
      <w:r>
        <w:t>Companies need to make components for this system that fit together. Therefore, standards are needed that describe how everything described in this chat fits together mechanically, electrically, with heat, and with data communications. This applies to everything in this conversation. What standards are needed? Who might work on these (i.e. standards bodies)? How much might this cost? How long might this take?</w:t>
      </w:r>
    </w:p>
    <w:p w14:paraId="26866BE5" w14:textId="77777777" w:rsidR="009C3A0E" w:rsidRDefault="00994197">
      <w:pPr>
        <w:spacing w:before="280" w:after="280"/>
      </w:pPr>
      <w:r>
        <w:rPr>
          <w:b/>
          <w:color w:val="4F81BD"/>
          <w:u w:val="single"/>
        </w:rPr>
        <w:t>Response From AI:</w:t>
      </w:r>
    </w:p>
    <w:p w14:paraId="0DE5EC7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Yes. In this concept, the </w:t>
      </w:r>
      <w:r>
        <w:rPr>
          <w:rFonts w:eastAsia="Times New Roman" w:cstheme="majorHAnsi"/>
          <w:b/>
          <w:bCs/>
          <w:szCs w:val="24"/>
        </w:rPr>
        <w:t>interface standards may be almost as important as the machines themselves</w:t>
      </w:r>
      <w:r>
        <w:rPr>
          <w:rFonts w:eastAsia="Times New Roman" w:cstheme="majorHAnsi"/>
          <w:szCs w:val="24"/>
        </w:rPr>
        <w:t>. If one company builds a 12 m × 96 m heat-pump platform, another builds the transporter, another the underground tunnel, another the pipe manifold, and another the electrical system, they should be able to connect without redesigning the site.</w:t>
      </w:r>
    </w:p>
    <w:p w14:paraId="48AC39A9" w14:textId="77777777" w:rsidR="00123818" w:rsidRDefault="00994197">
      <w:pPr>
        <w:pStyle w:val="cSubject"/>
      </w:pPr>
      <w:r>
        <w:t>Budget relationship to Work Package 9</w:t>
      </w:r>
    </w:p>
    <w:p w14:paraId="122CF259" w14:textId="77777777" w:rsidR="00123818" w:rsidRDefault="00994197" w:rsidP="006C09B4">
      <w:r>
        <w:t>Work Package 9 controls $55M for standards, interoperability, the digital thread, and conformance testing. The U.S./China estimates later in this chapter are external sensitivity ranges for comparable standards work, not extra line items. Additional spending requires an approved reserve release or a documented reallocation under the common change-control rules.</w:t>
      </w:r>
    </w:p>
    <w:p w14:paraId="6159EDA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would </w:t>
      </w:r>
      <w:r>
        <w:rPr>
          <w:rFonts w:eastAsia="Times New Roman" w:cstheme="majorHAnsi"/>
          <w:b/>
          <w:bCs/>
          <w:szCs w:val="24"/>
        </w:rPr>
        <w:t>not create new standards for things that already have mature standards</w:t>
      </w:r>
      <w:r>
        <w:rPr>
          <w:rFonts w:eastAsia="Times New Roman" w:cstheme="majorHAnsi"/>
          <w:szCs w:val="24"/>
        </w:rPr>
        <w:t xml:space="preserve">. For example, ASME B31.3 already covers process piping; ASME pressure-vessel rules already exist; China has GB/T 20801 for industrial pressure piping and GB/T 150 for pressure vessels. The new standards should concentrate on the </w:t>
      </w:r>
      <w:r>
        <w:rPr>
          <w:rFonts w:eastAsia="Times New Roman" w:cstheme="majorHAnsi"/>
          <w:b/>
          <w:bCs/>
          <w:szCs w:val="24"/>
        </w:rPr>
        <w:t>interfaces unique to your giant modular industrial-site concept</w:t>
      </w:r>
      <w:r>
        <w:rPr>
          <w:rFonts w:eastAsia="Times New Roman" w:cstheme="majorHAnsi"/>
          <w:szCs w:val="24"/>
        </w:rPr>
        <w:t>.</w:t>
      </w:r>
    </w:p>
    <w:p w14:paraId="51FF687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My rough estimate is that the complete standards program would involve about </w:t>
      </w:r>
      <w:r>
        <w:rPr>
          <w:rFonts w:eastAsia="Times New Roman" w:cstheme="majorHAnsi"/>
          <w:b/>
          <w:bCs/>
          <w:szCs w:val="24"/>
        </w:rPr>
        <w:t>18–22 new interface standards/specifications</w:t>
      </w:r>
      <w:r>
        <w:rPr>
          <w:rFonts w:eastAsia="Times New Roman" w:cstheme="majorHAnsi"/>
          <w:szCs w:val="24"/>
        </w:rPr>
        <w:t xml:space="preserve">, cost roughly </w:t>
      </w:r>
      <w:r>
        <w:rPr>
          <w:rFonts w:eastAsia="Times New Roman" w:cstheme="majorHAnsi"/>
          <w:b/>
          <w:bCs/>
          <w:szCs w:val="24"/>
        </w:rPr>
        <w:t>$60–100 million in the U.S. or $35–60 million in China</w:t>
      </w:r>
      <w:r>
        <w:rPr>
          <w:rFonts w:eastAsia="Times New Roman" w:cstheme="majorHAnsi"/>
          <w:szCs w:val="24"/>
        </w:rPr>
        <w:t xml:space="preserve">, incremental to the prototype program we discussed, and require roughly </w:t>
      </w:r>
      <w:r>
        <w:rPr>
          <w:rFonts w:eastAsia="Times New Roman" w:cstheme="majorHAnsi"/>
          <w:b/>
          <w:bCs/>
          <w:szCs w:val="24"/>
        </w:rPr>
        <w:t>18 months to get a usable first-generation interface specification, 3 years for mature national standards, and 4–5 years for broad international ISO/IEC standards</w:t>
      </w:r>
      <w:r>
        <w:rPr>
          <w:rFonts w:eastAsia="Times New Roman" w:cstheme="majorHAnsi"/>
          <w:szCs w:val="24"/>
        </w:rPr>
        <w:t>.</w:t>
      </w:r>
    </w:p>
    <w:p w14:paraId="4E57E25E" w14:textId="77777777" w:rsidR="009C3A0E" w:rsidRDefault="00994197">
      <w:pPr>
        <w:pStyle w:val="Heading2"/>
        <w:spacing w:before="280"/>
      </w:pPr>
      <w:r>
        <w:t>I would organize the standards into three layers</w:t>
      </w:r>
    </w:p>
    <w:p w14:paraId="1C940605" w14:textId="77777777" w:rsidR="009C3A0E" w:rsidRDefault="00994197" w:rsidP="007A7BAC">
      <w:pPr>
        <w:pStyle w:val="blist-bullets"/>
        <w:rPr>
          <w:rFonts w:asciiTheme="majorHAnsi" w:hAnsiTheme="majorHAnsi"/>
        </w:rPr>
      </w:pPr>
      <w:r>
        <w:rPr>
          <w:b/>
          <w:bCs/>
        </w:rPr>
        <w:t>Layer 1 — existing engineering codes.</w:t>
      </w:r>
      <w:r>
        <w:t xml:space="preserve"> These specify how a pipe, pressure vessel, motor, crane, weld, electrical enclosure, etc. is safely designed.</w:t>
      </w:r>
    </w:p>
    <w:p w14:paraId="75B7A76F" w14:textId="77777777" w:rsidR="009C3A0E" w:rsidRDefault="00994197" w:rsidP="007A7BAC">
      <w:pPr>
        <w:pStyle w:val="blist-bullets"/>
        <w:rPr>
          <w:rFonts w:asciiTheme="majorHAnsi" w:hAnsiTheme="majorHAnsi"/>
        </w:rPr>
      </w:pPr>
      <w:r>
        <w:rPr>
          <w:b/>
          <w:bCs/>
        </w:rPr>
        <w:t>Layer 2 — new common interfaces.</w:t>
      </w:r>
      <w:r>
        <w:t xml:space="preserve"> These specify exactly where the pipe connection is, where the support pad is, what voltage is supplied, what data messages mean, how the transporter aligns, and so forth.</w:t>
      </w:r>
    </w:p>
    <w:p w14:paraId="219F4151" w14:textId="77777777" w:rsidR="009C3A0E" w:rsidRDefault="00994197" w:rsidP="007A7BAC">
      <w:pPr>
        <w:pStyle w:val="blist-bullets"/>
        <w:rPr>
          <w:rFonts w:asciiTheme="majorHAnsi" w:hAnsiTheme="majorHAnsi"/>
        </w:rPr>
      </w:pPr>
      <w:r>
        <w:rPr>
          <w:b/>
          <w:bCs/>
        </w:rPr>
        <w:lastRenderedPageBreak/>
        <w:t>Layer 3 — equipment profiles.</w:t>
      </w:r>
      <w:r>
        <w:t xml:space="preserve"> A heat-pump platform, ammonia platform, tank-building machine, conveyor module, etc. would have a profile saying which standardized interfaces it uses.</w:t>
      </w:r>
    </w:p>
    <w:p w14:paraId="75997AC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approach prevents the standards effort from trying to reinvent all of industrial engineering.</w:t>
      </w:r>
    </w:p>
    <w:p w14:paraId="1C08AAB2" w14:textId="77777777" w:rsidR="009C3A0E" w:rsidRDefault="00994197">
      <w:pPr>
        <w:pStyle w:val="Heading2"/>
        <w:spacing w:before="0" w:after="0"/>
      </w:pPr>
      <w:r>
        <w:t>The new standards I think you need</w:t>
      </w:r>
    </w:p>
    <w:tbl>
      <w:tblPr>
        <w:tblStyle w:val="gswTableStyle"/>
        <w:tblW w:w="10152" w:type="dxa"/>
        <w:tblLayout w:type="fixed"/>
        <w:tblLook w:val="04A0" w:firstRow="1" w:lastRow="0" w:firstColumn="1" w:lastColumn="0" w:noHBand="0" w:noVBand="1"/>
      </w:tblPr>
      <w:tblGrid>
        <w:gridCol w:w="2599"/>
        <w:gridCol w:w="4765"/>
        <w:gridCol w:w="2788"/>
      </w:tblGrid>
      <w:tr w:rsidR="009C3A0E" w14:paraId="66E491A8" w14:textId="77777777" w:rsidTr="009C3A0E">
        <w:trPr>
          <w:cnfStyle w:val="100000000000" w:firstRow="1" w:lastRow="0" w:firstColumn="0" w:lastColumn="0" w:oddVBand="0" w:evenVBand="0" w:oddHBand="0" w:evenHBand="0" w:firstRowFirstColumn="0" w:firstRowLastColumn="0" w:lastRowFirstColumn="0" w:lastRowLastColumn="0"/>
          <w:tblHeader/>
        </w:trPr>
        <w:tc>
          <w:tcPr>
            <w:tcW w:w="2599" w:type="dxa"/>
          </w:tcPr>
          <w:p w14:paraId="13892657" w14:textId="77777777" w:rsidR="009C3A0E" w:rsidRDefault="00994197" w:rsidP="00837532">
            <w:pPr>
              <w:pStyle w:val="cTableHeader"/>
              <w:keepNext/>
              <w:spacing w:before="0" w:after="0"/>
            </w:pPr>
            <w:r>
              <w:t>Proposed standard</w:t>
            </w:r>
          </w:p>
        </w:tc>
        <w:tc>
          <w:tcPr>
            <w:tcW w:w="4765" w:type="dxa"/>
          </w:tcPr>
          <w:p w14:paraId="0F908983" w14:textId="77777777" w:rsidR="009C3A0E" w:rsidRDefault="00994197" w:rsidP="00837532">
            <w:pPr>
              <w:pStyle w:val="cTableHeader"/>
              <w:keepNext/>
              <w:spacing w:before="0" w:after="0"/>
            </w:pPr>
            <w:r>
              <w:t>What it would define</w:t>
            </w:r>
          </w:p>
        </w:tc>
        <w:tc>
          <w:tcPr>
            <w:tcW w:w="2788" w:type="dxa"/>
          </w:tcPr>
          <w:p w14:paraId="36F81904" w14:textId="77777777" w:rsidR="009C3A0E" w:rsidRDefault="00994197" w:rsidP="00837532">
            <w:pPr>
              <w:pStyle w:val="cTableHeader"/>
              <w:keepNext/>
              <w:spacing w:before="0" w:after="0"/>
            </w:pPr>
            <w:r>
              <w:t>Important existing standards to build upon</w:t>
            </w:r>
          </w:p>
        </w:tc>
      </w:tr>
      <w:tr w:rsidR="009C3A0E" w14:paraId="0726EA0E" w14:textId="77777777" w:rsidTr="009C3A0E">
        <w:tc>
          <w:tcPr>
            <w:tcW w:w="2599" w:type="dxa"/>
          </w:tcPr>
          <w:p w14:paraId="69B4C6C0" w14:textId="77777777" w:rsidR="009C3A0E" w:rsidRDefault="00994197" w:rsidP="00837532">
            <w:pPr>
              <w:pStyle w:val="cTableBody"/>
              <w:keepNext/>
              <w:spacing w:before="0" w:beforeAutospacing="0" w:afterAutospacing="0"/>
            </w:pPr>
            <w:r>
              <w:t>1. Overall System Architecture</w:t>
            </w:r>
          </w:p>
        </w:tc>
        <w:tc>
          <w:tcPr>
            <w:tcW w:w="4765" w:type="dxa"/>
          </w:tcPr>
          <w:p w14:paraId="5739A318" w14:textId="77777777" w:rsidR="009C3A0E" w:rsidRDefault="00994197" w:rsidP="00837532">
            <w:pPr>
              <w:pStyle w:val="cTableBody"/>
              <w:keepNext/>
              <w:spacing w:before="0" w:beforeAutospacing="0" w:afterAutospacing="0"/>
            </w:pPr>
            <w:r>
              <w:t>Vocabulary; module classes; system boundaries; common coordinate system; hierarchy of interfaces</w:t>
            </w:r>
          </w:p>
        </w:tc>
        <w:tc>
          <w:tcPr>
            <w:tcW w:w="2788" w:type="dxa"/>
          </w:tcPr>
          <w:p w14:paraId="5932A669" w14:textId="77777777" w:rsidR="009C3A0E" w:rsidRDefault="00994197" w:rsidP="00837532">
            <w:pPr>
              <w:pStyle w:val="cTableBody"/>
              <w:keepNext/>
              <w:spacing w:before="0" w:beforeAutospacing="0" w:afterAutospacing="0"/>
            </w:pPr>
            <w:r>
              <w:t>ISO industrial automation/system-integration work</w:t>
            </w:r>
          </w:p>
        </w:tc>
      </w:tr>
      <w:tr w:rsidR="009C3A0E" w14:paraId="5338B810" w14:textId="77777777" w:rsidTr="009C3A0E">
        <w:tc>
          <w:tcPr>
            <w:tcW w:w="2599" w:type="dxa"/>
          </w:tcPr>
          <w:p w14:paraId="7AEDE1BD" w14:textId="77777777" w:rsidR="009C3A0E" w:rsidRDefault="00994197" w:rsidP="00837532">
            <w:pPr>
              <w:pStyle w:val="cTableBody"/>
              <w:keepNext/>
              <w:spacing w:before="0" w:beforeAutospacing="0" w:afterAutospacing="0"/>
            </w:pPr>
            <w:r>
              <w:t>2. Giant Module Dimensional Standard</w:t>
            </w:r>
          </w:p>
        </w:tc>
        <w:tc>
          <w:tcPr>
            <w:tcW w:w="4765" w:type="dxa"/>
          </w:tcPr>
          <w:p w14:paraId="12FA1AE1" w14:textId="77777777" w:rsidR="009C3A0E" w:rsidRDefault="00994197" w:rsidP="00837532">
            <w:pPr>
              <w:pStyle w:val="cTableBody"/>
              <w:keepNext/>
              <w:spacing w:before="0" w:beforeAutospacing="0" w:afterAutospacing="0"/>
            </w:pPr>
            <w:r>
              <w:t>12 × 24, 12 × 48, 12 × 72, 12 × 96 m envelopes; allowable overhangs; heights; weight classes; CG limits</w:t>
            </w:r>
          </w:p>
        </w:tc>
        <w:tc>
          <w:tcPr>
            <w:tcW w:w="2788" w:type="dxa"/>
          </w:tcPr>
          <w:p w14:paraId="1FE5F019" w14:textId="77777777" w:rsidR="009C3A0E" w:rsidRDefault="00994197" w:rsidP="00837532">
            <w:pPr>
              <w:pStyle w:val="cTableBody"/>
              <w:keepNext/>
              <w:spacing w:before="0" w:beforeAutospacing="0" w:afterAutospacing="0"/>
            </w:pPr>
            <w:r>
              <w:t>New standard</w:t>
            </w:r>
          </w:p>
        </w:tc>
      </w:tr>
      <w:tr w:rsidR="009C3A0E" w14:paraId="4AAA0158" w14:textId="77777777" w:rsidTr="009C3A0E">
        <w:tc>
          <w:tcPr>
            <w:tcW w:w="2599" w:type="dxa"/>
          </w:tcPr>
          <w:p w14:paraId="41FA1481" w14:textId="77777777" w:rsidR="009C3A0E" w:rsidRDefault="00994197">
            <w:pPr>
              <w:pStyle w:val="cTableBody"/>
              <w:spacing w:before="0"/>
            </w:pPr>
            <w:r>
              <w:t>3. Module Structural Interface</w:t>
            </w:r>
          </w:p>
        </w:tc>
        <w:tc>
          <w:tcPr>
            <w:tcW w:w="4765" w:type="dxa"/>
          </w:tcPr>
          <w:p w14:paraId="31F178C6" w14:textId="77777777" w:rsidR="009C3A0E" w:rsidRDefault="00994197">
            <w:pPr>
              <w:pStyle w:val="cTableBody"/>
              <w:spacing w:before="0"/>
            </w:pPr>
            <w:r>
              <w:t>Standard support feet, hard points, lifting points, jacking points, tiedowns, structural load paths</w:t>
            </w:r>
          </w:p>
        </w:tc>
        <w:tc>
          <w:tcPr>
            <w:tcW w:w="2788" w:type="dxa"/>
          </w:tcPr>
          <w:p w14:paraId="17B30A97" w14:textId="77777777" w:rsidR="009C3A0E" w:rsidRDefault="00994197">
            <w:pPr>
              <w:pStyle w:val="cTableBody"/>
              <w:spacing w:before="0"/>
            </w:pPr>
            <w:r>
              <w:t>AISC/structural standards; ASME BTH/B30 for lifting</w:t>
            </w:r>
          </w:p>
        </w:tc>
      </w:tr>
      <w:tr w:rsidR="009C3A0E" w14:paraId="32AE4856" w14:textId="77777777" w:rsidTr="009C3A0E">
        <w:tc>
          <w:tcPr>
            <w:tcW w:w="2599" w:type="dxa"/>
          </w:tcPr>
          <w:p w14:paraId="77027989" w14:textId="77777777" w:rsidR="009C3A0E" w:rsidRDefault="00994197">
            <w:pPr>
              <w:pStyle w:val="cTableBody"/>
              <w:spacing w:before="0"/>
            </w:pPr>
            <w:r>
              <w:t>4. Platform-Bay Docking Standard</w:t>
            </w:r>
          </w:p>
        </w:tc>
        <w:tc>
          <w:tcPr>
            <w:tcW w:w="4765" w:type="dxa"/>
          </w:tcPr>
          <w:p w14:paraId="34FD848A" w14:textId="77777777" w:rsidR="009C3A0E" w:rsidRDefault="00994197">
            <w:pPr>
              <w:pStyle w:val="cTableBody"/>
              <w:spacing w:before="0"/>
            </w:pPr>
            <w:r>
              <w:t>Exact coordinates of supports; alignment pins; mechanical locks; tolerances; automatic docking</w:t>
            </w:r>
          </w:p>
        </w:tc>
        <w:tc>
          <w:tcPr>
            <w:tcW w:w="2788" w:type="dxa"/>
          </w:tcPr>
          <w:p w14:paraId="7CD28110" w14:textId="77777777" w:rsidR="009C3A0E" w:rsidRDefault="00994197">
            <w:pPr>
              <w:pStyle w:val="cTableBody"/>
              <w:spacing w:before="0"/>
            </w:pPr>
            <w:r>
              <w:t>New standard</w:t>
            </w:r>
          </w:p>
        </w:tc>
      </w:tr>
      <w:tr w:rsidR="009C3A0E" w14:paraId="3D43FCA5" w14:textId="77777777" w:rsidTr="009C3A0E">
        <w:tc>
          <w:tcPr>
            <w:tcW w:w="2599" w:type="dxa"/>
          </w:tcPr>
          <w:p w14:paraId="6319D917" w14:textId="77777777" w:rsidR="009C3A0E" w:rsidRDefault="00994197">
            <w:pPr>
              <w:pStyle w:val="cTableBody"/>
              <w:spacing w:before="0"/>
            </w:pPr>
            <w:r>
              <w:t>5. Double-Rail Transportation Standard</w:t>
            </w:r>
          </w:p>
        </w:tc>
        <w:tc>
          <w:tcPr>
            <w:tcW w:w="4765" w:type="dxa"/>
          </w:tcPr>
          <w:p w14:paraId="71AA3CFD" w14:textId="77777777" w:rsidR="009C3A0E" w:rsidRDefault="00994197">
            <w:pPr>
              <w:pStyle w:val="cTableBody"/>
              <w:spacing w:before="0"/>
            </w:pPr>
            <w:r>
              <w:t>Four-rail geometry, gauge, rail loads, curves, switches, braking, coupling, transporter geometry</w:t>
            </w:r>
          </w:p>
        </w:tc>
        <w:tc>
          <w:tcPr>
            <w:tcW w:w="2788" w:type="dxa"/>
          </w:tcPr>
          <w:p w14:paraId="2AF2BCDC" w14:textId="77777777" w:rsidR="009C3A0E" w:rsidRDefault="00994197">
            <w:pPr>
              <w:pStyle w:val="cTableBody"/>
              <w:spacing w:before="0"/>
            </w:pPr>
            <w:r>
              <w:t>ISO/TC 269 railway standards</w:t>
            </w:r>
          </w:p>
        </w:tc>
      </w:tr>
      <w:tr w:rsidR="009C3A0E" w14:paraId="7D1916AB" w14:textId="77777777" w:rsidTr="009C3A0E">
        <w:tc>
          <w:tcPr>
            <w:tcW w:w="2599" w:type="dxa"/>
          </w:tcPr>
          <w:p w14:paraId="74400CAC" w14:textId="77777777" w:rsidR="009C3A0E" w:rsidRDefault="00994197">
            <w:pPr>
              <w:pStyle w:val="cTableBody"/>
              <w:spacing w:before="0"/>
            </w:pPr>
            <w:r>
              <w:t>6. Platform Installation/Removal Standard</w:t>
            </w:r>
          </w:p>
        </w:tc>
        <w:tc>
          <w:tcPr>
            <w:tcW w:w="4765" w:type="dxa"/>
          </w:tcPr>
          <w:p w14:paraId="58330E4E" w14:textId="77777777" w:rsidR="009C3A0E" w:rsidRDefault="00994197">
            <w:pPr>
              <w:pStyle w:val="cTableBody"/>
              <w:spacing w:before="0"/>
            </w:pPr>
            <w:r>
              <w:t>How a transporter brings a module in, transfers load to permanent supports, disconnects and removes it</w:t>
            </w:r>
          </w:p>
        </w:tc>
        <w:tc>
          <w:tcPr>
            <w:tcW w:w="2788" w:type="dxa"/>
          </w:tcPr>
          <w:p w14:paraId="39B8AEDD" w14:textId="77777777" w:rsidR="009C3A0E" w:rsidRDefault="00994197">
            <w:pPr>
              <w:pStyle w:val="cTableBody"/>
              <w:spacing w:before="0"/>
            </w:pPr>
            <w:r>
              <w:t>New standard</w:t>
            </w:r>
          </w:p>
        </w:tc>
      </w:tr>
      <w:tr w:rsidR="009C3A0E" w14:paraId="0B10EE39" w14:textId="77777777" w:rsidTr="009C3A0E">
        <w:tc>
          <w:tcPr>
            <w:tcW w:w="2599" w:type="dxa"/>
          </w:tcPr>
          <w:p w14:paraId="46879BC7" w14:textId="77777777" w:rsidR="009C3A0E" w:rsidRDefault="00994197">
            <w:pPr>
              <w:pStyle w:val="cTableBody"/>
              <w:spacing w:before="0"/>
            </w:pPr>
            <w:r>
              <w:t>7. Giant Lifting/Gantry Interface</w:t>
            </w:r>
          </w:p>
        </w:tc>
        <w:tc>
          <w:tcPr>
            <w:tcW w:w="4765" w:type="dxa"/>
          </w:tcPr>
          <w:p w14:paraId="5B6FEC4B" w14:textId="77777777" w:rsidR="009C3A0E" w:rsidRDefault="00994197">
            <w:pPr>
              <w:pStyle w:val="cTableBody"/>
              <w:spacing w:before="0"/>
            </w:pPr>
            <w:r>
              <w:t>Standard lift points, spreader/truss interfaces, load monitoring and handling procedures</w:t>
            </w:r>
          </w:p>
        </w:tc>
        <w:tc>
          <w:tcPr>
            <w:tcW w:w="2788" w:type="dxa"/>
          </w:tcPr>
          <w:p w14:paraId="6FC8F2A1" w14:textId="77777777" w:rsidR="009C3A0E" w:rsidRDefault="00994197">
            <w:pPr>
              <w:pStyle w:val="cTableBody"/>
              <w:spacing w:before="0"/>
            </w:pPr>
            <w:r>
              <w:t>ASME B30/BTH</w:t>
            </w:r>
          </w:p>
        </w:tc>
      </w:tr>
      <w:tr w:rsidR="009C3A0E" w14:paraId="77B7E02F" w14:textId="77777777" w:rsidTr="009C3A0E">
        <w:tc>
          <w:tcPr>
            <w:tcW w:w="2599" w:type="dxa"/>
          </w:tcPr>
          <w:p w14:paraId="238FAB32" w14:textId="77777777" w:rsidR="009C3A0E" w:rsidRDefault="00994197">
            <w:pPr>
              <w:pStyle w:val="cTableBody"/>
              <w:spacing w:before="0"/>
            </w:pPr>
            <w:r>
              <w:t>8. Process-Pipe Interface</w:t>
            </w:r>
          </w:p>
        </w:tc>
        <w:tc>
          <w:tcPr>
            <w:tcW w:w="4765" w:type="dxa"/>
          </w:tcPr>
          <w:p w14:paraId="59A75044" w14:textId="77777777" w:rsidR="009C3A0E" w:rsidRDefault="00994197">
            <w:pPr>
              <w:pStyle w:val="cTableBody"/>
              <w:spacing w:before="0"/>
            </w:pPr>
            <w:r>
              <w:t>Standard positions, diameters/classes, flange types, double isolation, purge/drain, leak detection</w:t>
            </w:r>
          </w:p>
        </w:tc>
        <w:tc>
          <w:tcPr>
            <w:tcW w:w="2788" w:type="dxa"/>
          </w:tcPr>
          <w:p w14:paraId="02BF15E7" w14:textId="77777777" w:rsidR="009C3A0E" w:rsidRDefault="00994197">
            <w:pPr>
              <w:pStyle w:val="cTableBody"/>
              <w:spacing w:before="0"/>
            </w:pPr>
            <w:r>
              <w:t>ASME B31.3/B16; China GB/T 20801</w:t>
            </w:r>
          </w:p>
        </w:tc>
      </w:tr>
      <w:tr w:rsidR="009C3A0E" w14:paraId="4AEC63EC" w14:textId="77777777" w:rsidTr="009C3A0E">
        <w:tc>
          <w:tcPr>
            <w:tcW w:w="2599" w:type="dxa"/>
          </w:tcPr>
          <w:p w14:paraId="64205DCA" w14:textId="77777777" w:rsidR="009C3A0E" w:rsidRDefault="00994197">
            <w:pPr>
              <w:pStyle w:val="cTableBody"/>
              <w:spacing w:before="0"/>
            </w:pPr>
            <w:r>
              <w:t>9. Process-Material Manifold Standard</w:t>
            </w:r>
          </w:p>
        </w:tc>
        <w:tc>
          <w:tcPr>
            <w:tcW w:w="4765" w:type="dxa"/>
          </w:tcPr>
          <w:p w14:paraId="48BB02BF" w14:textId="77777777" w:rsidR="009C3A0E" w:rsidRDefault="00994197">
            <w:pPr>
              <w:pStyle w:val="cTableBody"/>
              <w:spacing w:before="0"/>
            </w:pPr>
            <w:r>
              <w:t>How a platform identifies and connects feedstocks, products, gases, slurries and return streams</w:t>
            </w:r>
          </w:p>
        </w:tc>
        <w:tc>
          <w:tcPr>
            <w:tcW w:w="2788" w:type="dxa"/>
          </w:tcPr>
          <w:p w14:paraId="49653699" w14:textId="77777777" w:rsidR="009C3A0E" w:rsidRDefault="00994197">
            <w:pPr>
              <w:pStyle w:val="cTableBody"/>
              <w:spacing w:before="0"/>
            </w:pPr>
            <w:r>
              <w:t>New standard using existing piping codes</w:t>
            </w:r>
          </w:p>
        </w:tc>
      </w:tr>
      <w:tr w:rsidR="009C3A0E" w14:paraId="6710BC7D" w14:textId="77777777" w:rsidTr="009C3A0E">
        <w:tc>
          <w:tcPr>
            <w:tcW w:w="2599" w:type="dxa"/>
          </w:tcPr>
          <w:p w14:paraId="69C2347E" w14:textId="77777777" w:rsidR="009C3A0E" w:rsidRDefault="00994197">
            <w:pPr>
              <w:pStyle w:val="cTableBody"/>
              <w:spacing w:before="0"/>
            </w:pPr>
            <w:r>
              <w:t>10. Nuclear/Industrial Heat Interface</w:t>
            </w:r>
          </w:p>
        </w:tc>
        <w:tc>
          <w:tcPr>
            <w:tcW w:w="4765" w:type="dxa"/>
          </w:tcPr>
          <w:p w14:paraId="5A64A4DB" w14:textId="77777777" w:rsidR="009C3A0E" w:rsidRDefault="00994197">
            <w:pPr>
              <w:pStyle w:val="cTableBody"/>
              <w:spacing w:before="0"/>
            </w:pPr>
            <w:r>
              <w:t>Standard heat grades, temperature/pressure ranges, supply/return, isolation loop, metering, thermal expansion</w:t>
            </w:r>
          </w:p>
        </w:tc>
        <w:tc>
          <w:tcPr>
            <w:tcW w:w="2788" w:type="dxa"/>
          </w:tcPr>
          <w:p w14:paraId="621552A7" w14:textId="77777777" w:rsidR="009C3A0E" w:rsidRDefault="00994197">
            <w:pPr>
              <w:pStyle w:val="cTableBody"/>
              <w:spacing w:before="0"/>
            </w:pPr>
            <w:r>
              <w:t>ASME B31.1/B31.3 and heat-exchanger codes</w:t>
            </w:r>
          </w:p>
        </w:tc>
      </w:tr>
      <w:tr w:rsidR="009C3A0E" w14:paraId="7193B963" w14:textId="77777777" w:rsidTr="009C3A0E">
        <w:tc>
          <w:tcPr>
            <w:tcW w:w="2599" w:type="dxa"/>
          </w:tcPr>
          <w:p w14:paraId="081BEFDD" w14:textId="77777777" w:rsidR="009C3A0E" w:rsidRDefault="00994197">
            <w:pPr>
              <w:pStyle w:val="cTableBody"/>
              <w:spacing w:before="0"/>
            </w:pPr>
            <w:r>
              <w:t>11. Site Utility Interface</w:t>
            </w:r>
          </w:p>
        </w:tc>
        <w:tc>
          <w:tcPr>
            <w:tcW w:w="4765" w:type="dxa"/>
          </w:tcPr>
          <w:p w14:paraId="32CDACB4" w14:textId="77777777" w:rsidR="009C3A0E" w:rsidRDefault="00994197">
            <w:pPr>
              <w:pStyle w:val="cTableBody"/>
              <w:spacing w:before="0"/>
            </w:pPr>
            <w:r>
              <w:t>Cooling water, demin water, firewater, nitrogen, compressed air, vacuum, drains, vent collection</w:t>
            </w:r>
          </w:p>
        </w:tc>
        <w:tc>
          <w:tcPr>
            <w:tcW w:w="2788" w:type="dxa"/>
          </w:tcPr>
          <w:p w14:paraId="176750CE" w14:textId="77777777" w:rsidR="009C3A0E" w:rsidRDefault="00994197">
            <w:pPr>
              <w:pStyle w:val="cTableBody"/>
              <w:spacing w:before="0"/>
            </w:pPr>
            <w:r>
              <w:t>Existing industrial codes + new interface geometry</w:t>
            </w:r>
          </w:p>
        </w:tc>
      </w:tr>
      <w:tr w:rsidR="009C3A0E" w14:paraId="0839F372" w14:textId="77777777" w:rsidTr="009C3A0E">
        <w:tc>
          <w:tcPr>
            <w:tcW w:w="2599" w:type="dxa"/>
          </w:tcPr>
          <w:p w14:paraId="4B3C00E7" w14:textId="77777777" w:rsidR="009C3A0E" w:rsidRDefault="00994197">
            <w:pPr>
              <w:pStyle w:val="cTableBody"/>
              <w:spacing w:before="0"/>
            </w:pPr>
            <w:r>
              <w:t>12. Platform Electrical Power Standard</w:t>
            </w:r>
          </w:p>
        </w:tc>
        <w:tc>
          <w:tcPr>
            <w:tcW w:w="4765" w:type="dxa"/>
          </w:tcPr>
          <w:p w14:paraId="57FB7429" w14:textId="77777777" w:rsidR="009C3A0E" w:rsidRDefault="00994197">
            <w:pPr>
              <w:pStyle w:val="cTableBody"/>
              <w:spacing w:before="0"/>
            </w:pPr>
            <w:r>
              <w:t>LV/MV voltage classes, connectors, grounding, fault levels, power quality, metering</w:t>
            </w:r>
          </w:p>
        </w:tc>
        <w:tc>
          <w:tcPr>
            <w:tcW w:w="2788" w:type="dxa"/>
          </w:tcPr>
          <w:p w14:paraId="64A4255B" w14:textId="77777777" w:rsidR="009C3A0E" w:rsidRDefault="00994197">
            <w:pPr>
              <w:pStyle w:val="cTableBody"/>
              <w:spacing w:before="0"/>
            </w:pPr>
            <w:r>
              <w:t>IEC machinery and switchgear standards</w:t>
            </w:r>
          </w:p>
        </w:tc>
      </w:tr>
      <w:tr w:rsidR="009C3A0E" w14:paraId="509552ED" w14:textId="77777777" w:rsidTr="009C3A0E">
        <w:tc>
          <w:tcPr>
            <w:tcW w:w="2599" w:type="dxa"/>
          </w:tcPr>
          <w:p w14:paraId="323D18A8" w14:textId="77777777" w:rsidR="009C3A0E" w:rsidRDefault="00994197">
            <w:pPr>
              <w:pStyle w:val="cTableBody"/>
              <w:spacing w:before="0"/>
            </w:pPr>
            <w:r>
              <w:t>13. Electrified-Rail Standard</w:t>
            </w:r>
          </w:p>
        </w:tc>
        <w:tc>
          <w:tcPr>
            <w:tcW w:w="4765" w:type="dxa"/>
          </w:tcPr>
          <w:p w14:paraId="6CE7C05E" w14:textId="77777777" w:rsidR="009C3A0E" w:rsidRDefault="00994197">
            <w:pPr>
              <w:pStyle w:val="cTableBody"/>
              <w:spacing w:before="0"/>
            </w:pPr>
            <w:r>
              <w:t>Enclosed conductor geometry, collector, segment switching, grounding, illumination, interlocks, emergency isolation</w:t>
            </w:r>
          </w:p>
        </w:tc>
        <w:tc>
          <w:tcPr>
            <w:tcW w:w="2788" w:type="dxa"/>
          </w:tcPr>
          <w:p w14:paraId="11CBC01A" w14:textId="77777777" w:rsidR="009C3A0E" w:rsidRDefault="00994197">
            <w:pPr>
              <w:pStyle w:val="cTableBody"/>
              <w:spacing w:before="0"/>
            </w:pPr>
            <w:r>
              <w:t>IEC TC 9, IEC 62271, IEC 60529, IEC 62061</w:t>
            </w:r>
          </w:p>
        </w:tc>
      </w:tr>
      <w:tr w:rsidR="009C3A0E" w14:paraId="22458DDA" w14:textId="77777777" w:rsidTr="009C3A0E">
        <w:tc>
          <w:tcPr>
            <w:tcW w:w="2599" w:type="dxa"/>
          </w:tcPr>
          <w:p w14:paraId="0B9B31C1" w14:textId="77777777" w:rsidR="009C3A0E" w:rsidRDefault="00994197">
            <w:pPr>
              <w:pStyle w:val="cTableBody"/>
              <w:spacing w:before="0"/>
            </w:pPr>
            <w:r>
              <w:t xml:space="preserve">14. Controls/Data </w:t>
            </w:r>
            <w:r>
              <w:lastRenderedPageBreak/>
              <w:t>Communications Standard</w:t>
            </w:r>
          </w:p>
        </w:tc>
        <w:tc>
          <w:tcPr>
            <w:tcW w:w="4765" w:type="dxa"/>
          </w:tcPr>
          <w:p w14:paraId="5BD082EB" w14:textId="77777777" w:rsidR="009C3A0E" w:rsidRDefault="00994197">
            <w:pPr>
              <w:pStyle w:val="cTableBody"/>
              <w:spacing w:before="0"/>
            </w:pPr>
            <w:r>
              <w:lastRenderedPageBreak/>
              <w:t xml:space="preserve">Physical network, addressing, time synchronization, </w:t>
            </w:r>
            <w:r>
              <w:lastRenderedPageBreak/>
              <w:t>commands, alarms, equipment discovery</w:t>
            </w:r>
          </w:p>
        </w:tc>
        <w:tc>
          <w:tcPr>
            <w:tcW w:w="2788" w:type="dxa"/>
          </w:tcPr>
          <w:p w14:paraId="693B47FC" w14:textId="77777777" w:rsidR="009C3A0E" w:rsidRDefault="00994197">
            <w:pPr>
              <w:pStyle w:val="cTableBody"/>
              <w:spacing w:before="0"/>
            </w:pPr>
            <w:r>
              <w:lastRenderedPageBreak/>
              <w:t xml:space="preserve">OPC UA/IEC 62541, IEC </w:t>
            </w:r>
            <w:r>
              <w:lastRenderedPageBreak/>
              <w:t>61158/61784</w:t>
            </w:r>
          </w:p>
        </w:tc>
      </w:tr>
      <w:tr w:rsidR="009C3A0E" w14:paraId="00030106" w14:textId="77777777" w:rsidTr="009C3A0E">
        <w:tc>
          <w:tcPr>
            <w:tcW w:w="2599" w:type="dxa"/>
          </w:tcPr>
          <w:p w14:paraId="615FAEF9" w14:textId="77777777" w:rsidR="009C3A0E" w:rsidRDefault="00994197">
            <w:pPr>
              <w:pStyle w:val="cTableBody"/>
              <w:spacing w:before="0"/>
            </w:pPr>
            <w:r>
              <w:lastRenderedPageBreak/>
              <w:t>15. Common Equipment Data Model</w:t>
            </w:r>
          </w:p>
        </w:tc>
        <w:tc>
          <w:tcPr>
            <w:tcW w:w="4765" w:type="dxa"/>
          </w:tcPr>
          <w:p w14:paraId="2EC86AF0" w14:textId="77777777" w:rsidR="009C3A0E" w:rsidRDefault="00994197">
            <w:pPr>
              <w:pStyle w:val="cTableBody"/>
              <w:spacing w:before="0"/>
            </w:pPr>
            <w:r>
              <w:t>Meaning of tags such as temperature, flow, availability, operating mode, maintenance state</w:t>
            </w:r>
          </w:p>
        </w:tc>
        <w:tc>
          <w:tcPr>
            <w:tcW w:w="2788" w:type="dxa"/>
          </w:tcPr>
          <w:p w14:paraId="59BB42EA" w14:textId="77777777" w:rsidR="009C3A0E" w:rsidRDefault="00994197">
            <w:pPr>
              <w:pStyle w:val="cTableBody"/>
              <w:spacing w:before="0"/>
            </w:pPr>
            <w:r>
              <w:t>OPC UA Companion Specification + ISO 15926</w:t>
            </w:r>
          </w:p>
        </w:tc>
      </w:tr>
      <w:tr w:rsidR="009C3A0E" w14:paraId="6AB31DDA" w14:textId="77777777" w:rsidTr="009C3A0E">
        <w:tc>
          <w:tcPr>
            <w:tcW w:w="2599" w:type="dxa"/>
          </w:tcPr>
          <w:p w14:paraId="0E4AF9E1" w14:textId="77777777" w:rsidR="009C3A0E" w:rsidRDefault="00994197">
            <w:pPr>
              <w:pStyle w:val="cTableBody"/>
              <w:spacing w:before="0"/>
            </w:pPr>
            <w:r>
              <w:t>16. Functional-Safety Standard</w:t>
            </w:r>
          </w:p>
        </w:tc>
        <w:tc>
          <w:tcPr>
            <w:tcW w:w="4765" w:type="dxa"/>
          </w:tcPr>
          <w:p w14:paraId="6D60F724" w14:textId="77777777" w:rsidR="009C3A0E" w:rsidRDefault="00994197">
            <w:pPr>
              <w:pStyle w:val="cTableBody"/>
              <w:spacing w:before="0"/>
            </w:pPr>
            <w:r>
              <w:t>E-stops, safe states, interlocks, machine authority, personnel exclusion zones</w:t>
            </w:r>
          </w:p>
        </w:tc>
        <w:tc>
          <w:tcPr>
            <w:tcW w:w="2788" w:type="dxa"/>
          </w:tcPr>
          <w:p w14:paraId="3BF615E7" w14:textId="77777777" w:rsidR="009C3A0E" w:rsidRDefault="00994197">
            <w:pPr>
              <w:pStyle w:val="cTableBody"/>
              <w:spacing w:before="0"/>
            </w:pPr>
            <w:r>
              <w:t>ISO 12100, IEC 61508/62061</w:t>
            </w:r>
          </w:p>
        </w:tc>
      </w:tr>
      <w:tr w:rsidR="009C3A0E" w14:paraId="377DA80B" w14:textId="77777777" w:rsidTr="009C3A0E">
        <w:tc>
          <w:tcPr>
            <w:tcW w:w="2599" w:type="dxa"/>
          </w:tcPr>
          <w:p w14:paraId="748D135A" w14:textId="77777777" w:rsidR="009C3A0E" w:rsidRDefault="00994197">
            <w:pPr>
              <w:pStyle w:val="cTableBody"/>
              <w:spacing w:before="0"/>
            </w:pPr>
            <w:r>
              <w:t>17. Cybersecurity Standard</w:t>
            </w:r>
          </w:p>
        </w:tc>
        <w:tc>
          <w:tcPr>
            <w:tcW w:w="4765" w:type="dxa"/>
          </w:tcPr>
          <w:p w14:paraId="632C57C2" w14:textId="77777777" w:rsidR="009C3A0E" w:rsidRDefault="00994197">
            <w:pPr>
              <w:pStyle w:val="cTableBody"/>
              <w:spacing w:before="0"/>
            </w:pPr>
            <w:r>
              <w:t>Authentication, certificates, software updates, network zoning, remote access</w:t>
            </w:r>
          </w:p>
        </w:tc>
        <w:tc>
          <w:tcPr>
            <w:tcW w:w="2788" w:type="dxa"/>
          </w:tcPr>
          <w:p w14:paraId="372F9541" w14:textId="77777777" w:rsidR="009C3A0E" w:rsidRDefault="00994197">
            <w:pPr>
              <w:pStyle w:val="cTableBody"/>
              <w:spacing w:before="0"/>
            </w:pPr>
            <w:r>
              <w:t>IEC 62443</w:t>
            </w:r>
          </w:p>
        </w:tc>
      </w:tr>
      <w:tr w:rsidR="009C3A0E" w14:paraId="00165398" w14:textId="77777777" w:rsidTr="009C3A0E">
        <w:tc>
          <w:tcPr>
            <w:tcW w:w="2599" w:type="dxa"/>
          </w:tcPr>
          <w:p w14:paraId="6AA48822" w14:textId="77777777" w:rsidR="009C3A0E" w:rsidRDefault="00994197">
            <w:pPr>
              <w:pStyle w:val="cTableBody"/>
              <w:spacing w:before="0"/>
            </w:pPr>
            <w:r>
              <w:t>18. Tunnel and Riser Standard</w:t>
            </w:r>
          </w:p>
        </w:tc>
        <w:tc>
          <w:tcPr>
            <w:tcW w:w="4765" w:type="dxa"/>
          </w:tcPr>
          <w:p w14:paraId="45076DE6" w14:textId="77777777" w:rsidR="009C3A0E" w:rsidRDefault="00994197">
            <w:pPr>
              <w:pStyle w:val="cTableBody"/>
              <w:spacing w:before="0"/>
            </w:pPr>
            <w:r>
              <w:t>Tunnel dimensions, dedicated utility zones, drainage, ventilation, cable routing, material rail/conveyor interface</w:t>
            </w:r>
          </w:p>
        </w:tc>
        <w:tc>
          <w:tcPr>
            <w:tcW w:w="2788" w:type="dxa"/>
          </w:tcPr>
          <w:p w14:paraId="490FD976" w14:textId="77777777" w:rsidR="009C3A0E" w:rsidRDefault="00994197">
            <w:pPr>
              <w:pStyle w:val="cTableBody"/>
              <w:spacing w:before="0"/>
            </w:pPr>
            <w:r>
              <w:t>Civil/fire codes + new interface</w:t>
            </w:r>
          </w:p>
        </w:tc>
      </w:tr>
      <w:tr w:rsidR="009C3A0E" w14:paraId="3EA9F7DB" w14:textId="77777777" w:rsidTr="009C3A0E">
        <w:tc>
          <w:tcPr>
            <w:tcW w:w="2599" w:type="dxa"/>
          </w:tcPr>
          <w:p w14:paraId="7391ABE2" w14:textId="77777777" w:rsidR="009C3A0E" w:rsidRDefault="00994197">
            <w:pPr>
              <w:pStyle w:val="cTableBody"/>
              <w:spacing w:before="0"/>
            </w:pPr>
            <w:r>
              <w:t>19. Bulk-Solids Interface</w:t>
            </w:r>
          </w:p>
        </w:tc>
        <w:tc>
          <w:tcPr>
            <w:tcW w:w="4765" w:type="dxa"/>
          </w:tcPr>
          <w:p w14:paraId="367BE9C0" w14:textId="77777777" w:rsidR="009C3A0E" w:rsidRDefault="00994197">
            <w:pPr>
              <w:pStyle w:val="cTableBody"/>
              <w:spacing w:before="0"/>
            </w:pPr>
            <w:r>
              <w:t>Conveyor width/capacity, hoppers, chute locations, dust containment, weighing and sampling</w:t>
            </w:r>
          </w:p>
        </w:tc>
        <w:tc>
          <w:tcPr>
            <w:tcW w:w="2788" w:type="dxa"/>
          </w:tcPr>
          <w:p w14:paraId="4AC33A8C" w14:textId="77777777" w:rsidR="009C3A0E" w:rsidRDefault="00994197">
            <w:pPr>
              <w:pStyle w:val="cTableBody"/>
              <w:spacing w:before="0"/>
            </w:pPr>
            <w:r>
              <w:t>Existing conveyor standards + new geometry</w:t>
            </w:r>
          </w:p>
        </w:tc>
      </w:tr>
      <w:tr w:rsidR="009C3A0E" w14:paraId="0A9C5357" w14:textId="77777777" w:rsidTr="009C3A0E">
        <w:tc>
          <w:tcPr>
            <w:tcW w:w="2599" w:type="dxa"/>
          </w:tcPr>
          <w:p w14:paraId="19967516" w14:textId="77777777" w:rsidR="009C3A0E" w:rsidRDefault="00994197">
            <w:pPr>
              <w:pStyle w:val="cTableBody"/>
              <w:spacing w:before="0"/>
            </w:pPr>
            <w:r>
              <w:t>20. Waterfront/Ship Interface</w:t>
            </w:r>
          </w:p>
        </w:tc>
        <w:tc>
          <w:tcPr>
            <w:tcW w:w="4765" w:type="dxa"/>
          </w:tcPr>
          <w:p w14:paraId="3C168F61" w14:textId="77777777" w:rsidR="009C3A0E" w:rsidRDefault="00994197">
            <w:pPr>
              <w:pStyle w:val="cTableBody"/>
              <w:spacing w:before="0"/>
            </w:pPr>
            <w:r>
              <w:t>Liquid/gas manifolds, loading arms, ESD link, solid unloaders, conveyors, ship-to-platform transfer</w:t>
            </w:r>
          </w:p>
        </w:tc>
        <w:tc>
          <w:tcPr>
            <w:tcW w:w="2788" w:type="dxa"/>
          </w:tcPr>
          <w:p w14:paraId="48875388" w14:textId="77777777" w:rsidR="009C3A0E" w:rsidRDefault="00994197">
            <w:pPr>
              <w:pStyle w:val="cTableBody"/>
              <w:spacing w:before="0"/>
            </w:pPr>
            <w:r>
              <w:t>ISO/TC 8 and OCIMF</w:t>
            </w:r>
          </w:p>
        </w:tc>
      </w:tr>
      <w:tr w:rsidR="009C3A0E" w14:paraId="5DE072C6" w14:textId="77777777" w:rsidTr="009C3A0E">
        <w:tc>
          <w:tcPr>
            <w:tcW w:w="2599" w:type="dxa"/>
          </w:tcPr>
          <w:p w14:paraId="2A35D64C" w14:textId="77777777" w:rsidR="009C3A0E" w:rsidRDefault="00994197">
            <w:pPr>
              <w:pStyle w:val="cTableBody"/>
              <w:spacing w:before="0"/>
            </w:pPr>
            <w:r>
              <w:t>21. Storage/Thermal-Storage Interface</w:t>
            </w:r>
          </w:p>
        </w:tc>
        <w:tc>
          <w:tcPr>
            <w:tcW w:w="4765" w:type="dxa"/>
          </w:tcPr>
          <w:p w14:paraId="6E6AE318" w14:textId="77777777" w:rsidR="009C3A0E" w:rsidRDefault="00994197">
            <w:pPr>
              <w:pStyle w:val="cTableBody"/>
              <w:spacing w:before="0"/>
            </w:pPr>
            <w:r>
              <w:t>Tank nozzles, pumps, level/temperature instrumentation, foundations and modular construction equipment</w:t>
            </w:r>
          </w:p>
        </w:tc>
        <w:tc>
          <w:tcPr>
            <w:tcW w:w="2788" w:type="dxa"/>
          </w:tcPr>
          <w:p w14:paraId="1597067C" w14:textId="77777777" w:rsidR="009C3A0E" w:rsidRDefault="00994197">
            <w:pPr>
              <w:pStyle w:val="cTableBody"/>
              <w:spacing w:before="0"/>
            </w:pPr>
            <w:r>
              <w:t>ASME TES-1, API tank standards</w:t>
            </w:r>
          </w:p>
        </w:tc>
      </w:tr>
      <w:tr w:rsidR="009C3A0E" w14:paraId="6C9AEBA5" w14:textId="77777777" w:rsidTr="009C3A0E">
        <w:tc>
          <w:tcPr>
            <w:tcW w:w="2599" w:type="dxa"/>
          </w:tcPr>
          <w:p w14:paraId="06A00AD2" w14:textId="77777777" w:rsidR="009C3A0E" w:rsidRDefault="00994197">
            <w:pPr>
              <w:pStyle w:val="cTableBody"/>
              <w:spacing w:before="0"/>
            </w:pPr>
            <w:r>
              <w:t>22. Digital Thread &amp; Conformance Standard</w:t>
            </w:r>
          </w:p>
        </w:tc>
        <w:tc>
          <w:tcPr>
            <w:tcW w:w="4765" w:type="dxa"/>
          </w:tcPr>
          <w:p w14:paraId="44CBDB8D" w14:textId="77777777" w:rsidR="009C3A0E" w:rsidRDefault="00994197">
            <w:pPr>
              <w:pStyle w:val="cTableBody"/>
              <w:spacing w:before="0"/>
            </w:pPr>
            <w:r>
              <w:t>Unique module IDs, CAD data, materials, weld/NDE history, software versions, test certificates and acceptance tests</w:t>
            </w:r>
          </w:p>
        </w:tc>
        <w:tc>
          <w:tcPr>
            <w:tcW w:w="2788" w:type="dxa"/>
          </w:tcPr>
          <w:p w14:paraId="5BB29214" w14:textId="77777777" w:rsidR="009C3A0E" w:rsidRDefault="00994197">
            <w:pPr>
              <w:pStyle w:val="cTableBody"/>
              <w:spacing w:before="0"/>
            </w:pPr>
            <w:r>
              <w:t>ISO 15926/ISO 10303-type lifecycle data concepts</w:t>
            </w:r>
          </w:p>
        </w:tc>
      </w:tr>
    </w:tbl>
    <w:p w14:paraId="0E4F05BE" w14:textId="77777777" w:rsidR="009C3A0E" w:rsidRDefault="00994197">
      <w:pPr>
        <w:rPr>
          <w:rFonts w:asciiTheme="majorHAnsi" w:eastAsia="Times New Roman" w:hAnsiTheme="majorHAnsi" w:cstheme="majorHAnsi"/>
          <w:szCs w:val="24"/>
        </w:rPr>
      </w:pPr>
      <w:r>
        <w:rPr>
          <w:rFonts w:eastAsia="Times New Roman" w:cstheme="majorHAnsi"/>
          <w:szCs w:val="24"/>
        </w:rPr>
        <w:t>Several of these could eventually become parts of one standards family rather than 22 separate books.</w:t>
      </w:r>
    </w:p>
    <w:p w14:paraId="089BF39D" w14:textId="77777777" w:rsidR="009C3A0E" w:rsidRDefault="00994197">
      <w:pPr>
        <w:pStyle w:val="Heading3"/>
        <w:spacing w:before="280" w:after="280"/>
      </w:pPr>
      <w:r>
        <w:t>The most important standards are probably #2, #4, #8, #10, #12, #13 and #14</w:t>
      </w:r>
    </w:p>
    <w:p w14:paraId="61DD7A3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Those are what make equipment from different companies physically interchangeable.</w:t>
      </w:r>
    </w:p>
    <w:p w14:paraId="08A77CC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example, imagine three companies:</w:t>
      </w:r>
    </w:p>
    <w:p w14:paraId="1C6BD456" w14:textId="77777777" w:rsidR="009C3A0E" w:rsidRDefault="00994197" w:rsidP="007A7BAC">
      <w:pPr>
        <w:pStyle w:val="blist-bullets"/>
        <w:rPr>
          <w:rFonts w:asciiTheme="majorHAnsi" w:hAnsiTheme="majorHAnsi"/>
        </w:rPr>
      </w:pPr>
      <w:r>
        <w:rPr>
          <w:b/>
          <w:bCs/>
        </w:rPr>
        <w:t>Company A:</w:t>
      </w:r>
      <w:r>
        <w:t xml:space="preserve"> builds a 12 × 96 m evaporation platform.</w:t>
      </w:r>
    </w:p>
    <w:p w14:paraId="6FBDB77D" w14:textId="77777777" w:rsidR="009C3A0E" w:rsidRDefault="00994197" w:rsidP="007A7BAC">
      <w:pPr>
        <w:pStyle w:val="blist-bullets"/>
        <w:rPr>
          <w:rFonts w:asciiTheme="majorHAnsi" w:hAnsiTheme="majorHAnsi"/>
        </w:rPr>
      </w:pPr>
      <w:r>
        <w:rPr>
          <w:b/>
          <w:bCs/>
        </w:rPr>
        <w:t>Company B:</w:t>
      </w:r>
      <w:r>
        <w:t xml:space="preserve"> builds a 12 × 96 m heat-pump platform.</w:t>
      </w:r>
    </w:p>
    <w:p w14:paraId="5C3524DA" w14:textId="77777777" w:rsidR="009C3A0E" w:rsidRDefault="00994197" w:rsidP="007A7BAC">
      <w:pPr>
        <w:pStyle w:val="blist-bullets"/>
        <w:rPr>
          <w:rFonts w:asciiTheme="majorHAnsi" w:hAnsiTheme="majorHAnsi"/>
        </w:rPr>
      </w:pPr>
      <w:r>
        <w:rPr>
          <w:b/>
          <w:bCs/>
        </w:rPr>
        <w:t>Company C:</w:t>
      </w:r>
      <w:r>
        <w:t xml:space="preserve"> builds a 12 × 96 m ammonia platform.</w:t>
      </w:r>
    </w:p>
    <w:p w14:paraId="7DD3B58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They should all place their mechanical feet, electrical connections, communications connections, heat connections and common utility connections at </w:t>
      </w:r>
      <w:r>
        <w:rPr>
          <w:rFonts w:eastAsia="Times New Roman" w:cstheme="majorHAnsi"/>
          <w:b/>
          <w:bCs/>
          <w:szCs w:val="24"/>
        </w:rPr>
        <w:t>exactly the same standardized locations</w:t>
      </w:r>
      <w:r>
        <w:rPr>
          <w:rFonts w:eastAsia="Times New Roman" w:cstheme="majorHAnsi"/>
          <w:szCs w:val="24"/>
        </w:rPr>
        <w:t>.</w:t>
      </w:r>
    </w:p>
    <w:p w14:paraId="3DE70EC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simplified end of every platform might effectively look like:</w:t>
      </w:r>
    </w:p>
    <w:p w14:paraId="642F888A" w14:textId="77777777" w:rsidR="009C3A0E" w:rsidRDefault="00994197" w:rsidP="007A7BA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u w:val="single"/>
        </w:rPr>
      </w:pPr>
      <w:r>
        <w:rPr>
          <w:rFonts w:ascii="Courier New" w:eastAsia="Times New Roman" w:hAnsi="Courier New" w:cs="Courier New"/>
          <w:color w:val="4F81BD" w:themeColor="accent1"/>
          <w:sz w:val="20"/>
          <w:szCs w:val="20"/>
        </w:rPr>
        <w:lastRenderedPageBreak/>
        <w:t xml:space="preserve">         </w:t>
      </w:r>
      <w:r>
        <w:rPr>
          <w:rFonts w:ascii="Courier New" w:eastAsia="Times New Roman" w:hAnsi="Courier New" w:cs="Courier New"/>
          <w:color w:val="4F81BD" w:themeColor="accent1"/>
          <w:sz w:val="20"/>
          <w:szCs w:val="20"/>
          <w:u w:val="single"/>
        </w:rPr>
        <w:t>STANDARD INTERFACE END</w:t>
      </w:r>
    </w:p>
    <w:p w14:paraId="0E960D92" w14:textId="77777777" w:rsidR="009C3A0E" w:rsidRDefault="009C3A0E" w:rsidP="007A7BA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p>
    <w:p w14:paraId="2D93620C" w14:textId="77777777" w:rsidR="009C3A0E" w:rsidRDefault="00994197" w:rsidP="007A7BA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0A252F31" w14:textId="77777777" w:rsidR="009C3A0E" w:rsidRDefault="00994197" w:rsidP="007A7BA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DATA       ELECTRICITY      HEAT  │</w:t>
      </w:r>
    </w:p>
    <w:p w14:paraId="4F90338E" w14:textId="77777777" w:rsidR="009C3A0E" w:rsidRDefault="00994197" w:rsidP="007A7BA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             ●●●          ●  ●  │</w:t>
      </w:r>
    </w:p>
    <w:p w14:paraId="6A16B6BC" w14:textId="77777777" w:rsidR="009C3A0E" w:rsidRDefault="00994197" w:rsidP="007A7BA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w:t>
      </w:r>
    </w:p>
    <w:p w14:paraId="046D3692" w14:textId="77777777" w:rsidR="009C3A0E" w:rsidRDefault="00994197" w:rsidP="007A7BA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PROCESS                            │</w:t>
      </w:r>
    </w:p>
    <w:p w14:paraId="6CD34492" w14:textId="77777777" w:rsidR="009C3A0E" w:rsidRDefault="00994197" w:rsidP="007A7BA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LIQUIDS       GASES        WATER   │</w:t>
      </w:r>
    </w:p>
    <w:p w14:paraId="7FFA8474" w14:textId="77777777" w:rsidR="009C3A0E" w:rsidRDefault="00994197" w:rsidP="007A7BA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 ● ●        ● ● ●          ● ●    │</w:t>
      </w:r>
    </w:p>
    <w:p w14:paraId="48B85A3D" w14:textId="77777777" w:rsidR="009C3A0E" w:rsidRDefault="00994197" w:rsidP="007A7BA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w:t>
      </w:r>
    </w:p>
    <w:p w14:paraId="636AB8FD" w14:textId="77777777" w:rsidR="009C3A0E" w:rsidRDefault="00994197" w:rsidP="007A7BA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standardized structural datums   │</w:t>
      </w:r>
    </w:p>
    <w:p w14:paraId="1047B228" w14:textId="77777777" w:rsidR="009C3A0E" w:rsidRDefault="00994197" w:rsidP="007A7BA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298A5FC1"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w:t>
      </w:r>
    </w:p>
    <w:p w14:paraId="3C8843EF"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standard foot                standard foot</w:t>
      </w:r>
    </w:p>
    <w:p w14:paraId="52A2F2F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is analogous to what a USB connector or shipping container does, only at enormous industrial scale.</w:t>
      </w:r>
    </w:p>
    <w:p w14:paraId="505041C7" w14:textId="77777777" w:rsidR="009C3A0E" w:rsidRDefault="00994197">
      <w:pPr>
        <w:pStyle w:val="Heading2"/>
        <w:spacing w:before="280"/>
      </w:pPr>
      <w:r>
        <w:t>Heat probably needs its own particularly careful standard</w:t>
      </w:r>
    </w:p>
    <w:p w14:paraId="31F84AC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 wouldn't simply define "heat connection."</w:t>
      </w:r>
    </w:p>
    <w:p w14:paraId="1D59AC2E" w14:textId="77777777" w:rsidR="009C3A0E" w:rsidRDefault="00994197">
      <w:pPr>
        <w:rPr>
          <w:rFonts w:asciiTheme="majorHAnsi" w:eastAsia="Times New Roman" w:hAnsiTheme="majorHAnsi" w:cstheme="majorHAnsi"/>
          <w:szCs w:val="24"/>
        </w:rPr>
      </w:pPr>
      <w:r>
        <w:rPr>
          <w:rFonts w:eastAsia="Times New Roman" w:cstheme="majorHAnsi"/>
          <w:szCs w:val="24"/>
        </w:rPr>
        <w:t xml:space="preserve">I would establish several </w:t>
      </w:r>
      <w:r>
        <w:rPr>
          <w:rFonts w:eastAsia="Times New Roman" w:cstheme="majorHAnsi"/>
          <w:b/>
          <w:bCs/>
          <w:szCs w:val="24"/>
        </w:rPr>
        <w:t>heat-interface classes</w:t>
      </w:r>
      <w:r>
        <w:rPr>
          <w:rFonts w:eastAsia="Times New Roman" w:cstheme="majorHAnsi"/>
          <w:szCs w:val="24"/>
        </w:rPr>
        <w:t>. The exact numbers should come from the engineering program, but conceptually they might be:</w:t>
      </w:r>
    </w:p>
    <w:tbl>
      <w:tblPr>
        <w:tblStyle w:val="gswTableStyle"/>
        <w:tblW w:w="6998" w:type="dxa"/>
        <w:tblLayout w:type="fixed"/>
        <w:tblLook w:val="04A0" w:firstRow="1" w:lastRow="0" w:firstColumn="1" w:lastColumn="0" w:noHBand="0" w:noVBand="1"/>
      </w:tblPr>
      <w:tblGrid>
        <w:gridCol w:w="1111"/>
        <w:gridCol w:w="1940"/>
        <w:gridCol w:w="3947"/>
      </w:tblGrid>
      <w:tr w:rsidR="009C3A0E" w14:paraId="05D26180" w14:textId="77777777" w:rsidTr="009C3A0E">
        <w:trPr>
          <w:cnfStyle w:val="100000000000" w:firstRow="1" w:lastRow="0" w:firstColumn="0" w:lastColumn="0" w:oddVBand="0" w:evenVBand="0" w:oddHBand="0" w:evenHBand="0" w:firstRowFirstColumn="0" w:firstRowLastColumn="0" w:lastRowFirstColumn="0" w:lastRowLastColumn="0"/>
          <w:tblHeader/>
        </w:trPr>
        <w:tc>
          <w:tcPr>
            <w:tcW w:w="1111" w:type="dxa"/>
          </w:tcPr>
          <w:p w14:paraId="142F2C2B" w14:textId="77777777" w:rsidR="009C3A0E" w:rsidRDefault="00994197">
            <w:pPr>
              <w:pStyle w:val="cTableHeader"/>
              <w:spacing w:before="0" w:after="0"/>
            </w:pPr>
            <w:r>
              <w:t>Heat class</w:t>
            </w:r>
          </w:p>
        </w:tc>
        <w:tc>
          <w:tcPr>
            <w:tcW w:w="1940" w:type="dxa"/>
          </w:tcPr>
          <w:p w14:paraId="70BE1DB9" w14:textId="77777777" w:rsidR="009C3A0E" w:rsidRDefault="00994197">
            <w:pPr>
              <w:pStyle w:val="cTableHeader"/>
              <w:spacing w:before="0" w:after="0"/>
            </w:pPr>
            <w:r>
              <w:t>Approximate range</w:t>
            </w:r>
          </w:p>
        </w:tc>
        <w:tc>
          <w:tcPr>
            <w:tcW w:w="3947" w:type="dxa"/>
          </w:tcPr>
          <w:p w14:paraId="48873393" w14:textId="77777777" w:rsidR="009C3A0E" w:rsidRDefault="00994197">
            <w:pPr>
              <w:pStyle w:val="cTableHeader"/>
              <w:spacing w:before="0" w:after="0"/>
            </w:pPr>
            <w:r>
              <w:t>Likely source/use</w:t>
            </w:r>
          </w:p>
        </w:tc>
      </w:tr>
      <w:tr w:rsidR="009C3A0E" w14:paraId="2B43840D" w14:textId="77777777" w:rsidTr="009C3A0E">
        <w:tc>
          <w:tcPr>
            <w:tcW w:w="1111" w:type="dxa"/>
          </w:tcPr>
          <w:p w14:paraId="72F32FD5" w14:textId="77777777" w:rsidR="009C3A0E" w:rsidRDefault="00994197">
            <w:pPr>
              <w:pStyle w:val="cTableBody"/>
              <w:spacing w:before="0"/>
            </w:pPr>
            <w:r>
              <w:t>H1</w:t>
            </w:r>
          </w:p>
        </w:tc>
        <w:tc>
          <w:tcPr>
            <w:tcW w:w="1940" w:type="dxa"/>
          </w:tcPr>
          <w:p w14:paraId="767EF164" w14:textId="77777777" w:rsidR="009C3A0E" w:rsidRDefault="00994197">
            <w:pPr>
              <w:pStyle w:val="cTableBody"/>
              <w:spacing w:before="0"/>
            </w:pPr>
            <w:r>
              <w:t>~60–150°C</w:t>
            </w:r>
          </w:p>
        </w:tc>
        <w:tc>
          <w:tcPr>
            <w:tcW w:w="3947" w:type="dxa"/>
          </w:tcPr>
          <w:p w14:paraId="7EFF82A2" w14:textId="77777777" w:rsidR="009C3A0E" w:rsidRDefault="00994197">
            <w:pPr>
              <w:pStyle w:val="cTableBody"/>
              <w:spacing w:before="0"/>
            </w:pPr>
            <w:r>
              <w:t>heat pumps, waste heat, hot water</w:t>
            </w:r>
          </w:p>
        </w:tc>
      </w:tr>
      <w:tr w:rsidR="009C3A0E" w14:paraId="208B442B" w14:textId="77777777" w:rsidTr="009C3A0E">
        <w:tc>
          <w:tcPr>
            <w:tcW w:w="1111" w:type="dxa"/>
          </w:tcPr>
          <w:p w14:paraId="582DC2A9" w14:textId="77777777" w:rsidR="009C3A0E" w:rsidRDefault="00994197">
            <w:pPr>
              <w:pStyle w:val="cTableBody"/>
              <w:spacing w:before="0"/>
            </w:pPr>
            <w:r>
              <w:t>H2</w:t>
            </w:r>
          </w:p>
        </w:tc>
        <w:tc>
          <w:tcPr>
            <w:tcW w:w="1940" w:type="dxa"/>
          </w:tcPr>
          <w:p w14:paraId="6E91A25C" w14:textId="77777777" w:rsidR="009C3A0E" w:rsidRDefault="00994197">
            <w:pPr>
              <w:pStyle w:val="cTableBody"/>
              <w:spacing w:before="0"/>
            </w:pPr>
            <w:r>
              <w:t>~150–300°C</w:t>
            </w:r>
          </w:p>
        </w:tc>
        <w:tc>
          <w:tcPr>
            <w:tcW w:w="3947" w:type="dxa"/>
          </w:tcPr>
          <w:p w14:paraId="640EA2DF" w14:textId="77777777" w:rsidR="009C3A0E" w:rsidRDefault="00994197">
            <w:pPr>
              <w:pStyle w:val="cTableBody"/>
              <w:spacing w:before="0"/>
            </w:pPr>
            <w:r>
              <w:t>PWR steam/process heat</w:t>
            </w:r>
          </w:p>
        </w:tc>
      </w:tr>
      <w:tr w:rsidR="009C3A0E" w14:paraId="48752A6F" w14:textId="77777777" w:rsidTr="009C3A0E">
        <w:tc>
          <w:tcPr>
            <w:tcW w:w="1111" w:type="dxa"/>
          </w:tcPr>
          <w:p w14:paraId="19C2E277" w14:textId="77777777" w:rsidR="009C3A0E" w:rsidRDefault="00994197">
            <w:pPr>
              <w:pStyle w:val="cTableBody"/>
              <w:spacing w:before="0"/>
            </w:pPr>
            <w:r>
              <w:t>H3</w:t>
            </w:r>
          </w:p>
        </w:tc>
        <w:tc>
          <w:tcPr>
            <w:tcW w:w="1940" w:type="dxa"/>
          </w:tcPr>
          <w:p w14:paraId="6476B596" w14:textId="77777777" w:rsidR="009C3A0E" w:rsidRDefault="00994197">
            <w:pPr>
              <w:pStyle w:val="cTableBody"/>
              <w:spacing w:before="0"/>
            </w:pPr>
            <w:r>
              <w:t>~300–550°C</w:t>
            </w:r>
          </w:p>
        </w:tc>
        <w:tc>
          <w:tcPr>
            <w:tcW w:w="3947" w:type="dxa"/>
          </w:tcPr>
          <w:p w14:paraId="39212AD6" w14:textId="77777777" w:rsidR="009C3A0E" w:rsidRDefault="00994197">
            <w:pPr>
              <w:pStyle w:val="cTableBody"/>
              <w:spacing w:before="0"/>
            </w:pPr>
            <w:r>
              <w:t>HTR-PM process heat</w:t>
            </w:r>
          </w:p>
        </w:tc>
      </w:tr>
      <w:tr w:rsidR="009C3A0E" w14:paraId="4C1222D8" w14:textId="77777777" w:rsidTr="009C3A0E">
        <w:tc>
          <w:tcPr>
            <w:tcW w:w="1111" w:type="dxa"/>
          </w:tcPr>
          <w:p w14:paraId="51E9C43B" w14:textId="77777777" w:rsidR="009C3A0E" w:rsidRDefault="00994197">
            <w:pPr>
              <w:pStyle w:val="cTableBody"/>
              <w:spacing w:before="0"/>
            </w:pPr>
            <w:r>
              <w:t>H4</w:t>
            </w:r>
          </w:p>
        </w:tc>
        <w:tc>
          <w:tcPr>
            <w:tcW w:w="1940" w:type="dxa"/>
          </w:tcPr>
          <w:p w14:paraId="1019F875" w14:textId="77777777" w:rsidR="009C3A0E" w:rsidRDefault="00994197">
            <w:pPr>
              <w:pStyle w:val="cTableBody"/>
              <w:spacing w:before="0"/>
            </w:pPr>
            <w:r>
              <w:t>&gt;550°C</w:t>
            </w:r>
          </w:p>
        </w:tc>
        <w:tc>
          <w:tcPr>
            <w:tcW w:w="3947" w:type="dxa"/>
          </w:tcPr>
          <w:p w14:paraId="4F5D5EFE" w14:textId="77777777" w:rsidR="009C3A0E" w:rsidRDefault="00994197">
            <w:pPr>
              <w:pStyle w:val="cTableBody"/>
              <w:spacing w:before="0"/>
            </w:pPr>
            <w:r>
              <w:t>electrically topped/high-temperature systems</w:t>
            </w:r>
          </w:p>
        </w:tc>
      </w:tr>
    </w:tbl>
    <w:p w14:paraId="6ECF99DF" w14:textId="77777777" w:rsidR="009C3A0E" w:rsidRDefault="00994197">
      <w:pPr>
        <w:rPr>
          <w:rFonts w:asciiTheme="majorHAnsi" w:eastAsia="Times New Roman" w:hAnsiTheme="majorHAnsi" w:cstheme="majorHAnsi"/>
          <w:szCs w:val="24"/>
        </w:rPr>
      </w:pPr>
      <w:r>
        <w:rPr>
          <w:rFonts w:eastAsia="Times New Roman" w:cstheme="majorHAnsi"/>
          <w:szCs w:val="24"/>
        </w:rPr>
        <w:t>The standard would specify much more than temperature:</w:t>
      </w:r>
    </w:p>
    <w:p w14:paraId="2D4F0550" w14:textId="77777777" w:rsidR="009C3A0E" w:rsidRDefault="00994197" w:rsidP="007A7BAC">
      <w:pPr>
        <w:pStyle w:val="bblueindent"/>
      </w:pPr>
      <w:r>
        <w:t>medium → pressure → maximum/minimum flow → supply temperature → return temperature → connection position → allowable pressure drop → isolation → leak detection → thermal metering → emergency shutdown → purity requirements.</w:t>
      </w:r>
    </w:p>
    <w:p w14:paraId="4B8B86E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company could then advertise:</w:t>
      </w:r>
    </w:p>
    <w:p w14:paraId="42C4537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lastRenderedPageBreak/>
        <w:t>Platform XYZ requires: H2-200 MW thermal + E1-20 MW electrical + CW2 cooling-water interface.</w:t>
      </w:r>
    </w:p>
    <w:p w14:paraId="00C3EC5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would make plant design almost catalog-like.</w:t>
      </w:r>
    </w:p>
    <w:p w14:paraId="774F21E4" w14:textId="77777777" w:rsidR="009C3A0E" w:rsidRDefault="00994197">
      <w:pPr>
        <w:pStyle w:val="Heading2"/>
        <w:spacing w:before="280"/>
      </w:pPr>
      <w:r>
        <w:t>The electrified rail deserves a new standard of its own</w:t>
      </w:r>
    </w:p>
    <w:p w14:paraId="31D428E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There are existing standards covering railway electrical systems, machinery, medium-voltage switchgear and electrical enclosures, but the </w:t>
      </w:r>
      <w:r>
        <w:rPr>
          <w:rFonts w:eastAsia="Times New Roman" w:cstheme="majorHAnsi"/>
          <w:b/>
          <w:bCs/>
          <w:szCs w:val="24"/>
        </w:rPr>
        <w:t>segmented, normally-dead, enclosed conductor rail for multi-megawatt industrial construction machines</w:t>
      </w:r>
      <w:r>
        <w:rPr>
          <w:rFonts w:eastAsia="Times New Roman" w:cstheme="majorHAnsi"/>
          <w:szCs w:val="24"/>
        </w:rPr>
        <w:t xml:space="preserve"> is sufficiently different that I would create a dedicated interface standard. IEC TC 9 covers electrical equipment and fixed installations for railways, while ISO/TC 269 covers the non-electrical railway system and infrastructure interfaces. </w:t>
      </w:r>
    </w:p>
    <w:p w14:paraId="333316A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new specification should define things such as:</w:t>
      </w:r>
    </w:p>
    <w:p w14:paraId="49F865CC" w14:textId="77777777" w:rsidR="009C3A0E" w:rsidRDefault="00994197" w:rsidP="003509FF">
      <w:pPr>
        <w:pStyle w:val="bblueindent"/>
      </w:pPr>
      <w:r>
        <w:t>6.6-kV versus lower-voltage classes; 3-phase conductor + protective earth; conductor spacing; downward-facing access slot; collector geometry; collector contact force; permissible speed; electrical-segment length; automatic segment energization; machine-position verification; ground fault detection; arc-fault protection; emergency grounding; lockout/tagout; illumination of live sections; redundant proof that a segment is dead before personnel access.</w:t>
      </w:r>
    </w:p>
    <w:p w14:paraId="5966233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For the medium-voltage switching hardware, IEC 62271 already covers AC switchgear above 1 kV and up to 52 kV, so I would reuse it rather than invent new circuit breakers. IEC 60529 provides enclosure/IP protection requirements, and IEC 62061 provides functional-safety requirements for machinery controls. </w:t>
      </w:r>
    </w:p>
    <w:p w14:paraId="3E62DD1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China already uses the same general approach of incorporating international electrical standards: </w:t>
      </w:r>
      <w:r>
        <w:rPr>
          <w:rFonts w:eastAsia="Times New Roman" w:cstheme="majorHAnsi"/>
          <w:b/>
          <w:bCs/>
          <w:szCs w:val="24"/>
        </w:rPr>
        <w:t>GB/T 5226.1-2019 is an identical adoption of IEC 60204-1:2016</w:t>
      </w:r>
      <w:r>
        <w:rPr>
          <w:rFonts w:eastAsia="Times New Roman" w:cstheme="majorHAnsi"/>
          <w:szCs w:val="24"/>
        </w:rPr>
        <w:t xml:space="preserve"> for electrical equipment of machinery. </w:t>
      </w:r>
    </w:p>
    <w:p w14:paraId="71C86D7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That is a good reason to aim for </w:t>
      </w:r>
      <w:r>
        <w:rPr>
          <w:rFonts w:eastAsia="Times New Roman" w:cstheme="majorHAnsi"/>
          <w:b/>
          <w:bCs/>
          <w:szCs w:val="24"/>
        </w:rPr>
        <w:t>one international conductor-rail interface</w:t>
      </w:r>
      <w:r>
        <w:rPr>
          <w:rFonts w:eastAsia="Times New Roman" w:cstheme="majorHAnsi"/>
          <w:szCs w:val="24"/>
        </w:rPr>
        <w:t>, rather than incompatible Chinese and American versions.</w:t>
      </w:r>
    </w:p>
    <w:p w14:paraId="311CF561" w14:textId="77777777" w:rsidR="009C3A0E" w:rsidRDefault="00994197">
      <w:pPr>
        <w:pStyle w:val="Heading2"/>
        <w:spacing w:before="280"/>
      </w:pPr>
      <w:r>
        <w:t>Data communication should probably use OPC UA</w:t>
      </w:r>
    </w:p>
    <w:p w14:paraId="3EFE611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would strongly prefer </w:t>
      </w:r>
      <w:r>
        <w:rPr>
          <w:rFonts w:eastAsia="Times New Roman" w:cstheme="majorHAnsi"/>
          <w:b/>
          <w:bCs/>
          <w:szCs w:val="24"/>
        </w:rPr>
        <w:t>not</w:t>
      </w:r>
      <w:r>
        <w:rPr>
          <w:rFonts w:eastAsia="Times New Roman" w:cstheme="majorHAnsi"/>
          <w:szCs w:val="24"/>
        </w:rPr>
        <w:t xml:space="preserve"> to invent another industrial communications protocol.</w:t>
      </w:r>
    </w:p>
    <w:p w14:paraId="3FDF2A1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IEC already recognizes the IEC 62541 OPC UA family for industrial communications, and the OPC Foundation specifically supports </w:t>
      </w:r>
      <w:r>
        <w:rPr>
          <w:rFonts w:eastAsia="Times New Roman" w:cstheme="majorHAnsi"/>
          <w:b/>
          <w:bCs/>
          <w:szCs w:val="24"/>
        </w:rPr>
        <w:t>Companion Specifications</w:t>
      </w:r>
      <w:r>
        <w:rPr>
          <w:rFonts w:eastAsia="Times New Roman" w:cstheme="majorHAnsi"/>
          <w:szCs w:val="24"/>
        </w:rPr>
        <w:t xml:space="preserve"> that add an industry-specific semantic information model on top of OPC UA. </w:t>
      </w:r>
    </w:p>
    <w:p w14:paraId="6F5F58F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 would therefore develop something like an:</w:t>
      </w:r>
    </w:p>
    <w:p w14:paraId="37E447E2" w14:textId="77777777" w:rsidR="009C3A0E" w:rsidRDefault="00994197">
      <w:pPr>
        <w:spacing w:before="280" w:after="280"/>
        <w:rPr>
          <w:rFonts w:asciiTheme="majorHAnsi" w:eastAsia="Times New Roman" w:hAnsiTheme="majorHAnsi" w:cstheme="majorHAnsi"/>
          <w:szCs w:val="24"/>
        </w:rPr>
      </w:pPr>
      <w:r>
        <w:rPr>
          <w:rFonts w:eastAsia="Times New Roman" w:cstheme="majorHAnsi"/>
          <w:b/>
          <w:bCs/>
          <w:szCs w:val="24"/>
        </w:rPr>
        <w:lastRenderedPageBreak/>
        <w:t>"OPC UA Companion Specification for Modular Industrial Processing Sites."</w:t>
      </w:r>
    </w:p>
    <w:p w14:paraId="4BA6684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Every compliant platform would expose the same objects:</w:t>
      </w:r>
    </w:p>
    <w:p w14:paraId="49FAD743" w14:textId="77777777" w:rsidR="009C3A0E" w:rsidRDefault="00994197" w:rsidP="00350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36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Module</w:t>
      </w:r>
    </w:p>
    <w:p w14:paraId="37210805" w14:textId="77777777" w:rsidR="009C3A0E" w:rsidRDefault="00994197" w:rsidP="00350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36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r>
        <w:rPr>
          <w:rFonts w:ascii="Courier New" w:eastAsia="MS Gothic" w:hAnsi="Courier New" w:cs="Courier New"/>
          <w:color w:val="4F81BD" w:themeColor="accent1"/>
          <w:sz w:val="20"/>
          <w:szCs w:val="20"/>
        </w:rPr>
        <w:t>├</w:t>
      </w:r>
      <w:r>
        <w:rPr>
          <w:rFonts w:ascii="Courier New" w:eastAsia="Times New Roman" w:hAnsi="Courier New" w:cs="Courier New"/>
          <w:color w:val="4F81BD" w:themeColor="accent1"/>
          <w:sz w:val="20"/>
          <w:szCs w:val="20"/>
        </w:rPr>
        <w:t>─ Identity</w:t>
      </w:r>
    </w:p>
    <w:p w14:paraId="093D8A20" w14:textId="77777777" w:rsidR="009C3A0E" w:rsidRDefault="00994197" w:rsidP="00350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36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r>
        <w:rPr>
          <w:rFonts w:ascii="Courier New" w:eastAsia="MS Gothic" w:hAnsi="Courier New" w:cs="Courier New"/>
          <w:color w:val="4F81BD" w:themeColor="accent1"/>
          <w:sz w:val="20"/>
          <w:szCs w:val="20"/>
        </w:rPr>
        <w:t>├</w:t>
      </w:r>
      <w:r>
        <w:rPr>
          <w:rFonts w:ascii="Courier New" w:eastAsia="Times New Roman" w:hAnsi="Courier New" w:cs="Courier New"/>
          <w:color w:val="4F81BD" w:themeColor="accent1"/>
          <w:sz w:val="20"/>
          <w:szCs w:val="20"/>
        </w:rPr>
        <w:t>─ MechanicalStatus</w:t>
      </w:r>
    </w:p>
    <w:p w14:paraId="18E8AD18" w14:textId="77777777" w:rsidR="009C3A0E" w:rsidRDefault="00994197" w:rsidP="00350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36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r>
        <w:rPr>
          <w:rFonts w:ascii="Courier New" w:eastAsia="MS Gothic" w:hAnsi="Courier New" w:cs="Courier New"/>
          <w:color w:val="4F81BD" w:themeColor="accent1"/>
          <w:sz w:val="20"/>
          <w:szCs w:val="20"/>
        </w:rPr>
        <w:t>├</w:t>
      </w:r>
      <w:r>
        <w:rPr>
          <w:rFonts w:ascii="Courier New" w:eastAsia="Times New Roman" w:hAnsi="Courier New" w:cs="Courier New"/>
          <w:color w:val="4F81BD" w:themeColor="accent1"/>
          <w:sz w:val="20"/>
          <w:szCs w:val="20"/>
        </w:rPr>
        <w:t>─ ElectricalInterface</w:t>
      </w:r>
    </w:p>
    <w:p w14:paraId="31451F6D" w14:textId="77777777" w:rsidR="009C3A0E" w:rsidRDefault="00994197" w:rsidP="00350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36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r>
        <w:rPr>
          <w:rFonts w:ascii="Courier New" w:eastAsia="MS Gothic" w:hAnsi="Courier New" w:cs="Courier New"/>
          <w:color w:val="4F81BD" w:themeColor="accent1"/>
          <w:sz w:val="20"/>
          <w:szCs w:val="20"/>
        </w:rPr>
        <w:t>├</w:t>
      </w:r>
      <w:r>
        <w:rPr>
          <w:rFonts w:ascii="Courier New" w:eastAsia="Times New Roman" w:hAnsi="Courier New" w:cs="Courier New"/>
          <w:color w:val="4F81BD" w:themeColor="accent1"/>
          <w:sz w:val="20"/>
          <w:szCs w:val="20"/>
        </w:rPr>
        <w:t>─ HeatInterface</w:t>
      </w:r>
    </w:p>
    <w:p w14:paraId="43D36ACB" w14:textId="77777777" w:rsidR="009C3A0E" w:rsidRDefault="00994197" w:rsidP="00350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36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r>
        <w:rPr>
          <w:rFonts w:ascii="Courier New" w:eastAsia="MS Gothic" w:hAnsi="Courier New" w:cs="Courier New"/>
          <w:color w:val="4F81BD" w:themeColor="accent1"/>
          <w:sz w:val="20"/>
          <w:szCs w:val="20"/>
        </w:rPr>
        <w:t>├</w:t>
      </w:r>
      <w:r>
        <w:rPr>
          <w:rFonts w:ascii="Courier New" w:eastAsia="Times New Roman" w:hAnsi="Courier New" w:cs="Courier New"/>
          <w:color w:val="4F81BD" w:themeColor="accent1"/>
          <w:sz w:val="20"/>
          <w:szCs w:val="20"/>
        </w:rPr>
        <w:t>─ MaterialInputs</w:t>
      </w:r>
    </w:p>
    <w:p w14:paraId="20B4D18E" w14:textId="77777777" w:rsidR="009C3A0E" w:rsidRDefault="00994197" w:rsidP="00350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36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r>
        <w:rPr>
          <w:rFonts w:ascii="Courier New" w:eastAsia="MS Gothic" w:hAnsi="Courier New" w:cs="Courier New"/>
          <w:color w:val="4F81BD" w:themeColor="accent1"/>
          <w:sz w:val="20"/>
          <w:szCs w:val="20"/>
        </w:rPr>
        <w:t>├</w:t>
      </w:r>
      <w:r>
        <w:rPr>
          <w:rFonts w:ascii="Courier New" w:eastAsia="Times New Roman" w:hAnsi="Courier New" w:cs="Courier New"/>
          <w:color w:val="4F81BD" w:themeColor="accent1"/>
          <w:sz w:val="20"/>
          <w:szCs w:val="20"/>
        </w:rPr>
        <w:t>─ MaterialOutputs</w:t>
      </w:r>
    </w:p>
    <w:p w14:paraId="53D7E5F6" w14:textId="77777777" w:rsidR="009C3A0E" w:rsidRDefault="00994197" w:rsidP="00350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36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r>
        <w:rPr>
          <w:rFonts w:ascii="Courier New" w:eastAsia="MS Gothic" w:hAnsi="Courier New" w:cs="Courier New"/>
          <w:color w:val="4F81BD" w:themeColor="accent1"/>
          <w:sz w:val="20"/>
          <w:szCs w:val="20"/>
        </w:rPr>
        <w:t>├</w:t>
      </w:r>
      <w:r>
        <w:rPr>
          <w:rFonts w:ascii="Courier New" w:eastAsia="Times New Roman" w:hAnsi="Courier New" w:cs="Courier New"/>
          <w:color w:val="4F81BD" w:themeColor="accent1"/>
          <w:sz w:val="20"/>
          <w:szCs w:val="20"/>
        </w:rPr>
        <w:t>─ SafetyState</w:t>
      </w:r>
    </w:p>
    <w:p w14:paraId="1C9E031C" w14:textId="77777777" w:rsidR="009C3A0E" w:rsidRDefault="00994197" w:rsidP="00350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36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r>
        <w:rPr>
          <w:rFonts w:ascii="Courier New" w:eastAsia="MS Gothic" w:hAnsi="Courier New" w:cs="Courier New"/>
          <w:color w:val="4F81BD" w:themeColor="accent1"/>
          <w:sz w:val="20"/>
          <w:szCs w:val="20"/>
        </w:rPr>
        <w:t>├</w:t>
      </w:r>
      <w:r>
        <w:rPr>
          <w:rFonts w:ascii="Courier New" w:eastAsia="Times New Roman" w:hAnsi="Courier New" w:cs="Courier New"/>
          <w:color w:val="4F81BD" w:themeColor="accent1"/>
          <w:sz w:val="20"/>
          <w:szCs w:val="20"/>
        </w:rPr>
        <w:t>─ OperatingMode</w:t>
      </w:r>
    </w:p>
    <w:p w14:paraId="74E9FC7F" w14:textId="77777777" w:rsidR="009C3A0E" w:rsidRDefault="00994197" w:rsidP="00350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36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r>
        <w:rPr>
          <w:rFonts w:ascii="Courier New" w:eastAsia="MS Gothic" w:hAnsi="Courier New" w:cs="Courier New"/>
          <w:color w:val="4F81BD" w:themeColor="accent1"/>
          <w:sz w:val="20"/>
          <w:szCs w:val="20"/>
        </w:rPr>
        <w:t>├</w:t>
      </w:r>
      <w:r>
        <w:rPr>
          <w:rFonts w:ascii="Courier New" w:eastAsia="Times New Roman" w:hAnsi="Courier New" w:cs="Courier New"/>
          <w:color w:val="4F81BD" w:themeColor="accent1"/>
          <w:sz w:val="20"/>
          <w:szCs w:val="20"/>
        </w:rPr>
        <w:t>─ Alarms</w:t>
      </w:r>
    </w:p>
    <w:p w14:paraId="4F887E3C" w14:textId="77777777" w:rsidR="009C3A0E" w:rsidRDefault="00994197" w:rsidP="00350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36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r>
        <w:rPr>
          <w:rFonts w:ascii="Courier New" w:eastAsia="MS Gothic" w:hAnsi="Courier New" w:cs="Courier New"/>
          <w:color w:val="4F81BD" w:themeColor="accent1"/>
          <w:sz w:val="20"/>
          <w:szCs w:val="20"/>
        </w:rPr>
        <w:t>├</w:t>
      </w:r>
      <w:r>
        <w:rPr>
          <w:rFonts w:ascii="Courier New" w:eastAsia="Times New Roman" w:hAnsi="Courier New" w:cs="Courier New"/>
          <w:color w:val="4F81BD" w:themeColor="accent1"/>
          <w:sz w:val="20"/>
          <w:szCs w:val="20"/>
        </w:rPr>
        <w:t>─ Maintenance</w:t>
      </w:r>
    </w:p>
    <w:p w14:paraId="425FA56E" w14:textId="77777777" w:rsidR="009C3A0E" w:rsidRDefault="00994197" w:rsidP="00350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360"/>
        <w:rPr>
          <w:rFonts w:asciiTheme="majorHAnsi" w:eastAsia="Times New Roman" w:hAnsiTheme="majorHAnsi" w:cstheme="majorHAnsi"/>
          <w:sz w:val="20"/>
          <w:szCs w:val="20"/>
        </w:rPr>
      </w:pPr>
      <w:r>
        <w:rPr>
          <w:rFonts w:ascii="Courier New" w:eastAsia="Times New Roman" w:hAnsi="Courier New" w:cs="Courier New"/>
          <w:color w:val="4F81BD" w:themeColor="accent1"/>
          <w:sz w:val="20"/>
          <w:szCs w:val="20"/>
        </w:rPr>
        <w:t xml:space="preserve"> └─ RemainingUsefulLife</w:t>
      </w:r>
    </w:p>
    <w:p w14:paraId="6A5A3A6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central site computer could discover a newly installed platform automatically.</w:t>
      </w:r>
    </w:p>
    <w:p w14:paraId="2280AD7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ISO 15926 is also relevant because it is specifically intended for </w:t>
      </w:r>
      <w:r>
        <w:rPr>
          <w:rFonts w:eastAsia="Times New Roman" w:cstheme="majorHAnsi"/>
          <w:b/>
          <w:bCs/>
          <w:szCs w:val="24"/>
        </w:rPr>
        <w:t>integration of lifecycle data for process plants</w:t>
      </w:r>
      <w:r>
        <w:rPr>
          <w:rFonts w:eastAsia="Times New Roman" w:cstheme="majorHAnsi"/>
          <w:szCs w:val="24"/>
        </w:rPr>
        <w:t xml:space="preserve">, while ISA-95/IEC 62264 addresses integration of manufacturing/logistics systems with plant control. </w:t>
      </w:r>
    </w:p>
    <w:p w14:paraId="3D8C3CD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So, I would use:</w:t>
      </w:r>
    </w:p>
    <w:p w14:paraId="48081426" w14:textId="77777777" w:rsidR="009C3A0E" w:rsidRDefault="00994197" w:rsidP="003509FF">
      <w:pPr>
        <w:pStyle w:val="bblueindent"/>
      </w:pPr>
      <w:r>
        <w:t>OPC UA for live communications</w:t>
      </w:r>
    </w:p>
    <w:p w14:paraId="78F9C72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and</w:t>
      </w:r>
    </w:p>
    <w:p w14:paraId="215AED3B" w14:textId="77777777" w:rsidR="009C3A0E" w:rsidRDefault="00994197" w:rsidP="003509FF">
      <w:pPr>
        <w:pStyle w:val="bblueindent"/>
      </w:pPr>
      <w:r>
        <w:t>ISO 15926-type definitions for long-term engineering/lifecycle data.</w:t>
      </w:r>
    </w:p>
    <w:p w14:paraId="384BA8DB" w14:textId="77777777" w:rsidR="009C3A0E" w:rsidRDefault="00994197">
      <w:pPr>
        <w:pStyle w:val="Heading2"/>
        <w:spacing w:before="280"/>
      </w:pPr>
      <w:r>
        <w:t>Cybersecurity must be in version 1.0</w:t>
      </w:r>
    </w:p>
    <w:p w14:paraId="4999AAC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Because these machines could move thousands of tonnes, switch megawatts of power, or open chemical valves, cybersecurity cannot be added later.</w:t>
      </w:r>
    </w:p>
    <w:p w14:paraId="2739909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IEC 62443 already provides industrial automation cybersecurity requirements, including secure product-development requirements and security requirements for industrial components and systems. </w:t>
      </w:r>
    </w:p>
    <w:p w14:paraId="666D248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new standard should therefore specify how IEC 62443 is applied to the modular yard rather than inventing a new cybersecurity framework.</w:t>
      </w:r>
    </w:p>
    <w:p w14:paraId="041F654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lastRenderedPageBreak/>
        <w:t>For instance, a replacement platform arriving from the factory shouldn't be allowed onto the operating network merely because someone plugged in its fiber connector.</w:t>
      </w:r>
    </w:p>
    <w:p w14:paraId="437D0F8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It should present a cryptographic machine identity, authenticate, load its certified data model, and be granted only the commands appropriate to that equipment.</w:t>
      </w:r>
    </w:p>
    <w:p w14:paraId="2FC9E432" w14:textId="77777777" w:rsidR="009C3A0E" w:rsidRDefault="00994197">
      <w:pPr>
        <w:pStyle w:val="Heading2"/>
        <w:spacing w:before="280"/>
      </w:pPr>
      <w:r>
        <w:t>Thermal storage already has a useful standards home</w:t>
      </w:r>
    </w:p>
    <w:p w14:paraId="6F441B7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This part is unusually convenient.</w:t>
      </w:r>
    </w:p>
    <w:p w14:paraId="22DDB09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ASME has a dedicated </w:t>
      </w:r>
      <w:r>
        <w:rPr>
          <w:rFonts w:eastAsia="Times New Roman" w:cstheme="majorHAnsi"/>
          <w:b/>
          <w:bCs/>
          <w:szCs w:val="24"/>
        </w:rPr>
        <w:t>Thermal Energy Storage Standards Committee</w:t>
      </w:r>
      <w:r>
        <w:rPr>
          <w:rFonts w:eastAsia="Times New Roman" w:cstheme="majorHAnsi"/>
          <w:szCs w:val="24"/>
        </w:rPr>
        <w:t xml:space="preserve">, and </w:t>
      </w:r>
      <w:r>
        <w:rPr>
          <w:rFonts w:eastAsia="Times New Roman" w:cstheme="majorHAnsi"/>
          <w:b/>
          <w:bCs/>
          <w:szCs w:val="24"/>
        </w:rPr>
        <w:t>ASME TES-1</w:t>
      </w:r>
      <w:r>
        <w:rPr>
          <w:rFonts w:eastAsia="Times New Roman" w:cstheme="majorHAnsi"/>
          <w:szCs w:val="24"/>
        </w:rPr>
        <w:t xml:space="preserve"> already establishes lifecycle requirements for molten-salt thermal storage, including storage vessels, pumps, valves, piping, heat exchangers and controls. </w:t>
      </w:r>
    </w:p>
    <w:p w14:paraId="2DCD6CE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Therefore, your automated tank-building idea probably does </w:t>
      </w:r>
      <w:r>
        <w:rPr>
          <w:rFonts w:eastAsia="Times New Roman" w:cstheme="majorHAnsi"/>
          <w:b/>
          <w:bCs/>
          <w:szCs w:val="24"/>
        </w:rPr>
        <w:t>not</w:t>
      </w:r>
      <w:r>
        <w:rPr>
          <w:rFonts w:eastAsia="Times New Roman" w:cstheme="majorHAnsi"/>
          <w:szCs w:val="24"/>
        </w:rPr>
        <w:t xml:space="preserve"> need a new standard for basic molten-salt storage safety.</w:t>
      </w:r>
    </w:p>
    <w:p w14:paraId="3CD782A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It needs a new standard for:</w:t>
      </w:r>
    </w:p>
    <w:p w14:paraId="32BD1FDC" w14:textId="77777777" w:rsidR="009C3A0E" w:rsidRDefault="00994197" w:rsidP="00D7515C">
      <w:pPr>
        <w:pStyle w:val="bblueindent"/>
      </w:pPr>
      <w:r>
        <w:t>factory-made tank panels + automated tank construction + robotic welding/NDE + standardized tank-service modules + connections to the site heat network.</w:t>
      </w:r>
    </w:p>
    <w:p w14:paraId="1C7BFBD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ASME would be a particularly logical home for that work.</w:t>
      </w:r>
    </w:p>
    <w:p w14:paraId="5B781993" w14:textId="77777777" w:rsidR="009C3A0E" w:rsidRDefault="00994197">
      <w:pPr>
        <w:pStyle w:val="Heading2"/>
        <w:spacing w:before="280"/>
      </w:pPr>
      <w:r>
        <w:t>Ship loading/unloading also has a substantial existing foundation</w:t>
      </w:r>
    </w:p>
    <w:p w14:paraId="297A136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ISO/TC 8 already has committees specifically covering </w:t>
      </w:r>
      <w:r>
        <w:rPr>
          <w:rFonts w:eastAsia="Times New Roman" w:cstheme="majorHAnsi"/>
          <w:b/>
          <w:bCs/>
          <w:szCs w:val="24"/>
        </w:rPr>
        <w:t>ship piping/machinery, fluid-transfer connections, ship-to-shore interfaces, ports and terminals</w:t>
      </w:r>
      <w:r>
        <w:rPr>
          <w:rFonts w:eastAsia="Times New Roman" w:cstheme="majorHAnsi"/>
          <w:szCs w:val="24"/>
        </w:rPr>
        <w:t xml:space="preserve">. </w:t>
      </w:r>
    </w:p>
    <w:p w14:paraId="4B46A7E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OCIMF also maintains detailed guidance for marine loading arms, including operating envelopes, products transferred, manifold spacing and jetty/piping layouts. </w:t>
      </w:r>
    </w:p>
    <w:p w14:paraId="70A39105" w14:textId="77777777" w:rsidR="009C3A0E" w:rsidRDefault="00B71A27">
      <w:pPr>
        <w:spacing w:before="280" w:after="280"/>
        <w:rPr>
          <w:rFonts w:asciiTheme="majorHAnsi" w:eastAsia="Times New Roman" w:hAnsiTheme="majorHAnsi" w:cstheme="majorHAnsi"/>
          <w:szCs w:val="24"/>
        </w:rPr>
      </w:pPr>
      <w:r>
        <w:rPr>
          <w:rFonts w:eastAsia="Times New Roman" w:cstheme="majorHAnsi"/>
          <w:szCs w:val="24"/>
        </w:rPr>
        <w:t xml:space="preserve">Therefore, the new standard should concentrate on the </w:t>
      </w:r>
      <w:r>
        <w:rPr>
          <w:rFonts w:eastAsia="Times New Roman" w:cstheme="majorHAnsi"/>
          <w:b/>
          <w:bCs/>
          <w:szCs w:val="24"/>
        </w:rPr>
        <w:t>yard-side modular interface</w:t>
      </w:r>
      <w:r>
        <w:rPr>
          <w:rFonts w:eastAsia="Times New Roman" w:cstheme="majorHAnsi"/>
          <w:szCs w:val="24"/>
        </w:rPr>
        <w:t>, rather than redesigning the ship's loading arm.</w:t>
      </w:r>
    </w:p>
    <w:p w14:paraId="4DFF59B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example:</w:t>
      </w:r>
    </w:p>
    <w:p w14:paraId="58208BEE" w14:textId="77777777" w:rsidR="009C3A0E" w:rsidRDefault="00994197" w:rsidP="00D7515C">
      <w:pPr>
        <w:pStyle w:val="bblueindent"/>
      </w:pPr>
      <w:r>
        <w:t>OCIMF-compliant loading arm → standardized Waterfront Module Interface WM-1 → standardized underground material spine → standardized Platform Material Interface PM-1.</w:t>
      </w:r>
    </w:p>
    <w:p w14:paraId="73A4FEE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allows the new system to plug into established marine practice.</w:t>
      </w:r>
    </w:p>
    <w:p w14:paraId="1BD2DA47" w14:textId="77777777" w:rsidR="009C3A0E" w:rsidRDefault="00994197">
      <w:pPr>
        <w:pStyle w:val="Heading2"/>
        <w:spacing w:before="280"/>
      </w:pPr>
      <w:r>
        <w:lastRenderedPageBreak/>
        <w:t>Who should develop the standards?</w:t>
      </w:r>
    </w:p>
    <w:p w14:paraId="030C95DC" w14:textId="77777777" w:rsidR="009C3A0E" w:rsidRDefault="00994197">
      <w:pPr>
        <w:rPr>
          <w:rFonts w:asciiTheme="majorHAnsi" w:eastAsia="Times New Roman" w:hAnsiTheme="majorHAnsi" w:cstheme="majorHAnsi"/>
          <w:szCs w:val="24"/>
        </w:rPr>
      </w:pPr>
      <w:r>
        <w:rPr>
          <w:rFonts w:eastAsia="Times New Roman" w:cstheme="majorHAnsi"/>
          <w:szCs w:val="24"/>
        </w:rPr>
        <w:t>I would not give the whole job to one standards organization. It spans too many specialties.</w:t>
      </w:r>
    </w:p>
    <w:tbl>
      <w:tblPr>
        <w:tblStyle w:val="gswTableStyle"/>
        <w:tblW w:w="7868" w:type="dxa"/>
        <w:tblLayout w:type="fixed"/>
        <w:tblLook w:val="04A0" w:firstRow="1" w:lastRow="0" w:firstColumn="1" w:lastColumn="0" w:noHBand="0" w:noVBand="1"/>
      </w:tblPr>
      <w:tblGrid>
        <w:gridCol w:w="2516"/>
        <w:gridCol w:w="5352"/>
      </w:tblGrid>
      <w:tr w:rsidR="009C3A0E" w14:paraId="3A9D8B04" w14:textId="77777777" w:rsidTr="009C3A0E">
        <w:trPr>
          <w:cnfStyle w:val="100000000000" w:firstRow="1" w:lastRow="0" w:firstColumn="0" w:lastColumn="0" w:oddVBand="0" w:evenVBand="0" w:oddHBand="0" w:evenHBand="0" w:firstRowFirstColumn="0" w:firstRowLastColumn="0" w:lastRowFirstColumn="0" w:lastRowLastColumn="0"/>
          <w:tblHeader/>
        </w:trPr>
        <w:tc>
          <w:tcPr>
            <w:tcW w:w="2516" w:type="dxa"/>
          </w:tcPr>
          <w:p w14:paraId="14DDD804" w14:textId="77777777" w:rsidR="009C3A0E" w:rsidRDefault="00994197">
            <w:pPr>
              <w:pStyle w:val="cTableHeader"/>
              <w:spacing w:before="0" w:after="0"/>
            </w:pPr>
            <w:r>
              <w:t>Area</w:t>
            </w:r>
          </w:p>
        </w:tc>
        <w:tc>
          <w:tcPr>
            <w:tcW w:w="5351" w:type="dxa"/>
          </w:tcPr>
          <w:p w14:paraId="1DB4C2B0" w14:textId="77777777" w:rsidR="009C3A0E" w:rsidRDefault="00994197">
            <w:pPr>
              <w:pStyle w:val="cTableHeader"/>
              <w:spacing w:before="0" w:after="0"/>
            </w:pPr>
            <w:r>
              <w:t>Organizations I would involve</w:t>
            </w:r>
          </w:p>
        </w:tc>
      </w:tr>
      <w:tr w:rsidR="009C3A0E" w14:paraId="2E8FC82F" w14:textId="77777777" w:rsidTr="009C3A0E">
        <w:tc>
          <w:tcPr>
            <w:tcW w:w="2516" w:type="dxa"/>
          </w:tcPr>
          <w:p w14:paraId="48EAF151" w14:textId="77777777" w:rsidR="009C3A0E" w:rsidRDefault="00994197">
            <w:pPr>
              <w:pStyle w:val="cTableBody"/>
              <w:spacing w:before="0"/>
            </w:pPr>
            <w:r>
              <w:t>Overall architecture</w:t>
            </w:r>
          </w:p>
        </w:tc>
        <w:tc>
          <w:tcPr>
            <w:tcW w:w="5351" w:type="dxa"/>
          </w:tcPr>
          <w:p w14:paraId="78389A99" w14:textId="77777777" w:rsidR="009C3A0E" w:rsidRDefault="00994197">
            <w:pPr>
              <w:pStyle w:val="cTableBody"/>
              <w:spacing w:before="0"/>
            </w:pPr>
            <w:r>
              <w:t>ISO, ANSI, SAC; industrial consortium</w:t>
            </w:r>
          </w:p>
        </w:tc>
      </w:tr>
      <w:tr w:rsidR="009C3A0E" w14:paraId="7595F2A7" w14:textId="77777777" w:rsidTr="009C3A0E">
        <w:tc>
          <w:tcPr>
            <w:tcW w:w="2516" w:type="dxa"/>
          </w:tcPr>
          <w:p w14:paraId="5CFF7C6D" w14:textId="77777777" w:rsidR="009C3A0E" w:rsidRDefault="00994197">
            <w:pPr>
              <w:pStyle w:val="cTableBody"/>
              <w:spacing w:before="0"/>
            </w:pPr>
            <w:r>
              <w:t>Giant platforms / structures</w:t>
            </w:r>
          </w:p>
        </w:tc>
        <w:tc>
          <w:tcPr>
            <w:tcW w:w="5351" w:type="dxa"/>
          </w:tcPr>
          <w:p w14:paraId="50555B21" w14:textId="77777777" w:rsidR="009C3A0E" w:rsidRDefault="00994197">
            <w:pPr>
              <w:pStyle w:val="cTableBody"/>
              <w:spacing w:before="0"/>
            </w:pPr>
            <w:r>
              <w:t>ASME, AISC, ISO</w:t>
            </w:r>
          </w:p>
        </w:tc>
      </w:tr>
      <w:tr w:rsidR="009C3A0E" w14:paraId="1A97C239" w14:textId="77777777" w:rsidTr="009C3A0E">
        <w:tc>
          <w:tcPr>
            <w:tcW w:w="2516" w:type="dxa"/>
          </w:tcPr>
          <w:p w14:paraId="148ADF91" w14:textId="77777777" w:rsidR="009C3A0E" w:rsidRDefault="00994197">
            <w:pPr>
              <w:pStyle w:val="cTableBody"/>
              <w:spacing w:before="0"/>
            </w:pPr>
            <w:r>
              <w:t>Railcars / track / transporter</w:t>
            </w:r>
          </w:p>
        </w:tc>
        <w:tc>
          <w:tcPr>
            <w:tcW w:w="5351" w:type="dxa"/>
          </w:tcPr>
          <w:p w14:paraId="2EAF6A8F" w14:textId="77777777" w:rsidR="009C3A0E" w:rsidRDefault="00994197">
            <w:pPr>
              <w:pStyle w:val="cTableBody"/>
              <w:spacing w:before="0"/>
            </w:pPr>
            <w:r>
              <w:t>ISO/TC 269</w:t>
            </w:r>
          </w:p>
        </w:tc>
      </w:tr>
      <w:tr w:rsidR="009C3A0E" w14:paraId="6D2C5810" w14:textId="77777777" w:rsidTr="009C3A0E">
        <w:tc>
          <w:tcPr>
            <w:tcW w:w="2516" w:type="dxa"/>
          </w:tcPr>
          <w:p w14:paraId="4B02C91E" w14:textId="77777777" w:rsidR="009C3A0E" w:rsidRDefault="00994197">
            <w:pPr>
              <w:pStyle w:val="cTableBody"/>
              <w:spacing w:before="0"/>
            </w:pPr>
            <w:r>
              <w:t>Electrified rail</w:t>
            </w:r>
          </w:p>
        </w:tc>
        <w:tc>
          <w:tcPr>
            <w:tcW w:w="5351" w:type="dxa"/>
          </w:tcPr>
          <w:p w14:paraId="44EA5785" w14:textId="77777777" w:rsidR="009C3A0E" w:rsidRDefault="00994197">
            <w:pPr>
              <w:pStyle w:val="cTableBody"/>
              <w:spacing w:before="0"/>
            </w:pPr>
            <w:r>
              <w:t>IEC/TC 9, IEC electrical committees</w:t>
            </w:r>
          </w:p>
        </w:tc>
      </w:tr>
      <w:tr w:rsidR="009C3A0E" w14:paraId="5761CD1D" w14:textId="77777777" w:rsidTr="009C3A0E">
        <w:tc>
          <w:tcPr>
            <w:tcW w:w="2516" w:type="dxa"/>
          </w:tcPr>
          <w:p w14:paraId="593B5A58" w14:textId="77777777" w:rsidR="009C3A0E" w:rsidRDefault="00994197">
            <w:pPr>
              <w:pStyle w:val="cTableBody"/>
              <w:spacing w:before="0"/>
            </w:pPr>
            <w:r>
              <w:t>Process piping</w:t>
            </w:r>
          </w:p>
        </w:tc>
        <w:tc>
          <w:tcPr>
            <w:tcW w:w="5351" w:type="dxa"/>
          </w:tcPr>
          <w:p w14:paraId="5505B79C" w14:textId="77777777" w:rsidR="009C3A0E" w:rsidRDefault="00994197">
            <w:pPr>
              <w:pStyle w:val="cTableBody"/>
              <w:spacing w:before="0"/>
            </w:pPr>
            <w:r>
              <w:t>ASME B31, ISO/TC 67; Chinese pressure-piping committees</w:t>
            </w:r>
          </w:p>
        </w:tc>
      </w:tr>
      <w:tr w:rsidR="009C3A0E" w14:paraId="2EC3CF08" w14:textId="77777777" w:rsidTr="009C3A0E">
        <w:tc>
          <w:tcPr>
            <w:tcW w:w="2516" w:type="dxa"/>
          </w:tcPr>
          <w:p w14:paraId="5E06AB86" w14:textId="77777777" w:rsidR="009C3A0E" w:rsidRDefault="00994197">
            <w:pPr>
              <w:pStyle w:val="cTableBody"/>
              <w:spacing w:before="0"/>
            </w:pPr>
            <w:r>
              <w:t>Pressure vessels</w:t>
            </w:r>
          </w:p>
        </w:tc>
        <w:tc>
          <w:tcPr>
            <w:tcW w:w="5351" w:type="dxa"/>
          </w:tcPr>
          <w:p w14:paraId="40EF134A" w14:textId="77777777" w:rsidR="009C3A0E" w:rsidRDefault="00994197">
            <w:pPr>
              <w:pStyle w:val="cTableBody"/>
              <w:spacing w:before="0"/>
            </w:pPr>
            <w:r>
              <w:t>ASME BPVC, Chinese GB/T 150 committees</w:t>
            </w:r>
          </w:p>
        </w:tc>
      </w:tr>
      <w:tr w:rsidR="009C3A0E" w14:paraId="3B6FA2B1" w14:textId="77777777" w:rsidTr="009C3A0E">
        <w:tc>
          <w:tcPr>
            <w:tcW w:w="2516" w:type="dxa"/>
          </w:tcPr>
          <w:p w14:paraId="28EA34E2" w14:textId="77777777" w:rsidR="009C3A0E" w:rsidRDefault="00994197">
            <w:pPr>
              <w:pStyle w:val="cTableBody"/>
              <w:spacing w:before="0"/>
            </w:pPr>
            <w:r>
              <w:t>Thermal storage</w:t>
            </w:r>
          </w:p>
        </w:tc>
        <w:tc>
          <w:tcPr>
            <w:tcW w:w="5351" w:type="dxa"/>
          </w:tcPr>
          <w:p w14:paraId="3BFB86D0" w14:textId="77777777" w:rsidR="009C3A0E" w:rsidRDefault="00994197">
            <w:pPr>
              <w:pStyle w:val="cTableBody"/>
              <w:spacing w:before="0"/>
            </w:pPr>
            <w:r>
              <w:t>ASME TES Committee</w:t>
            </w:r>
          </w:p>
        </w:tc>
      </w:tr>
      <w:tr w:rsidR="009C3A0E" w14:paraId="15EF5766" w14:textId="77777777" w:rsidTr="009C3A0E">
        <w:tc>
          <w:tcPr>
            <w:tcW w:w="2516" w:type="dxa"/>
          </w:tcPr>
          <w:p w14:paraId="44C144EE" w14:textId="77777777" w:rsidR="009C3A0E" w:rsidRDefault="00994197">
            <w:pPr>
              <w:pStyle w:val="cTableBody"/>
              <w:spacing w:before="0"/>
            </w:pPr>
            <w:r>
              <w:t>Machinery safety</w:t>
            </w:r>
          </w:p>
        </w:tc>
        <w:tc>
          <w:tcPr>
            <w:tcW w:w="5351" w:type="dxa"/>
          </w:tcPr>
          <w:p w14:paraId="457E3621" w14:textId="77777777" w:rsidR="009C3A0E" w:rsidRDefault="00994197">
            <w:pPr>
              <w:pStyle w:val="cTableBody"/>
              <w:spacing w:before="0"/>
            </w:pPr>
            <w:r>
              <w:t>ISO/TC 199, IEC</w:t>
            </w:r>
          </w:p>
        </w:tc>
      </w:tr>
      <w:tr w:rsidR="009C3A0E" w14:paraId="4CEEDADC" w14:textId="77777777" w:rsidTr="009C3A0E">
        <w:tc>
          <w:tcPr>
            <w:tcW w:w="2516" w:type="dxa"/>
          </w:tcPr>
          <w:p w14:paraId="19F89B81" w14:textId="77777777" w:rsidR="009C3A0E" w:rsidRDefault="00994197">
            <w:pPr>
              <w:pStyle w:val="cTableBody"/>
              <w:spacing w:before="0"/>
            </w:pPr>
            <w:r>
              <w:t>Electrical power</w:t>
            </w:r>
          </w:p>
        </w:tc>
        <w:tc>
          <w:tcPr>
            <w:tcW w:w="5351" w:type="dxa"/>
          </w:tcPr>
          <w:p w14:paraId="71726739" w14:textId="77777777" w:rsidR="009C3A0E" w:rsidRDefault="00994197">
            <w:pPr>
              <w:pStyle w:val="cTableBody"/>
              <w:spacing w:before="0"/>
            </w:pPr>
            <w:r>
              <w:t>IEC, IEEE; NFPA for U.S. installation/safety implementation</w:t>
            </w:r>
          </w:p>
        </w:tc>
      </w:tr>
      <w:tr w:rsidR="009C3A0E" w14:paraId="57F0CBBC" w14:textId="77777777" w:rsidTr="009C3A0E">
        <w:tc>
          <w:tcPr>
            <w:tcW w:w="2516" w:type="dxa"/>
          </w:tcPr>
          <w:p w14:paraId="024F0C28" w14:textId="77777777" w:rsidR="009C3A0E" w:rsidRDefault="00994197">
            <w:pPr>
              <w:pStyle w:val="cTableBody"/>
              <w:spacing w:before="0"/>
            </w:pPr>
            <w:r>
              <w:t>Industrial automation</w:t>
            </w:r>
          </w:p>
        </w:tc>
        <w:tc>
          <w:tcPr>
            <w:tcW w:w="5351" w:type="dxa"/>
          </w:tcPr>
          <w:p w14:paraId="2D921307" w14:textId="77777777" w:rsidR="009C3A0E" w:rsidRDefault="00994197">
            <w:pPr>
              <w:pStyle w:val="cTableBody"/>
              <w:spacing w:before="0"/>
            </w:pPr>
            <w:r>
              <w:t>IEC/TC 65, ISA</w:t>
            </w:r>
          </w:p>
        </w:tc>
      </w:tr>
      <w:tr w:rsidR="009C3A0E" w14:paraId="03FDE67E" w14:textId="77777777" w:rsidTr="009C3A0E">
        <w:tc>
          <w:tcPr>
            <w:tcW w:w="2516" w:type="dxa"/>
          </w:tcPr>
          <w:p w14:paraId="4BC4D41F" w14:textId="77777777" w:rsidR="009C3A0E" w:rsidRDefault="00994197">
            <w:pPr>
              <w:pStyle w:val="cTableBody"/>
              <w:spacing w:before="0"/>
            </w:pPr>
            <w:r>
              <w:t>Data interoperability</w:t>
            </w:r>
          </w:p>
        </w:tc>
        <w:tc>
          <w:tcPr>
            <w:tcW w:w="5351" w:type="dxa"/>
          </w:tcPr>
          <w:p w14:paraId="590A8785" w14:textId="77777777" w:rsidR="009C3A0E" w:rsidRDefault="00994197">
            <w:pPr>
              <w:pStyle w:val="cTableBody"/>
              <w:spacing w:before="0"/>
            </w:pPr>
            <w:r>
              <w:t>OPC Foundation, ISO/TC 184/SC 4</w:t>
            </w:r>
          </w:p>
        </w:tc>
      </w:tr>
      <w:tr w:rsidR="009C3A0E" w14:paraId="73FA6FB1" w14:textId="77777777" w:rsidTr="009C3A0E">
        <w:tc>
          <w:tcPr>
            <w:tcW w:w="2516" w:type="dxa"/>
          </w:tcPr>
          <w:p w14:paraId="3E8015D6" w14:textId="77777777" w:rsidR="009C3A0E" w:rsidRDefault="00994197">
            <w:pPr>
              <w:pStyle w:val="cTableBody"/>
              <w:spacing w:before="0"/>
            </w:pPr>
            <w:r>
              <w:t>Cybersecurity</w:t>
            </w:r>
          </w:p>
        </w:tc>
        <w:tc>
          <w:tcPr>
            <w:tcW w:w="5351" w:type="dxa"/>
          </w:tcPr>
          <w:p w14:paraId="52D29712" w14:textId="77777777" w:rsidR="009C3A0E" w:rsidRDefault="00994197">
            <w:pPr>
              <w:pStyle w:val="cTableBody"/>
              <w:spacing w:before="0"/>
            </w:pPr>
            <w:r>
              <w:t>IEC/ISA 62443 groups</w:t>
            </w:r>
          </w:p>
        </w:tc>
      </w:tr>
      <w:tr w:rsidR="009C3A0E" w14:paraId="69E1AEDF" w14:textId="77777777" w:rsidTr="009C3A0E">
        <w:tc>
          <w:tcPr>
            <w:tcW w:w="2516" w:type="dxa"/>
          </w:tcPr>
          <w:p w14:paraId="699BD78E" w14:textId="77777777" w:rsidR="009C3A0E" w:rsidRDefault="00994197">
            <w:pPr>
              <w:pStyle w:val="cTableBody"/>
              <w:spacing w:before="0"/>
            </w:pPr>
            <w:r>
              <w:t>Ships/port interface</w:t>
            </w:r>
          </w:p>
        </w:tc>
        <w:tc>
          <w:tcPr>
            <w:tcW w:w="5351" w:type="dxa"/>
          </w:tcPr>
          <w:p w14:paraId="1AA93EFA" w14:textId="77777777" w:rsidR="009C3A0E" w:rsidRDefault="00994197">
            <w:pPr>
              <w:pStyle w:val="cTableBody"/>
              <w:spacing w:before="0"/>
            </w:pPr>
            <w:r>
              <w:t>ISO/TC 8, OCIMF</w:t>
            </w:r>
          </w:p>
        </w:tc>
      </w:tr>
      <w:tr w:rsidR="009C3A0E" w14:paraId="594B193B" w14:textId="77777777" w:rsidTr="009C3A0E">
        <w:tc>
          <w:tcPr>
            <w:tcW w:w="2516" w:type="dxa"/>
          </w:tcPr>
          <w:p w14:paraId="11FE87BE" w14:textId="77777777" w:rsidR="009C3A0E" w:rsidRDefault="00994197">
            <w:pPr>
              <w:pStyle w:val="cTableBody"/>
              <w:spacing w:before="0"/>
            </w:pPr>
            <w:r>
              <w:t>Tanks/liquid terminals</w:t>
            </w:r>
          </w:p>
        </w:tc>
        <w:tc>
          <w:tcPr>
            <w:tcW w:w="5351" w:type="dxa"/>
          </w:tcPr>
          <w:p w14:paraId="6CAA389F" w14:textId="77777777" w:rsidR="009C3A0E" w:rsidRDefault="00994197">
            <w:pPr>
              <w:pStyle w:val="cTableBody"/>
              <w:spacing w:before="0"/>
            </w:pPr>
            <w:r>
              <w:t>API, ASME</w:t>
            </w:r>
          </w:p>
        </w:tc>
      </w:tr>
      <w:tr w:rsidR="009C3A0E" w14:paraId="5553269F" w14:textId="77777777" w:rsidTr="009C3A0E">
        <w:tc>
          <w:tcPr>
            <w:tcW w:w="2516" w:type="dxa"/>
          </w:tcPr>
          <w:p w14:paraId="3113D4CF" w14:textId="77777777" w:rsidR="009C3A0E" w:rsidRDefault="00994197">
            <w:pPr>
              <w:pStyle w:val="cTableBody"/>
              <w:spacing w:before="0"/>
            </w:pPr>
            <w:r>
              <w:t>China implementation</w:t>
            </w:r>
          </w:p>
        </w:tc>
        <w:tc>
          <w:tcPr>
            <w:tcW w:w="5351" w:type="dxa"/>
          </w:tcPr>
          <w:p w14:paraId="60D7E403" w14:textId="77777777" w:rsidR="009C3A0E" w:rsidRDefault="00994197">
            <w:pPr>
              <w:pStyle w:val="cTableBody"/>
              <w:spacing w:before="0"/>
            </w:pPr>
            <w:r>
              <w:t>SAC/SAMR and relevant Chinese national technical committees</w:t>
            </w:r>
          </w:p>
        </w:tc>
      </w:tr>
      <w:tr w:rsidR="009C3A0E" w14:paraId="39589FBC" w14:textId="77777777" w:rsidTr="009C3A0E">
        <w:tc>
          <w:tcPr>
            <w:tcW w:w="2516" w:type="dxa"/>
          </w:tcPr>
          <w:p w14:paraId="71FD924D" w14:textId="77777777" w:rsidR="009C3A0E" w:rsidRDefault="00994197">
            <w:pPr>
              <w:pStyle w:val="cTableBody"/>
              <w:spacing w:before="0"/>
            </w:pPr>
            <w:r>
              <w:t>U.S. implementation</w:t>
            </w:r>
          </w:p>
        </w:tc>
        <w:tc>
          <w:tcPr>
            <w:tcW w:w="5351" w:type="dxa"/>
          </w:tcPr>
          <w:p w14:paraId="27E28D6F" w14:textId="77777777" w:rsidR="009C3A0E" w:rsidRDefault="00994197">
            <w:pPr>
              <w:pStyle w:val="cTableBody"/>
              <w:spacing w:before="0"/>
            </w:pPr>
            <w:r>
              <w:t>ANSI-coordinated standards developers</w:t>
            </w:r>
          </w:p>
        </w:tc>
      </w:tr>
    </w:tbl>
    <w:p w14:paraId="17F4C2EB" w14:textId="77777777" w:rsidR="009C3A0E" w:rsidRDefault="00994197">
      <w:pPr>
        <w:rPr>
          <w:rFonts w:asciiTheme="majorHAnsi" w:eastAsia="Times New Roman" w:hAnsiTheme="majorHAnsi" w:cstheme="majorHAnsi"/>
          <w:szCs w:val="24"/>
        </w:rPr>
      </w:pPr>
      <w:r>
        <w:rPr>
          <w:rFonts w:eastAsia="Times New Roman" w:cstheme="majorHAnsi"/>
          <w:szCs w:val="24"/>
        </w:rPr>
        <w:t xml:space="preserve">ANSI itself does not normally write the technical standard; it coordinates the U.S. voluntary standards system and accredits standards-developing organizations. In China, the national standards platform is administered by SAMR/SAC and routes standards through national technical committees. </w:t>
      </w:r>
    </w:p>
    <w:p w14:paraId="23E6801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would therefore create a </w:t>
      </w:r>
      <w:r>
        <w:rPr>
          <w:rFonts w:eastAsia="Times New Roman" w:cstheme="majorHAnsi"/>
          <w:b/>
          <w:bCs/>
          <w:szCs w:val="24"/>
        </w:rPr>
        <w:t>project standards consortium</w:t>
      </w:r>
      <w:r>
        <w:rPr>
          <w:rFonts w:eastAsia="Times New Roman" w:cstheme="majorHAnsi"/>
          <w:szCs w:val="24"/>
        </w:rPr>
        <w:t xml:space="preserve"> first, with formal liaisons to those organizations.</w:t>
      </w:r>
    </w:p>
    <w:p w14:paraId="5CCDFB6E" w14:textId="77777777" w:rsidR="009C3A0E" w:rsidRDefault="00994197">
      <w:pPr>
        <w:pStyle w:val="Heading3"/>
        <w:spacing w:before="280" w:after="280"/>
      </w:pPr>
      <w:r>
        <w:t>Don't wait three years for ISO</w:t>
      </w:r>
    </w:p>
    <w:p w14:paraId="6533807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This is important.</w:t>
      </w:r>
    </w:p>
    <w:p w14:paraId="03D3C5A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ISO says development of a conventional International Standard usually takes about </w:t>
      </w:r>
      <w:r>
        <w:rPr>
          <w:rFonts w:eastAsia="Times New Roman" w:cstheme="majorHAnsi"/>
          <w:b/>
          <w:bCs/>
          <w:szCs w:val="24"/>
        </w:rPr>
        <w:t>three years</w:t>
      </w:r>
      <w:r>
        <w:rPr>
          <w:rFonts w:eastAsia="Times New Roman" w:cstheme="majorHAnsi"/>
          <w:szCs w:val="24"/>
        </w:rPr>
        <w:t xml:space="preserve">, and ISO projects are normally placed on 18-, 24- or 36-month development tracks after formal initiation. </w:t>
      </w:r>
    </w:p>
    <w:p w14:paraId="6E522D2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You cannot tell 50 companies:</w:t>
      </w:r>
    </w:p>
    <w:p w14:paraId="619BCFD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lastRenderedPageBreak/>
        <w:t>Don't design your equipment until ISO finishes five years from now.</w:t>
      </w:r>
    </w:p>
    <w:p w14:paraId="318169CF" w14:textId="77777777" w:rsidR="009C3A0E" w:rsidRDefault="00994197">
      <w:pPr>
        <w:rPr>
          <w:rFonts w:asciiTheme="majorHAnsi" w:eastAsia="Times New Roman" w:hAnsiTheme="majorHAnsi" w:cstheme="majorHAnsi"/>
          <w:szCs w:val="24"/>
        </w:rPr>
      </w:pPr>
      <w:r>
        <w:rPr>
          <w:rFonts w:eastAsia="Times New Roman" w:cstheme="majorHAnsi"/>
          <w:szCs w:val="24"/>
        </w:rPr>
        <w:t>Instead, I would use this sequence:</w:t>
      </w:r>
    </w:p>
    <w:tbl>
      <w:tblPr>
        <w:tblStyle w:val="gswTableStyle"/>
        <w:tblW w:w="7997" w:type="dxa"/>
        <w:tblLayout w:type="fixed"/>
        <w:tblLook w:val="04A0" w:firstRow="1" w:lastRow="0" w:firstColumn="1" w:lastColumn="0" w:noHBand="0" w:noVBand="1"/>
      </w:tblPr>
      <w:tblGrid>
        <w:gridCol w:w="1487"/>
        <w:gridCol w:w="6510"/>
      </w:tblGrid>
      <w:tr w:rsidR="009C3A0E" w14:paraId="4DB0C816" w14:textId="77777777" w:rsidTr="009C3A0E">
        <w:trPr>
          <w:cnfStyle w:val="100000000000" w:firstRow="1" w:lastRow="0" w:firstColumn="0" w:lastColumn="0" w:oddVBand="0" w:evenVBand="0" w:oddHBand="0" w:evenHBand="0" w:firstRowFirstColumn="0" w:firstRowLastColumn="0" w:lastRowFirstColumn="0" w:lastRowLastColumn="0"/>
          <w:tblHeader/>
        </w:trPr>
        <w:tc>
          <w:tcPr>
            <w:tcW w:w="1487" w:type="dxa"/>
          </w:tcPr>
          <w:p w14:paraId="4CC509F5" w14:textId="77777777" w:rsidR="009C3A0E" w:rsidRDefault="00994197">
            <w:pPr>
              <w:pStyle w:val="cTableHeader"/>
              <w:spacing w:before="0" w:after="0"/>
            </w:pPr>
            <w:r>
              <w:t>Time</w:t>
            </w:r>
          </w:p>
        </w:tc>
        <w:tc>
          <w:tcPr>
            <w:tcW w:w="6509" w:type="dxa"/>
          </w:tcPr>
          <w:p w14:paraId="3E1BDB17" w14:textId="77777777" w:rsidR="009C3A0E" w:rsidRDefault="00994197">
            <w:pPr>
              <w:pStyle w:val="cTableHeader"/>
              <w:spacing w:before="0" w:after="0"/>
            </w:pPr>
            <w:r>
              <w:t>Deliverable</w:t>
            </w:r>
          </w:p>
        </w:tc>
      </w:tr>
      <w:tr w:rsidR="009C3A0E" w14:paraId="3F12AFDF" w14:textId="77777777" w:rsidTr="009C3A0E">
        <w:tc>
          <w:tcPr>
            <w:tcW w:w="1487" w:type="dxa"/>
          </w:tcPr>
          <w:p w14:paraId="11F8DFD1" w14:textId="77777777" w:rsidR="009C3A0E" w:rsidRDefault="00994197">
            <w:pPr>
              <w:pStyle w:val="cTableBody"/>
              <w:spacing w:before="0"/>
            </w:pPr>
            <w:r>
              <w:t>0–3 months</w:t>
            </w:r>
          </w:p>
        </w:tc>
        <w:tc>
          <w:tcPr>
            <w:tcW w:w="6509" w:type="dxa"/>
          </w:tcPr>
          <w:p w14:paraId="13AF1704" w14:textId="77777777" w:rsidR="009C3A0E" w:rsidRDefault="00994197">
            <w:pPr>
              <w:pStyle w:val="cTableBody"/>
              <w:spacing w:before="0"/>
            </w:pPr>
            <w:r>
              <w:t>Standards steering committee; define system architecture</w:t>
            </w:r>
          </w:p>
        </w:tc>
      </w:tr>
      <w:tr w:rsidR="009C3A0E" w14:paraId="137FA8BF" w14:textId="77777777" w:rsidTr="009C3A0E">
        <w:tc>
          <w:tcPr>
            <w:tcW w:w="1487" w:type="dxa"/>
          </w:tcPr>
          <w:p w14:paraId="4AF1D96D" w14:textId="77777777" w:rsidR="009C3A0E" w:rsidRDefault="00994197">
            <w:pPr>
              <w:pStyle w:val="cTableBody"/>
              <w:spacing w:before="0"/>
            </w:pPr>
            <w:r>
              <w:t>3–6 months</w:t>
            </w:r>
          </w:p>
        </w:tc>
        <w:tc>
          <w:tcPr>
            <w:tcW w:w="6509" w:type="dxa"/>
          </w:tcPr>
          <w:p w14:paraId="3B2EF527" w14:textId="77777777" w:rsidR="009C3A0E" w:rsidRDefault="00994197">
            <w:pPr>
              <w:pStyle w:val="cTableBody"/>
              <w:spacing w:before="0"/>
            </w:pPr>
            <w:r>
              <w:t>Freeze module dimensions, coordinate system and basic interface philosophy</w:t>
            </w:r>
          </w:p>
        </w:tc>
      </w:tr>
      <w:tr w:rsidR="009C3A0E" w14:paraId="5A545EDC" w14:textId="77777777" w:rsidTr="009C3A0E">
        <w:tc>
          <w:tcPr>
            <w:tcW w:w="1487" w:type="dxa"/>
          </w:tcPr>
          <w:p w14:paraId="2379571E" w14:textId="77777777" w:rsidR="009C3A0E" w:rsidRDefault="00994197">
            <w:pPr>
              <w:pStyle w:val="cTableBody"/>
              <w:spacing w:before="0"/>
            </w:pPr>
            <w:r>
              <w:t>6–9 months</w:t>
            </w:r>
          </w:p>
        </w:tc>
        <w:tc>
          <w:tcPr>
            <w:tcW w:w="6509" w:type="dxa"/>
          </w:tcPr>
          <w:p w14:paraId="010FE86D" w14:textId="77777777" w:rsidR="009C3A0E" w:rsidRDefault="00994197">
            <w:pPr>
              <w:pStyle w:val="cTableBody"/>
              <w:spacing w:before="0"/>
            </w:pPr>
            <w:r>
              <w:t>Draft mechanical, heat, electrical, rail and communications interfaces</w:t>
            </w:r>
          </w:p>
        </w:tc>
      </w:tr>
      <w:tr w:rsidR="009C3A0E" w14:paraId="10641AA5" w14:textId="77777777" w:rsidTr="009C3A0E">
        <w:tc>
          <w:tcPr>
            <w:tcW w:w="1487" w:type="dxa"/>
          </w:tcPr>
          <w:p w14:paraId="71C7FFC7" w14:textId="77777777" w:rsidR="009C3A0E" w:rsidRDefault="00994197">
            <w:pPr>
              <w:pStyle w:val="cTableBody"/>
              <w:spacing w:before="0"/>
            </w:pPr>
            <w:r>
              <w:t>~12 months</w:t>
            </w:r>
          </w:p>
        </w:tc>
        <w:tc>
          <w:tcPr>
            <w:tcW w:w="6509" w:type="dxa"/>
          </w:tcPr>
          <w:p w14:paraId="20AC6324" w14:textId="77777777" w:rsidR="009C3A0E" w:rsidRDefault="00994197">
            <w:pPr>
              <w:pStyle w:val="cTableBody"/>
              <w:spacing w:before="0"/>
            </w:pPr>
            <w:r>
              <w:t>Interface Specification v0.9 used by prototype suppliers</w:t>
            </w:r>
          </w:p>
        </w:tc>
      </w:tr>
      <w:tr w:rsidR="009C3A0E" w14:paraId="3670D775" w14:textId="77777777" w:rsidTr="009C3A0E">
        <w:tc>
          <w:tcPr>
            <w:tcW w:w="1487" w:type="dxa"/>
          </w:tcPr>
          <w:p w14:paraId="6B5EF91D" w14:textId="77777777" w:rsidR="009C3A0E" w:rsidRDefault="00994197">
            <w:pPr>
              <w:pStyle w:val="cTableBody"/>
              <w:spacing w:before="0"/>
            </w:pPr>
            <w:r>
              <w:t>~18 months</w:t>
            </w:r>
          </w:p>
        </w:tc>
        <w:tc>
          <w:tcPr>
            <w:tcW w:w="6509" w:type="dxa"/>
          </w:tcPr>
          <w:p w14:paraId="3587D12F" w14:textId="77777777" w:rsidR="009C3A0E" w:rsidRDefault="00994197">
            <w:pPr>
              <w:pStyle w:val="cTableBody"/>
              <w:spacing w:before="0"/>
            </w:pPr>
            <w:r>
              <w:t>Open Interface Standard v1.0 — stable enough for commercial design</w:t>
            </w:r>
          </w:p>
        </w:tc>
      </w:tr>
      <w:tr w:rsidR="009C3A0E" w14:paraId="7A4D542C" w14:textId="77777777" w:rsidTr="009C3A0E">
        <w:tc>
          <w:tcPr>
            <w:tcW w:w="1487" w:type="dxa"/>
          </w:tcPr>
          <w:p w14:paraId="2206861D" w14:textId="77777777" w:rsidR="009C3A0E" w:rsidRDefault="00994197">
            <w:pPr>
              <w:pStyle w:val="cTableBody"/>
              <w:spacing w:before="0"/>
            </w:pPr>
            <w:r>
              <w:t>18–30 months</w:t>
            </w:r>
          </w:p>
        </w:tc>
        <w:tc>
          <w:tcPr>
            <w:tcW w:w="6509" w:type="dxa"/>
          </w:tcPr>
          <w:p w14:paraId="6F53BB82" w14:textId="77777777" w:rsidR="009C3A0E" w:rsidRDefault="00994197">
            <w:pPr>
              <w:pStyle w:val="cTableBody"/>
              <w:spacing w:before="0"/>
            </w:pPr>
            <w:r>
              <w:t>Interoperability testing with multiple companies</w:t>
            </w:r>
          </w:p>
        </w:tc>
      </w:tr>
      <w:tr w:rsidR="009C3A0E" w14:paraId="1E86E72E" w14:textId="77777777" w:rsidTr="009C3A0E">
        <w:tc>
          <w:tcPr>
            <w:tcW w:w="1487" w:type="dxa"/>
          </w:tcPr>
          <w:p w14:paraId="03A31632" w14:textId="77777777" w:rsidR="009C3A0E" w:rsidRDefault="00994197">
            <w:pPr>
              <w:pStyle w:val="cTableBody"/>
              <w:spacing w:before="0"/>
            </w:pPr>
            <w:r>
              <w:t>~30–36 months</w:t>
            </w:r>
          </w:p>
        </w:tc>
        <w:tc>
          <w:tcPr>
            <w:tcW w:w="6509" w:type="dxa"/>
          </w:tcPr>
          <w:p w14:paraId="22973988" w14:textId="77777777" w:rsidR="009C3A0E" w:rsidRDefault="00994197">
            <w:pPr>
              <w:pStyle w:val="cTableBody"/>
              <w:spacing w:before="0"/>
            </w:pPr>
            <w:r>
              <w:t>Revised v2.0 / national consensus standards</w:t>
            </w:r>
          </w:p>
        </w:tc>
      </w:tr>
      <w:tr w:rsidR="009C3A0E" w14:paraId="435C3C4C" w14:textId="77777777" w:rsidTr="009C3A0E">
        <w:tc>
          <w:tcPr>
            <w:tcW w:w="1487" w:type="dxa"/>
          </w:tcPr>
          <w:p w14:paraId="385FA235" w14:textId="77777777" w:rsidR="009C3A0E" w:rsidRDefault="00994197">
            <w:pPr>
              <w:pStyle w:val="cTableBody"/>
              <w:spacing w:before="0"/>
            </w:pPr>
            <w:r>
              <w:t>~36–60 months</w:t>
            </w:r>
          </w:p>
        </w:tc>
        <w:tc>
          <w:tcPr>
            <w:tcW w:w="6509" w:type="dxa"/>
          </w:tcPr>
          <w:p w14:paraId="47DEA491" w14:textId="77777777" w:rsidR="009C3A0E" w:rsidRDefault="00994197">
            <w:pPr>
              <w:pStyle w:val="cTableBody"/>
              <w:spacing w:before="0"/>
            </w:pPr>
            <w:r>
              <w:t>ISO/IEC international standards publication</w:t>
            </w:r>
          </w:p>
        </w:tc>
      </w:tr>
    </w:tbl>
    <w:p w14:paraId="4481FF7C" w14:textId="77777777" w:rsidR="009C3A0E" w:rsidRDefault="00994197">
      <w:pPr>
        <w:rPr>
          <w:rFonts w:asciiTheme="majorHAnsi" w:eastAsia="Times New Roman" w:hAnsiTheme="majorHAnsi" w:cstheme="majorHAnsi"/>
          <w:szCs w:val="24"/>
        </w:rPr>
      </w:pPr>
      <w:r>
        <w:rPr>
          <w:rFonts w:eastAsia="Times New Roman" w:cstheme="majorHAnsi"/>
          <w:szCs w:val="24"/>
        </w:rPr>
        <w:t xml:space="preserve">ISO permits faster preliminary deliverables as well as full International Standards, but the formal process still involves proposal, drafting, enquiry, voting and publication stages. </w:t>
      </w:r>
    </w:p>
    <w:p w14:paraId="4A3303A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So, </w:t>
      </w:r>
      <w:r>
        <w:rPr>
          <w:rFonts w:eastAsia="Times New Roman" w:cstheme="majorHAnsi"/>
          <w:b/>
          <w:bCs/>
          <w:szCs w:val="24"/>
        </w:rPr>
        <w:t>18 months to a usable industry specification</w:t>
      </w:r>
      <w:r>
        <w:rPr>
          <w:rFonts w:eastAsia="Times New Roman" w:cstheme="majorHAnsi"/>
          <w:szCs w:val="24"/>
        </w:rPr>
        <w:t xml:space="preserve"> is realistic if it is funded aggressively.</w:t>
      </w:r>
    </w:p>
    <w:p w14:paraId="221FDBB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Formal international consensus takes longer.</w:t>
      </w:r>
    </w:p>
    <w:p w14:paraId="3B3C97E1" w14:textId="77777777" w:rsidR="009C3A0E" w:rsidRDefault="00994197">
      <w:pPr>
        <w:pStyle w:val="Heading2"/>
        <w:spacing w:before="280"/>
      </w:pPr>
      <w:r>
        <w:t>How much would this cost?</w:t>
      </w:r>
    </w:p>
    <w:p w14:paraId="1E9B668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Standards organizations generally don't charge "$50 million to write a standard." Much of normal standards</w:t>
      </w:r>
      <w:r>
        <w:rPr>
          <w:rFonts w:eastAsia="Times New Roman" w:cstheme="majorHAnsi"/>
          <w:szCs w:val="24"/>
        </w:rPr>
        <w:t xml:space="preserve"> work is contributed by participating companies and experts.</w:t>
      </w:r>
    </w:p>
    <w:p w14:paraId="4AB865E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Your situation is different because you would want standards to be developed </w:t>
      </w:r>
      <w:r>
        <w:rPr>
          <w:rFonts w:eastAsia="Times New Roman" w:cstheme="majorHAnsi"/>
          <w:b/>
          <w:bCs/>
          <w:szCs w:val="24"/>
        </w:rPr>
        <w:t>before an industry exists</w:t>
      </w:r>
      <w:r>
        <w:rPr>
          <w:rFonts w:eastAsia="Times New Roman" w:cstheme="majorHAnsi"/>
          <w:szCs w:val="24"/>
        </w:rPr>
        <w:t>. Someone therefore needs to pay engineers to establish the interfaces, make reference CAD models, build test tools and prove interoperability.</w:t>
      </w:r>
    </w:p>
    <w:p w14:paraId="1F2A8FF0" w14:textId="77777777" w:rsidR="009C3A0E" w:rsidRDefault="00994197">
      <w:pPr>
        <w:rPr>
          <w:rFonts w:asciiTheme="majorHAnsi" w:eastAsia="Times New Roman" w:hAnsiTheme="majorHAnsi" w:cstheme="majorHAnsi"/>
          <w:szCs w:val="24"/>
        </w:rPr>
      </w:pPr>
      <w:r>
        <w:rPr>
          <w:rFonts w:eastAsia="Times New Roman" w:cstheme="majorHAnsi"/>
          <w:szCs w:val="24"/>
        </w:rPr>
        <w:t>My planning estimate would be:</w:t>
      </w:r>
    </w:p>
    <w:tbl>
      <w:tblPr>
        <w:tblStyle w:val="gswTableStyle"/>
        <w:tblW w:w="9295" w:type="dxa"/>
        <w:tblLayout w:type="fixed"/>
        <w:tblLook w:val="04A0" w:firstRow="1" w:lastRow="0" w:firstColumn="1" w:lastColumn="0" w:noHBand="0" w:noVBand="1"/>
      </w:tblPr>
      <w:tblGrid>
        <w:gridCol w:w="6415"/>
        <w:gridCol w:w="1440"/>
        <w:gridCol w:w="1440"/>
      </w:tblGrid>
      <w:tr w:rsidR="009C3A0E" w14:paraId="588C1630" w14:textId="77777777" w:rsidTr="006C09B4">
        <w:trPr>
          <w:cnfStyle w:val="100000000000" w:firstRow="1" w:lastRow="0" w:firstColumn="0" w:lastColumn="0" w:oddVBand="0" w:evenVBand="0" w:oddHBand="0" w:evenHBand="0" w:firstRowFirstColumn="0" w:firstRowLastColumn="0" w:lastRowFirstColumn="0" w:lastRowLastColumn="0"/>
          <w:tblHeader/>
        </w:trPr>
        <w:tc>
          <w:tcPr>
            <w:tcW w:w="6415" w:type="dxa"/>
          </w:tcPr>
          <w:p w14:paraId="3EE09A11" w14:textId="77777777" w:rsidR="009C3A0E" w:rsidRDefault="00994197">
            <w:pPr>
              <w:pStyle w:val="cTableHeader"/>
              <w:spacing w:before="0" w:after="0"/>
            </w:pPr>
            <w:r>
              <w:t>Standards-development activity</w:t>
            </w:r>
          </w:p>
        </w:tc>
        <w:tc>
          <w:tcPr>
            <w:tcW w:w="1440" w:type="dxa"/>
          </w:tcPr>
          <w:p w14:paraId="49835AA3" w14:textId="77777777" w:rsidR="009C3A0E" w:rsidRDefault="00994197">
            <w:pPr>
              <w:pStyle w:val="cTableHeader"/>
              <w:spacing w:before="0" w:after="0"/>
            </w:pPr>
            <w:r>
              <w:t>USA</w:t>
            </w:r>
          </w:p>
        </w:tc>
        <w:tc>
          <w:tcPr>
            <w:tcW w:w="1440" w:type="dxa"/>
          </w:tcPr>
          <w:p w14:paraId="4F38FE99" w14:textId="77777777" w:rsidR="009C3A0E" w:rsidRDefault="00994197">
            <w:pPr>
              <w:pStyle w:val="cTableHeader"/>
              <w:spacing w:before="0" w:after="0"/>
            </w:pPr>
            <w:r>
              <w:t>China</w:t>
            </w:r>
          </w:p>
        </w:tc>
      </w:tr>
      <w:tr w:rsidR="009C3A0E" w14:paraId="4F14260B" w14:textId="77777777" w:rsidTr="006C09B4">
        <w:tc>
          <w:tcPr>
            <w:tcW w:w="6415" w:type="dxa"/>
          </w:tcPr>
          <w:p w14:paraId="113C0AC7" w14:textId="77777777" w:rsidR="009C3A0E" w:rsidRDefault="00994197">
            <w:pPr>
              <w:pStyle w:val="cTableBody"/>
              <w:spacing w:before="0"/>
            </w:pPr>
            <w:r>
              <w:t>Master architecture + systems engineering</w:t>
            </w:r>
          </w:p>
        </w:tc>
        <w:tc>
          <w:tcPr>
            <w:tcW w:w="1440" w:type="dxa"/>
          </w:tcPr>
          <w:p w14:paraId="477637E1" w14:textId="77777777" w:rsidR="009C3A0E" w:rsidRDefault="00994197" w:rsidP="006C09B4">
            <w:pPr>
              <w:pStyle w:val="cTableBody"/>
              <w:spacing w:before="0"/>
              <w:jc w:val="center"/>
            </w:pPr>
            <w:r>
              <w:t>$5–8M</w:t>
            </w:r>
          </w:p>
        </w:tc>
        <w:tc>
          <w:tcPr>
            <w:tcW w:w="1440" w:type="dxa"/>
          </w:tcPr>
          <w:p w14:paraId="1D4A8670" w14:textId="77777777" w:rsidR="009C3A0E" w:rsidRDefault="00994197" w:rsidP="006C09B4">
            <w:pPr>
              <w:pStyle w:val="cTableBody"/>
              <w:spacing w:before="0"/>
              <w:jc w:val="center"/>
            </w:pPr>
            <w:r>
              <w:t>$3–5M</w:t>
            </w:r>
          </w:p>
        </w:tc>
      </w:tr>
      <w:tr w:rsidR="009C3A0E" w14:paraId="2A735BB2" w14:textId="77777777" w:rsidTr="006C09B4">
        <w:tc>
          <w:tcPr>
            <w:tcW w:w="6415" w:type="dxa"/>
          </w:tcPr>
          <w:p w14:paraId="5304460B" w14:textId="77777777" w:rsidR="009C3A0E" w:rsidRDefault="00994197">
            <w:pPr>
              <w:pStyle w:val="cTableBody"/>
              <w:spacing w:before="0"/>
            </w:pPr>
            <w:r>
              <w:t>Mechanical/module/rail interface standards</w:t>
            </w:r>
          </w:p>
        </w:tc>
        <w:tc>
          <w:tcPr>
            <w:tcW w:w="1440" w:type="dxa"/>
          </w:tcPr>
          <w:p w14:paraId="65FFE9DD" w14:textId="77777777" w:rsidR="009C3A0E" w:rsidRDefault="00994197" w:rsidP="006C09B4">
            <w:pPr>
              <w:pStyle w:val="cTableBody"/>
              <w:spacing w:before="0"/>
              <w:jc w:val="center"/>
            </w:pPr>
            <w:r>
              <w:t>$8–15M</w:t>
            </w:r>
          </w:p>
        </w:tc>
        <w:tc>
          <w:tcPr>
            <w:tcW w:w="1440" w:type="dxa"/>
          </w:tcPr>
          <w:p w14:paraId="25BBA345" w14:textId="77777777" w:rsidR="009C3A0E" w:rsidRDefault="00994197" w:rsidP="006C09B4">
            <w:pPr>
              <w:pStyle w:val="cTableBody"/>
              <w:spacing w:before="0"/>
              <w:jc w:val="center"/>
            </w:pPr>
            <w:r>
              <w:t>$4–8M</w:t>
            </w:r>
          </w:p>
        </w:tc>
      </w:tr>
      <w:tr w:rsidR="009C3A0E" w14:paraId="2FF159F6" w14:textId="77777777" w:rsidTr="006C09B4">
        <w:tc>
          <w:tcPr>
            <w:tcW w:w="6415" w:type="dxa"/>
          </w:tcPr>
          <w:p w14:paraId="26917609" w14:textId="77777777" w:rsidR="009C3A0E" w:rsidRDefault="00994197">
            <w:pPr>
              <w:pStyle w:val="cTableBody"/>
              <w:spacing w:before="0"/>
            </w:pPr>
            <w:r>
              <w:t>Piping/material/heat standards</w:t>
            </w:r>
          </w:p>
        </w:tc>
        <w:tc>
          <w:tcPr>
            <w:tcW w:w="1440" w:type="dxa"/>
          </w:tcPr>
          <w:p w14:paraId="3569FDDA" w14:textId="77777777" w:rsidR="009C3A0E" w:rsidRDefault="00994197" w:rsidP="006C09B4">
            <w:pPr>
              <w:pStyle w:val="cTableBody"/>
              <w:spacing w:before="0"/>
              <w:jc w:val="center"/>
            </w:pPr>
            <w:r>
              <w:t>$6–10M</w:t>
            </w:r>
          </w:p>
        </w:tc>
        <w:tc>
          <w:tcPr>
            <w:tcW w:w="1440" w:type="dxa"/>
          </w:tcPr>
          <w:p w14:paraId="3E3C7215" w14:textId="77777777" w:rsidR="009C3A0E" w:rsidRDefault="00994197" w:rsidP="006C09B4">
            <w:pPr>
              <w:pStyle w:val="cTableBody"/>
              <w:spacing w:before="0"/>
              <w:jc w:val="center"/>
            </w:pPr>
            <w:r>
              <w:t>$3–6M</w:t>
            </w:r>
          </w:p>
        </w:tc>
      </w:tr>
      <w:tr w:rsidR="009C3A0E" w14:paraId="34CC8C49" w14:textId="77777777" w:rsidTr="006C09B4">
        <w:tc>
          <w:tcPr>
            <w:tcW w:w="6415" w:type="dxa"/>
          </w:tcPr>
          <w:p w14:paraId="5914ED09" w14:textId="77777777" w:rsidR="009C3A0E" w:rsidRDefault="00994197">
            <w:pPr>
              <w:pStyle w:val="cTableBody"/>
              <w:spacing w:before="0"/>
            </w:pPr>
            <w:r>
              <w:t>Electrical + electrified-rail standards</w:t>
            </w:r>
          </w:p>
        </w:tc>
        <w:tc>
          <w:tcPr>
            <w:tcW w:w="1440" w:type="dxa"/>
          </w:tcPr>
          <w:p w14:paraId="12D654BA" w14:textId="77777777" w:rsidR="009C3A0E" w:rsidRDefault="00994197" w:rsidP="006C09B4">
            <w:pPr>
              <w:pStyle w:val="cTableBody"/>
              <w:spacing w:before="0"/>
              <w:jc w:val="center"/>
            </w:pPr>
            <w:r>
              <w:t>$6–12M</w:t>
            </w:r>
          </w:p>
        </w:tc>
        <w:tc>
          <w:tcPr>
            <w:tcW w:w="1440" w:type="dxa"/>
          </w:tcPr>
          <w:p w14:paraId="437D30F9" w14:textId="77777777" w:rsidR="009C3A0E" w:rsidRDefault="00994197" w:rsidP="006C09B4">
            <w:pPr>
              <w:pStyle w:val="cTableBody"/>
              <w:spacing w:before="0"/>
              <w:jc w:val="center"/>
            </w:pPr>
            <w:r>
              <w:t>$3–7M</w:t>
            </w:r>
          </w:p>
        </w:tc>
      </w:tr>
      <w:tr w:rsidR="009C3A0E" w14:paraId="457588BE" w14:textId="77777777" w:rsidTr="006C09B4">
        <w:tc>
          <w:tcPr>
            <w:tcW w:w="6415" w:type="dxa"/>
          </w:tcPr>
          <w:p w14:paraId="262E9F78" w14:textId="77777777" w:rsidR="009C3A0E" w:rsidRDefault="00994197">
            <w:pPr>
              <w:pStyle w:val="cTableBody"/>
              <w:spacing w:before="0"/>
            </w:pPr>
            <w:r>
              <w:t>Controls/data/cyber standards</w:t>
            </w:r>
          </w:p>
        </w:tc>
        <w:tc>
          <w:tcPr>
            <w:tcW w:w="1440" w:type="dxa"/>
          </w:tcPr>
          <w:p w14:paraId="65A874FD" w14:textId="77777777" w:rsidR="009C3A0E" w:rsidRDefault="00994197" w:rsidP="006C09B4">
            <w:pPr>
              <w:pStyle w:val="cTableBody"/>
              <w:spacing w:before="0"/>
              <w:jc w:val="center"/>
            </w:pPr>
            <w:r>
              <w:t>$5–10M</w:t>
            </w:r>
          </w:p>
        </w:tc>
        <w:tc>
          <w:tcPr>
            <w:tcW w:w="1440" w:type="dxa"/>
          </w:tcPr>
          <w:p w14:paraId="0A9D092C" w14:textId="77777777" w:rsidR="009C3A0E" w:rsidRDefault="00994197" w:rsidP="006C09B4">
            <w:pPr>
              <w:pStyle w:val="cTableBody"/>
              <w:spacing w:before="0"/>
              <w:jc w:val="center"/>
            </w:pPr>
            <w:r>
              <w:t>$3–6M</w:t>
            </w:r>
          </w:p>
        </w:tc>
      </w:tr>
      <w:tr w:rsidR="009C3A0E" w14:paraId="51781207" w14:textId="77777777" w:rsidTr="006C09B4">
        <w:tc>
          <w:tcPr>
            <w:tcW w:w="6415" w:type="dxa"/>
          </w:tcPr>
          <w:p w14:paraId="490BBDDC" w14:textId="77777777" w:rsidR="009C3A0E" w:rsidRDefault="00994197">
            <w:pPr>
              <w:pStyle w:val="cTableBody"/>
              <w:spacing w:before="0"/>
            </w:pPr>
            <w:r>
              <w:lastRenderedPageBreak/>
              <w:t>Port/storage/material-handling standards</w:t>
            </w:r>
          </w:p>
        </w:tc>
        <w:tc>
          <w:tcPr>
            <w:tcW w:w="1440" w:type="dxa"/>
          </w:tcPr>
          <w:p w14:paraId="627F7CC8" w14:textId="77777777" w:rsidR="009C3A0E" w:rsidRDefault="00994197" w:rsidP="006C09B4">
            <w:pPr>
              <w:pStyle w:val="cTableBody"/>
              <w:spacing w:before="0"/>
              <w:jc w:val="center"/>
            </w:pPr>
            <w:r>
              <w:t>$5–8M</w:t>
            </w:r>
          </w:p>
        </w:tc>
        <w:tc>
          <w:tcPr>
            <w:tcW w:w="1440" w:type="dxa"/>
          </w:tcPr>
          <w:p w14:paraId="4FE2F905" w14:textId="77777777" w:rsidR="009C3A0E" w:rsidRDefault="00994197" w:rsidP="006C09B4">
            <w:pPr>
              <w:pStyle w:val="cTableBody"/>
              <w:spacing w:before="0"/>
              <w:jc w:val="center"/>
            </w:pPr>
            <w:r>
              <w:t>$3–5M</w:t>
            </w:r>
          </w:p>
        </w:tc>
      </w:tr>
      <w:tr w:rsidR="009C3A0E" w14:paraId="0483B976" w14:textId="77777777" w:rsidTr="006C09B4">
        <w:tc>
          <w:tcPr>
            <w:tcW w:w="6415" w:type="dxa"/>
          </w:tcPr>
          <w:p w14:paraId="06586EE3" w14:textId="77777777" w:rsidR="009C3A0E" w:rsidRDefault="00994197">
            <w:pPr>
              <w:pStyle w:val="cTableBody"/>
              <w:spacing w:before="0"/>
            </w:pPr>
            <w:r>
              <w:t>Digital models/reference drawings/schemas</w:t>
            </w:r>
          </w:p>
        </w:tc>
        <w:tc>
          <w:tcPr>
            <w:tcW w:w="1440" w:type="dxa"/>
          </w:tcPr>
          <w:p w14:paraId="09A2B3DD" w14:textId="77777777" w:rsidR="009C3A0E" w:rsidRDefault="00994197" w:rsidP="006C09B4">
            <w:pPr>
              <w:pStyle w:val="cTableBody"/>
              <w:spacing w:before="0"/>
              <w:jc w:val="center"/>
            </w:pPr>
            <w:r>
              <w:t>$5–10M</w:t>
            </w:r>
          </w:p>
        </w:tc>
        <w:tc>
          <w:tcPr>
            <w:tcW w:w="1440" w:type="dxa"/>
          </w:tcPr>
          <w:p w14:paraId="41DADE02" w14:textId="77777777" w:rsidR="009C3A0E" w:rsidRDefault="00994197" w:rsidP="006C09B4">
            <w:pPr>
              <w:pStyle w:val="cTableBody"/>
              <w:spacing w:before="0"/>
              <w:jc w:val="center"/>
            </w:pPr>
            <w:r>
              <w:t>$3–6M</w:t>
            </w:r>
          </w:p>
        </w:tc>
      </w:tr>
      <w:tr w:rsidR="009C3A0E" w14:paraId="2FA620FC" w14:textId="77777777" w:rsidTr="006C09B4">
        <w:tc>
          <w:tcPr>
            <w:tcW w:w="6415" w:type="dxa"/>
          </w:tcPr>
          <w:p w14:paraId="4C6EA953" w14:textId="77777777" w:rsidR="009C3A0E" w:rsidRDefault="00994197">
            <w:pPr>
              <w:pStyle w:val="cTableBody"/>
              <w:spacing w:before="0"/>
            </w:pPr>
            <w:r>
              <w:t>Interoperability + conformance testing*</w:t>
            </w:r>
          </w:p>
        </w:tc>
        <w:tc>
          <w:tcPr>
            <w:tcW w:w="1440" w:type="dxa"/>
          </w:tcPr>
          <w:p w14:paraId="4C62BD9A" w14:textId="77777777" w:rsidR="009C3A0E" w:rsidRDefault="00994197" w:rsidP="006C09B4">
            <w:pPr>
              <w:pStyle w:val="cTableBody"/>
              <w:spacing w:before="0"/>
              <w:jc w:val="center"/>
            </w:pPr>
            <w:r>
              <w:t>$10–20M</w:t>
            </w:r>
          </w:p>
        </w:tc>
        <w:tc>
          <w:tcPr>
            <w:tcW w:w="1440" w:type="dxa"/>
          </w:tcPr>
          <w:p w14:paraId="03109EBB" w14:textId="77777777" w:rsidR="009C3A0E" w:rsidRDefault="00994197" w:rsidP="006C09B4">
            <w:pPr>
              <w:pStyle w:val="cTableBody"/>
              <w:spacing w:before="0"/>
              <w:jc w:val="center"/>
            </w:pPr>
            <w:r>
              <w:t>$7–12M</w:t>
            </w:r>
          </w:p>
        </w:tc>
      </w:tr>
      <w:tr w:rsidR="009C3A0E" w14:paraId="20D9D99B" w14:textId="77777777" w:rsidTr="006C09B4">
        <w:tc>
          <w:tcPr>
            <w:tcW w:w="6415" w:type="dxa"/>
          </w:tcPr>
          <w:p w14:paraId="134C2E1B" w14:textId="77777777" w:rsidR="009C3A0E" w:rsidRDefault="00994197">
            <w:pPr>
              <w:pStyle w:val="cTableBody"/>
              <w:spacing w:before="0"/>
            </w:pPr>
            <w:r>
              <w:t>Standards secretariat, legal/IP, publication, international coordination</w:t>
            </w:r>
          </w:p>
        </w:tc>
        <w:tc>
          <w:tcPr>
            <w:tcW w:w="1440" w:type="dxa"/>
          </w:tcPr>
          <w:p w14:paraId="6C918205" w14:textId="77777777" w:rsidR="009C3A0E" w:rsidRDefault="00994197" w:rsidP="006C09B4">
            <w:pPr>
              <w:pStyle w:val="cTableBody"/>
              <w:spacing w:before="0"/>
              <w:jc w:val="center"/>
            </w:pPr>
            <w:r>
              <w:t>$5–10M</w:t>
            </w:r>
          </w:p>
        </w:tc>
        <w:tc>
          <w:tcPr>
            <w:tcW w:w="1440" w:type="dxa"/>
          </w:tcPr>
          <w:p w14:paraId="2535ED35" w14:textId="77777777" w:rsidR="009C3A0E" w:rsidRDefault="00994197" w:rsidP="006C09B4">
            <w:pPr>
              <w:pStyle w:val="cTableBody"/>
              <w:spacing w:before="0"/>
              <w:jc w:val="center"/>
            </w:pPr>
            <w:r>
              <w:t>$3–5M</w:t>
            </w:r>
          </w:p>
        </w:tc>
      </w:tr>
      <w:tr w:rsidR="009C3A0E" w:rsidRPr="006C09B4" w14:paraId="4C0766A2" w14:textId="77777777" w:rsidTr="006C09B4">
        <w:tc>
          <w:tcPr>
            <w:tcW w:w="6415" w:type="dxa"/>
          </w:tcPr>
          <w:p w14:paraId="607DD07F" w14:textId="77777777" w:rsidR="009C3A0E" w:rsidRPr="006C09B4" w:rsidRDefault="00994197">
            <w:pPr>
              <w:pStyle w:val="cTableBody"/>
              <w:spacing w:before="0"/>
              <w:rPr>
                <w:b/>
                <w:bCs/>
              </w:rPr>
            </w:pPr>
            <w:r w:rsidRPr="006C09B4">
              <w:rPr>
                <w:b/>
                <w:bCs/>
              </w:rPr>
              <w:t>Total</w:t>
            </w:r>
          </w:p>
        </w:tc>
        <w:tc>
          <w:tcPr>
            <w:tcW w:w="1440" w:type="dxa"/>
          </w:tcPr>
          <w:p w14:paraId="55B47306" w14:textId="77777777" w:rsidR="009C3A0E" w:rsidRPr="006C09B4" w:rsidRDefault="00994197">
            <w:pPr>
              <w:pStyle w:val="cTableBody"/>
              <w:spacing w:before="0"/>
              <w:rPr>
                <w:b/>
                <w:bCs/>
              </w:rPr>
            </w:pPr>
            <w:r w:rsidRPr="006C09B4">
              <w:rPr>
                <w:b/>
                <w:bCs/>
              </w:rPr>
              <w:t>~$55–103M</w:t>
            </w:r>
          </w:p>
        </w:tc>
        <w:tc>
          <w:tcPr>
            <w:tcW w:w="1440" w:type="dxa"/>
          </w:tcPr>
          <w:p w14:paraId="06AD93AF" w14:textId="77777777" w:rsidR="009C3A0E" w:rsidRPr="006C09B4" w:rsidRDefault="00994197">
            <w:pPr>
              <w:pStyle w:val="cTableBody"/>
              <w:spacing w:before="0"/>
              <w:rPr>
                <w:b/>
                <w:bCs/>
              </w:rPr>
            </w:pPr>
            <w:r w:rsidRPr="006C09B4">
              <w:rPr>
                <w:b/>
                <w:bCs/>
              </w:rPr>
              <w:t>~$32–60M</w:t>
            </w:r>
          </w:p>
        </w:tc>
      </w:tr>
    </w:tbl>
    <w:p w14:paraId="52F92852" w14:textId="77777777" w:rsidR="009C3A0E" w:rsidRDefault="00994197">
      <w:pPr>
        <w:rPr>
          <w:rFonts w:asciiTheme="majorHAnsi" w:eastAsia="Times New Roman" w:hAnsiTheme="majorHAnsi" w:cstheme="majorHAnsi"/>
          <w:szCs w:val="24"/>
        </w:rPr>
      </w:pPr>
      <w:r>
        <w:rPr>
          <w:rFonts w:eastAsia="Times New Roman" w:cstheme="majorHAnsi"/>
          <w:szCs w:val="24"/>
        </w:rPr>
        <w:t xml:space="preserve">*This assumes the physical prototype program we discussed previously already exists. I am </w:t>
      </w:r>
      <w:r>
        <w:rPr>
          <w:rFonts w:eastAsia="Times New Roman" w:cstheme="majorHAnsi"/>
          <w:b/>
          <w:bCs/>
          <w:szCs w:val="24"/>
        </w:rPr>
        <w:t>not</w:t>
      </w:r>
      <w:r>
        <w:rPr>
          <w:rFonts w:eastAsia="Times New Roman" w:cstheme="majorHAnsi"/>
          <w:szCs w:val="24"/>
        </w:rPr>
        <w:t xml:space="preserve"> charging the standards program again for hundreds of millions of dollars of prototype hardware.</w:t>
      </w:r>
    </w:p>
    <w:p w14:paraId="3B8CB8F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 would round this to:</w:t>
      </w:r>
    </w:p>
    <w:p w14:paraId="20A0BA24" w14:textId="77777777" w:rsidR="009C3A0E" w:rsidRDefault="00994197" w:rsidP="00B71A27">
      <w:pPr>
        <w:pStyle w:val="bblueindent"/>
        <w:tabs>
          <w:tab w:val="left" w:pos="1170"/>
        </w:tabs>
        <w:spacing w:before="160" w:beforeAutospacing="0" w:after="160" w:afterAutospacing="0"/>
        <w:ind w:right="14"/>
      </w:pPr>
      <w:r>
        <w:t xml:space="preserve">USA: </w:t>
      </w:r>
      <w:r w:rsidR="00B71A27">
        <w:tab/>
      </w:r>
      <w:r>
        <w:t>~$75 million central estimate</w:t>
      </w:r>
    </w:p>
    <w:p w14:paraId="5111CBD2" w14:textId="77777777" w:rsidR="009C3A0E" w:rsidRDefault="00994197" w:rsidP="00B71A27">
      <w:pPr>
        <w:pStyle w:val="bblueindent"/>
        <w:tabs>
          <w:tab w:val="left" w:pos="1170"/>
        </w:tabs>
        <w:spacing w:before="160" w:beforeAutospacing="0" w:after="160" w:afterAutospacing="0"/>
        <w:ind w:right="14"/>
      </w:pPr>
      <w:r>
        <w:t xml:space="preserve">China: </w:t>
      </w:r>
      <w:r w:rsidR="00B71A27">
        <w:tab/>
      </w:r>
      <w:r>
        <w:t>~$45 million central estimate</w:t>
      </w:r>
    </w:p>
    <w:p w14:paraId="32C521D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a serious standards-and-interoperability program.</w:t>
      </w:r>
    </w:p>
    <w:p w14:paraId="4FAFF3D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That is only around </w:t>
      </w:r>
      <w:r>
        <w:rPr>
          <w:rFonts w:eastAsia="Times New Roman" w:cstheme="majorHAnsi"/>
          <w:b/>
          <w:bCs/>
          <w:szCs w:val="24"/>
        </w:rPr>
        <w:t>7–10% of a $1 billion equipment-development program</w:t>
      </w:r>
      <w:r>
        <w:rPr>
          <w:rFonts w:eastAsia="Times New Roman" w:cstheme="majorHAnsi"/>
          <w:szCs w:val="24"/>
        </w:rPr>
        <w:t>, which strikes me as a very sensible allocation.</w:t>
      </w:r>
    </w:p>
    <w:p w14:paraId="2C299A67" w14:textId="77777777" w:rsidR="009C3A0E" w:rsidRDefault="00994197">
      <w:pPr>
        <w:pStyle w:val="Heading2"/>
        <w:spacing w:before="280"/>
      </w:pPr>
      <w:r>
        <w:t>You could spend much less—but I wouldn't</w:t>
      </w:r>
    </w:p>
    <w:p w14:paraId="5315367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If the objective were merely to write documents, perhaps:</w:t>
      </w:r>
    </w:p>
    <w:p w14:paraId="6FD72CEC" w14:textId="77777777" w:rsidR="009C3A0E" w:rsidRDefault="00994197" w:rsidP="00B71A27">
      <w:pPr>
        <w:pStyle w:val="bblueindent"/>
        <w:tabs>
          <w:tab w:val="left" w:pos="1080"/>
        </w:tabs>
        <w:spacing w:before="160" w:beforeAutospacing="0" w:after="160" w:afterAutospacing="0"/>
        <w:ind w:right="14"/>
      </w:pPr>
      <w:r>
        <w:t xml:space="preserve">USA: </w:t>
      </w:r>
      <w:r w:rsidR="00B71A27">
        <w:tab/>
      </w:r>
      <w:r>
        <w:t>~$20–35M</w:t>
      </w:r>
    </w:p>
    <w:p w14:paraId="2CE354B1" w14:textId="77777777" w:rsidR="009C3A0E" w:rsidRDefault="00994197" w:rsidP="00B71A27">
      <w:pPr>
        <w:pStyle w:val="bblueindent"/>
        <w:tabs>
          <w:tab w:val="left" w:pos="1080"/>
        </w:tabs>
        <w:spacing w:before="160" w:beforeAutospacing="0" w:after="160" w:afterAutospacing="0"/>
        <w:ind w:right="14"/>
      </w:pPr>
      <w:r>
        <w:t xml:space="preserve">China: </w:t>
      </w:r>
      <w:r w:rsidR="00B71A27">
        <w:tab/>
      </w:r>
      <w:r>
        <w:t>~$10–20M</w:t>
      </w:r>
    </w:p>
    <w:p w14:paraId="2834E6F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could produce specifications.</w:t>
      </w:r>
    </w:p>
    <w:p w14:paraId="108E45D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But I wouldn't trust them.</w:t>
      </w:r>
    </w:p>
    <w:p w14:paraId="3D19F8F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critical work is making Company A's platform physically connect to Company B's tunnel, Company C's rail transporter, Company D's power system and Company E's control system </w:t>
      </w:r>
      <w:r>
        <w:rPr>
          <w:rFonts w:eastAsia="Times New Roman" w:cstheme="majorHAnsi"/>
          <w:b/>
          <w:bCs/>
          <w:szCs w:val="24"/>
        </w:rPr>
        <w:t>without engineers standing around with grinders, adapters, custom cables and new software</w:t>
      </w:r>
      <w:r>
        <w:rPr>
          <w:rFonts w:eastAsia="Times New Roman" w:cstheme="majorHAnsi"/>
          <w:szCs w:val="24"/>
        </w:rPr>
        <w:t>.</w:t>
      </w:r>
    </w:p>
    <w:p w14:paraId="2871B80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requires real interoperability testing.</w:t>
      </w:r>
    </w:p>
    <w:p w14:paraId="2DAD041D" w14:textId="77777777" w:rsidR="009C3A0E" w:rsidRDefault="00994197">
      <w:pPr>
        <w:pStyle w:val="Heading2"/>
        <w:spacing w:before="280"/>
      </w:pPr>
      <w:r>
        <w:t>I would build a standards interoperability laboratory</w:t>
      </w:r>
    </w:p>
    <w:p w14:paraId="618388C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This should probably be part of the prototype campus we discussed.</w:t>
      </w:r>
    </w:p>
    <w:p w14:paraId="0E2315A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lastRenderedPageBreak/>
        <w:t>It would contain a representative:</w:t>
      </w:r>
    </w:p>
    <w:p w14:paraId="7301AB6F" w14:textId="77777777" w:rsidR="009C3A0E" w:rsidRDefault="00994197" w:rsidP="00D7515C">
      <w:pPr>
        <w:pStyle w:val="bblueindent"/>
      </w:pPr>
      <w:r>
        <w:t>platform bay + double rail + standard support feet + pipe manifold + H1/H2/H3 heat connections + LV/MV power + electrified rail segment + fiber/data connection + material conveyor interface.</w:t>
      </w:r>
    </w:p>
    <w:p w14:paraId="221ABB6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Suppliers bring equipment in.</w:t>
      </w:r>
    </w:p>
    <w:p w14:paraId="7693746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test becomes:</w:t>
      </w:r>
    </w:p>
    <w:p w14:paraId="11E51FB6" w14:textId="77777777" w:rsidR="009C3A0E" w:rsidRDefault="00994197" w:rsidP="00D7515C">
      <w:pPr>
        <w:pStyle w:val="bblueindent"/>
      </w:pPr>
      <w:r>
        <w:t>Can we drop Company X's module into Bay #4 and connect it without modifying either the module or the site?</w:t>
      </w:r>
    </w:p>
    <w:p w14:paraId="1DFE348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If yes, it passes.</w:t>
      </w:r>
    </w:p>
    <w:p w14:paraId="3C30F2D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If not, either the manufacturer isn't compliant or the standard is deficient.</w:t>
      </w:r>
    </w:p>
    <w:p w14:paraId="3CE1AC0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OPC Foundation already uses certification/compliance testing as part of its interoperability ecosystem, which is a useful model for the data side of this system. </w:t>
      </w:r>
    </w:p>
    <w:p w14:paraId="389154A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Eventually you could have certification labels such as:</w:t>
      </w:r>
    </w:p>
    <w:p w14:paraId="3A6A12F1" w14:textId="77777777" w:rsidR="009C3A0E" w:rsidRDefault="00994197" w:rsidP="00D7515C">
      <w:pPr>
        <w:pStyle w:val="bblueindent"/>
      </w:pPr>
      <w:r>
        <w:t>Mechanical M2 compliant</w:t>
      </w:r>
      <w:r>
        <w:br/>
        <w:t>Heat H2/H3 compliant</w:t>
      </w:r>
      <w:r>
        <w:br/>
        <w:t>Electrical E2 compliant</w:t>
      </w:r>
      <w:r>
        <w:br/>
        <w:t>Data D1 compliant</w:t>
      </w:r>
      <w:r>
        <w:br/>
        <w:t>Material P3 compliant</w:t>
      </w:r>
      <w:r>
        <w:br/>
        <w:t>Transport R4 compliant</w:t>
      </w:r>
    </w:p>
    <w:p w14:paraId="126573D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company could then sell a machine without knowing exactly which Chinese nuclear-industrial site it will ultimately go to.</w:t>
      </w:r>
    </w:p>
    <w:p w14:paraId="59196268" w14:textId="77777777" w:rsidR="009C3A0E" w:rsidRDefault="00994197">
      <w:pPr>
        <w:pStyle w:val="Heading3"/>
        <w:spacing w:before="280" w:after="280"/>
      </w:pPr>
      <w:r>
        <w:t>There is an even bigger economic implication</w:t>
      </w:r>
    </w:p>
    <w:p w14:paraId="3DE11A2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purpose of these standards isn't merely convenience.</w:t>
      </w:r>
    </w:p>
    <w:p w14:paraId="7FB62DD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It is to create </w:t>
      </w:r>
      <w:r>
        <w:rPr>
          <w:rFonts w:eastAsia="Times New Roman" w:cstheme="majorHAnsi"/>
          <w:b/>
          <w:bCs/>
          <w:szCs w:val="24"/>
        </w:rPr>
        <w:t>competition at the component level</w:t>
      </w:r>
      <w:r>
        <w:rPr>
          <w:rFonts w:eastAsia="Times New Roman" w:cstheme="majorHAnsi"/>
          <w:szCs w:val="24"/>
        </w:rPr>
        <w:t>.</w:t>
      </w:r>
    </w:p>
    <w:p w14:paraId="0B09E78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Without standards:</w:t>
      </w:r>
    </w:p>
    <w:p w14:paraId="1604E0AB" w14:textId="77777777" w:rsidR="009C3A0E" w:rsidRDefault="00994197" w:rsidP="00D7515C">
      <w:pPr>
        <w:pStyle w:val="bblueindent"/>
      </w:pPr>
      <w:r>
        <w:t>Company A designs the reactor-side interface, platform, piping, controls and transport equipment as one proprietary system.</w:t>
      </w:r>
    </w:p>
    <w:p w14:paraId="542BCEC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You essentially have one giant EPC supplier.</w:t>
      </w:r>
    </w:p>
    <w:p w14:paraId="2FA9374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lastRenderedPageBreak/>
        <w:t>With standards:</w:t>
      </w:r>
    </w:p>
    <w:p w14:paraId="09BBAB51" w14:textId="77777777" w:rsidR="009C3A0E" w:rsidRDefault="00994197" w:rsidP="00D7515C">
      <w:pPr>
        <w:pStyle w:val="bblueindent"/>
      </w:pPr>
      <w:r>
        <w:t>10 companies can make heat pumps.</w:t>
      </w:r>
      <w:r>
        <w:br/>
        <w:t>6 companies can make evaporator platforms.</w:t>
      </w:r>
      <w:r>
        <w:br/>
        <w:t>4 companies can make giant transporters.</w:t>
      </w:r>
      <w:r>
        <w:br/>
        <w:t>20 companies can make pumps.</w:t>
      </w:r>
      <w:r>
        <w:br/>
        <w:t>5 companies can make thermal-storage tanks.</w:t>
      </w:r>
      <w:r>
        <w:br/>
        <w:t>8 shipyards can fabricate 12 × 96 m platforms.</w:t>
      </w:r>
    </w:p>
    <w:p w14:paraId="7FA7FF3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All can bid against one another because the interfaces are fixed.</w:t>
      </w:r>
    </w:p>
    <w:p w14:paraId="6AF5E08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That is the same underlying economic phenomenon that made </w:t>
      </w:r>
      <w:r>
        <w:rPr>
          <w:rFonts w:eastAsia="Times New Roman" w:cstheme="majorHAnsi"/>
          <w:b/>
          <w:bCs/>
          <w:szCs w:val="24"/>
        </w:rPr>
        <w:t>shipping containers, USB, Ethernet and standardized electrical systems</w:t>
      </w:r>
      <w:r>
        <w:rPr>
          <w:rFonts w:eastAsia="Times New Roman" w:cstheme="majorHAnsi"/>
          <w:szCs w:val="24"/>
        </w:rPr>
        <w:t xml:space="preserve"> so powerful: innovation can occur </w:t>
      </w:r>
      <w:r>
        <w:rPr>
          <w:rFonts w:eastAsia="Times New Roman" w:cstheme="majorHAnsi"/>
          <w:b/>
          <w:bCs/>
          <w:szCs w:val="24"/>
        </w:rPr>
        <w:t>inside the box while the interface stays stable</w:t>
      </w:r>
      <w:r>
        <w:rPr>
          <w:rFonts w:eastAsia="Times New Roman" w:cstheme="majorHAnsi"/>
          <w:szCs w:val="24"/>
        </w:rPr>
        <w:t>.</w:t>
      </w:r>
    </w:p>
    <w:p w14:paraId="75B474D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For this project, I would therefore make the standards an explicit major work package—probably </w:t>
      </w:r>
      <w:r>
        <w:rPr>
          <w:rFonts w:eastAsia="Times New Roman" w:cstheme="majorHAnsi"/>
          <w:b/>
          <w:bCs/>
          <w:szCs w:val="24"/>
        </w:rPr>
        <w:t>$50–75 million in China or roughly $75–100 million in the U.S., beginning on day one and running in parallel with machine and platform design</w:t>
      </w:r>
      <w:r>
        <w:rPr>
          <w:rFonts w:eastAsia="Times New Roman" w:cstheme="majorHAnsi"/>
          <w:szCs w:val="24"/>
        </w:rPr>
        <w:t xml:space="preserve">. The first interface specifications should be frozen sufficiently by about </w:t>
      </w:r>
      <w:r>
        <w:rPr>
          <w:rFonts w:eastAsia="Times New Roman" w:cstheme="majorHAnsi"/>
          <w:b/>
          <w:bCs/>
          <w:szCs w:val="24"/>
        </w:rPr>
        <w:t>month 12–18</w:t>
      </w:r>
      <w:r>
        <w:rPr>
          <w:rFonts w:eastAsia="Times New Roman" w:cstheme="majorHAnsi"/>
          <w:szCs w:val="24"/>
        </w:rPr>
        <w:t xml:space="preserve"> for prototype manufacturers to build against them, with national consensus standards around year 3 and international ISO/IEC standardization following around years 4–5.</w:t>
      </w:r>
    </w:p>
    <w:p w14:paraId="26F31A13" w14:textId="77777777" w:rsidR="00D16ADB" w:rsidRDefault="00D16ADB" w:rsidP="00D16ADB">
      <w:pPr>
        <w:pStyle w:val="Heading1"/>
        <w:spacing w:before="280" w:after="280"/>
      </w:pPr>
      <w:bookmarkStart w:id="45" w:name="_Toc237471111"/>
      <w:bookmarkStart w:id="46" w:name="_Toc238129766"/>
      <w:bookmarkStart w:id="47" w:name="_Toc238205553"/>
      <w:bookmarkStart w:id="48" w:name="_Toc237345530"/>
      <w:r>
        <w:lastRenderedPageBreak/>
        <w:t>Direct Air Capture (DAC) Using Nuclear</w:t>
      </w:r>
      <w:r w:rsidR="00FF42B6">
        <w:t xml:space="preserve"> Power</w:t>
      </w:r>
      <w:bookmarkEnd w:id="45"/>
      <w:bookmarkEnd w:id="46"/>
      <w:bookmarkEnd w:id="47"/>
    </w:p>
    <w:p w14:paraId="573C06C5" w14:textId="77777777" w:rsidR="00D16ADB" w:rsidRDefault="00D16ADB" w:rsidP="00D16ADB">
      <w:pPr>
        <w:pStyle w:val="cUserPromptText"/>
        <w:spacing w:before="280" w:after="280"/>
      </w:pPr>
      <w:r>
        <w:rPr>
          <w:b/>
        </w:rPr>
        <w:t xml:space="preserve">Prompt to AI: </w:t>
      </w:r>
      <w:r>
        <w:t>If Automated China PWR or Automated China HTR-PM supplies the electricity and heat for direct air capture, what is the resulting cost per tonne of CO₂ permanently removed? Use the nuclear energy-cost assumptions already adopted in this document and distinguish energy cost from total DAC cost.</w:t>
      </w:r>
    </w:p>
    <w:p w14:paraId="34DC926D" w14:textId="77777777" w:rsidR="00D16ADB" w:rsidRDefault="00D16ADB" w:rsidP="00D16ADB">
      <w:pPr>
        <w:spacing w:before="280" w:after="280"/>
      </w:pPr>
      <w:r>
        <w:rPr>
          <w:b/>
          <w:color w:val="4F81BD"/>
          <w:u w:val="single"/>
        </w:rPr>
        <w:t>Response From AI:</w:t>
      </w:r>
    </w:p>
    <w:p w14:paraId="0CEA37CB" w14:textId="77777777" w:rsidR="00D16ADB" w:rsidRDefault="00D16ADB" w:rsidP="00D16ADB">
      <w:pPr>
        <w:spacing w:before="280" w:after="280"/>
      </w:pPr>
      <w:r>
        <w:t>Using the Automated China PWR and HTR-PM planning assumptions in this document, nuclear-powered DAC becomes substantially more attractive than today’s first-of-a-kind DAC economics. The strongest configuration is likely a low-temperature solid-sorbent DAC process that uses electricity for fans, vacuum/compression and controls and roughly 80–120°C heat for sorbent regeneration.</w:t>
      </w:r>
    </w:p>
    <w:p w14:paraId="106B1235" w14:textId="77777777" w:rsidR="00D16ADB" w:rsidRDefault="00D16ADB" w:rsidP="00D16ADB">
      <w:pPr>
        <w:spacing w:before="280" w:after="280"/>
      </w:pPr>
      <w:r>
        <w:t>The nuclear cost basis is the same one used elsewhere in this proposal: Automated China PWR at approximately $31/MWhₑ and $10/MWh</w:t>
      </w:r>
      <w:r>
        <w:rPr>
          <w:rFonts w:ascii="Cambria Math" w:hAnsi="Cambria Math" w:cs="Cambria Math"/>
        </w:rPr>
        <w:t>ₜₕ</w:t>
      </w:r>
      <w:r>
        <w:t>, and Automated China HTR-PM at approximately $37/MWh</w:t>
      </w:r>
      <w:r>
        <w:rPr>
          <w:rFonts w:cs="Calibri"/>
        </w:rPr>
        <w:t>ₑ</w:t>
      </w:r>
      <w:r>
        <w:t xml:space="preserve"> and $15/MWh</w:t>
      </w:r>
      <w:r>
        <w:rPr>
          <w:rFonts w:ascii="Cambria Math" w:hAnsi="Cambria Math" w:cs="Cambria Math"/>
        </w:rPr>
        <w:t>ₜₕ</w:t>
      </w:r>
      <w:r>
        <w:t>. These remain scenario/R&amp;D target values, not demonstrated commercial prices.</w:t>
      </w:r>
    </w:p>
    <w:p w14:paraId="76A63C37" w14:textId="77777777" w:rsidR="00D16ADB" w:rsidRDefault="00D16ADB" w:rsidP="00D16ADB">
      <w:pPr>
        <w:pStyle w:val="Heading2"/>
        <w:spacing w:before="280"/>
      </w:pPr>
      <w:r>
        <w:t>Recommended mature DAC planning values</w:t>
      </w:r>
    </w:p>
    <w:tbl>
      <w:tblPr>
        <w:tblStyle w:val="gswTableStyle"/>
        <w:tblW w:w="10010" w:type="dxa"/>
        <w:tblLayout w:type="fixed"/>
        <w:tblLook w:val="04A0" w:firstRow="1" w:lastRow="0" w:firstColumn="1" w:lastColumn="0" w:noHBand="0" w:noVBand="1"/>
      </w:tblPr>
      <w:tblGrid>
        <w:gridCol w:w="2002"/>
        <w:gridCol w:w="2002"/>
        <w:gridCol w:w="2002"/>
        <w:gridCol w:w="2002"/>
        <w:gridCol w:w="2002"/>
      </w:tblGrid>
      <w:tr w:rsidR="00D16ADB" w14:paraId="2B05530D" w14:textId="77777777" w:rsidTr="00D90CED">
        <w:trPr>
          <w:cnfStyle w:val="100000000000" w:firstRow="1" w:lastRow="0" w:firstColumn="0" w:lastColumn="0" w:oddVBand="0" w:evenVBand="0" w:oddHBand="0" w:evenHBand="0" w:firstRowFirstColumn="0" w:firstRowLastColumn="0" w:lastRowFirstColumn="0" w:lastRowLastColumn="0"/>
        </w:trPr>
        <w:tc>
          <w:tcPr>
            <w:tcW w:w="2002" w:type="dxa"/>
          </w:tcPr>
          <w:p w14:paraId="6260F653" w14:textId="77777777" w:rsidR="00D16ADB" w:rsidRDefault="00D16ADB" w:rsidP="00D90CED">
            <w:pPr>
              <w:pStyle w:val="cTableHeader"/>
              <w:spacing w:before="0" w:after="0"/>
            </w:pPr>
            <w:r>
              <w:t>Nuclear + DAC configuration</w:t>
            </w:r>
          </w:p>
        </w:tc>
        <w:tc>
          <w:tcPr>
            <w:tcW w:w="2002" w:type="dxa"/>
          </w:tcPr>
          <w:p w14:paraId="3CD6C12B" w14:textId="77777777" w:rsidR="00D16ADB" w:rsidRDefault="00D16ADB" w:rsidP="00D90CED">
            <w:pPr>
              <w:pStyle w:val="cTableHeader"/>
              <w:spacing w:before="0" w:after="0"/>
            </w:pPr>
            <w:r>
              <w:t>Nuclear energy cost inside DAC</w:t>
            </w:r>
          </w:p>
        </w:tc>
        <w:tc>
          <w:tcPr>
            <w:tcW w:w="2002" w:type="dxa"/>
          </w:tcPr>
          <w:p w14:paraId="15BD617F" w14:textId="77777777" w:rsidR="00D16ADB" w:rsidRDefault="00D16ADB" w:rsidP="00D90CED">
            <w:pPr>
              <w:pStyle w:val="cTableHeader"/>
              <w:spacing w:before="0" w:after="0"/>
            </w:pPr>
            <w:r>
              <w:t>Estimated DAC capture cost</w:t>
            </w:r>
          </w:p>
        </w:tc>
        <w:tc>
          <w:tcPr>
            <w:tcW w:w="2002" w:type="dxa"/>
          </w:tcPr>
          <w:p w14:paraId="1D51F492" w14:textId="77777777" w:rsidR="00D16ADB" w:rsidRDefault="00D16ADB" w:rsidP="00D90CED">
            <w:pPr>
              <w:pStyle w:val="cTableHeader"/>
              <w:spacing w:before="0" w:after="0"/>
            </w:pPr>
            <w:r>
              <w:t>CO₂ transport + permanent storage</w:t>
            </w:r>
          </w:p>
        </w:tc>
        <w:tc>
          <w:tcPr>
            <w:tcW w:w="2002" w:type="dxa"/>
          </w:tcPr>
          <w:p w14:paraId="6C2037B0" w14:textId="77777777" w:rsidR="00D16ADB" w:rsidRDefault="00D16ADB" w:rsidP="00D90CED">
            <w:pPr>
              <w:pStyle w:val="cTableHeader"/>
              <w:spacing w:before="0" w:after="0"/>
            </w:pPr>
            <w:r>
              <w:t>Total durable CO₂ removal</w:t>
            </w:r>
          </w:p>
        </w:tc>
      </w:tr>
      <w:tr w:rsidR="00D16ADB" w14:paraId="1EBF6110" w14:textId="77777777" w:rsidTr="00D90CED">
        <w:tc>
          <w:tcPr>
            <w:tcW w:w="2002" w:type="dxa"/>
          </w:tcPr>
          <w:p w14:paraId="064FD3CC" w14:textId="77777777" w:rsidR="00D16ADB" w:rsidRDefault="00D16ADB" w:rsidP="00D90CED">
            <w:pPr>
              <w:pStyle w:val="cTableBody"/>
              <w:spacing w:before="0"/>
            </w:pPr>
            <w:r>
              <w:t>Automated China PWR + solid-sorbent DAC</w:t>
            </w:r>
          </w:p>
        </w:tc>
        <w:tc>
          <w:tcPr>
            <w:tcW w:w="2002" w:type="dxa"/>
          </w:tcPr>
          <w:p w14:paraId="3F7CE3D2" w14:textId="77777777" w:rsidR="00D16ADB" w:rsidRDefault="00D16ADB" w:rsidP="00D90CED">
            <w:pPr>
              <w:pStyle w:val="cTableBody"/>
              <w:spacing w:before="0"/>
            </w:pPr>
            <w:r>
              <w:t>~$23–50/tCO₂</w:t>
            </w:r>
          </w:p>
        </w:tc>
        <w:tc>
          <w:tcPr>
            <w:tcW w:w="2002" w:type="dxa"/>
          </w:tcPr>
          <w:p w14:paraId="353CB74C" w14:textId="77777777" w:rsidR="00D16ADB" w:rsidRDefault="00D16ADB" w:rsidP="00D90CED">
            <w:pPr>
              <w:pStyle w:val="cTableBody"/>
              <w:spacing w:before="0"/>
            </w:pPr>
            <w:r>
              <w:t>~$90–130/tCO₂</w:t>
            </w:r>
          </w:p>
        </w:tc>
        <w:tc>
          <w:tcPr>
            <w:tcW w:w="2002" w:type="dxa"/>
          </w:tcPr>
          <w:p w14:paraId="7550A770" w14:textId="77777777" w:rsidR="00D16ADB" w:rsidRDefault="00D16ADB" w:rsidP="00D90CED">
            <w:pPr>
              <w:pStyle w:val="cTableBody"/>
              <w:spacing w:before="0"/>
            </w:pPr>
            <w:r>
              <w:t>~$10–20/tCO₂</w:t>
            </w:r>
          </w:p>
        </w:tc>
        <w:tc>
          <w:tcPr>
            <w:tcW w:w="2002" w:type="dxa"/>
          </w:tcPr>
          <w:p w14:paraId="323462CF" w14:textId="77777777" w:rsidR="00D16ADB" w:rsidRDefault="00D16ADB" w:rsidP="00D90CED">
            <w:pPr>
              <w:pStyle w:val="cTableBody"/>
              <w:spacing w:before="0"/>
            </w:pPr>
            <w:r>
              <w:t>~$100–150/tCO₂</w:t>
            </w:r>
          </w:p>
        </w:tc>
      </w:tr>
      <w:tr w:rsidR="00D16ADB" w14:paraId="3F1FC8CC" w14:textId="77777777" w:rsidTr="00D90CED">
        <w:tc>
          <w:tcPr>
            <w:tcW w:w="2002" w:type="dxa"/>
          </w:tcPr>
          <w:p w14:paraId="2EFB6FB1" w14:textId="77777777" w:rsidR="00D16ADB" w:rsidRDefault="00D16ADB" w:rsidP="00D90CED">
            <w:pPr>
              <w:pStyle w:val="cTableBody"/>
              <w:spacing w:before="0"/>
            </w:pPr>
            <w:r>
              <w:t>Automated China HTR-PM + solid-sorbent DAC</w:t>
            </w:r>
          </w:p>
        </w:tc>
        <w:tc>
          <w:tcPr>
            <w:tcW w:w="2002" w:type="dxa"/>
          </w:tcPr>
          <w:p w14:paraId="7EF89AB6" w14:textId="77777777" w:rsidR="00D16ADB" w:rsidRDefault="00D16ADB" w:rsidP="00D90CED">
            <w:pPr>
              <w:pStyle w:val="cTableBody"/>
              <w:spacing w:before="0"/>
            </w:pPr>
            <w:r>
              <w:t>~$29–70/tCO₂</w:t>
            </w:r>
          </w:p>
        </w:tc>
        <w:tc>
          <w:tcPr>
            <w:tcW w:w="2002" w:type="dxa"/>
          </w:tcPr>
          <w:p w14:paraId="225427EA" w14:textId="77777777" w:rsidR="00D16ADB" w:rsidRDefault="00D16ADB" w:rsidP="00D90CED">
            <w:pPr>
              <w:pStyle w:val="cTableBody"/>
              <w:spacing w:before="0"/>
            </w:pPr>
            <w:r>
              <w:t>~$100–140/tCO₂</w:t>
            </w:r>
          </w:p>
        </w:tc>
        <w:tc>
          <w:tcPr>
            <w:tcW w:w="2002" w:type="dxa"/>
          </w:tcPr>
          <w:p w14:paraId="118BEFC9" w14:textId="77777777" w:rsidR="00D16ADB" w:rsidRDefault="00D16ADB" w:rsidP="00D90CED">
            <w:pPr>
              <w:pStyle w:val="cTableBody"/>
              <w:spacing w:before="0"/>
            </w:pPr>
            <w:r>
              <w:t>~$10–20/tCO₂</w:t>
            </w:r>
          </w:p>
        </w:tc>
        <w:tc>
          <w:tcPr>
            <w:tcW w:w="2002" w:type="dxa"/>
          </w:tcPr>
          <w:p w14:paraId="407AB934" w14:textId="77777777" w:rsidR="00D16ADB" w:rsidRDefault="00D16ADB" w:rsidP="00D90CED">
            <w:pPr>
              <w:pStyle w:val="cTableBody"/>
              <w:spacing w:before="0"/>
            </w:pPr>
            <w:r>
              <w:t>~$110–160/tCO₂</w:t>
            </w:r>
          </w:p>
        </w:tc>
      </w:tr>
    </w:tbl>
    <w:p w14:paraId="416709D5" w14:textId="77777777" w:rsidR="00D16ADB" w:rsidRDefault="00D16ADB" w:rsidP="00D16ADB">
      <w:pPr>
        <w:spacing w:before="280" w:after="280"/>
      </w:pPr>
      <w:r>
        <w:t>For program-level planning, I would use central values of approximately $120/tCO₂ permanently removed for Automated China PWR and $130/tCO₂ for Automated China HTR-PM, with roughly $80–180/tCO₂ as a broad sensitivity range. These are mature, nth-of-a-kind targets rather than current commercial DAC prices.</w:t>
      </w:r>
    </w:p>
    <w:p w14:paraId="28F11469" w14:textId="77777777" w:rsidR="00D16ADB" w:rsidRDefault="00D16ADB" w:rsidP="00D16ADB">
      <w:pPr>
        <w:pStyle w:val="Heading2"/>
        <w:spacing w:before="280"/>
      </w:pPr>
      <w:r>
        <w:t>Energy calculation: advanced low-energy DAC case</w:t>
      </w:r>
    </w:p>
    <w:p w14:paraId="43A8C66D" w14:textId="77777777" w:rsidR="00D16ADB" w:rsidRDefault="00D16ADB" w:rsidP="00D16ADB">
      <w:pPr>
        <w:spacing w:before="280" w:after="280"/>
      </w:pPr>
      <w:r>
        <w:t>Assume an advanced solid-sorbent DAC system eventually requires about 2 GJ/tCO₂ of electricity and 2 GJ/tCO₂ of low-temperature regeneration heat. Because 1 MWh = 3.6 GJ, each term is 0.556 MWh/tCO₂.</w:t>
      </w:r>
    </w:p>
    <w:tbl>
      <w:tblPr>
        <w:tblStyle w:val="gswTableStyle"/>
        <w:tblW w:w="10008" w:type="dxa"/>
        <w:tblLayout w:type="fixed"/>
        <w:tblLook w:val="04A0" w:firstRow="1" w:lastRow="0" w:firstColumn="1" w:lastColumn="0" w:noHBand="0" w:noVBand="1"/>
      </w:tblPr>
      <w:tblGrid>
        <w:gridCol w:w="3336"/>
        <w:gridCol w:w="3336"/>
        <w:gridCol w:w="3336"/>
      </w:tblGrid>
      <w:tr w:rsidR="00D16ADB" w14:paraId="6867161F" w14:textId="77777777" w:rsidTr="00D90CED">
        <w:trPr>
          <w:cnfStyle w:val="100000000000" w:firstRow="1" w:lastRow="0" w:firstColumn="0" w:lastColumn="0" w:oddVBand="0" w:evenVBand="0" w:oddHBand="0" w:evenHBand="0" w:firstRowFirstColumn="0" w:firstRowLastColumn="0" w:lastRowFirstColumn="0" w:lastRowLastColumn="0"/>
        </w:trPr>
        <w:tc>
          <w:tcPr>
            <w:tcW w:w="3336" w:type="dxa"/>
          </w:tcPr>
          <w:p w14:paraId="3CD12BF9" w14:textId="77777777" w:rsidR="00D16ADB" w:rsidRDefault="00D16ADB" w:rsidP="00D7515C">
            <w:pPr>
              <w:pStyle w:val="cTableHeader"/>
              <w:keepNext/>
              <w:spacing w:before="0" w:after="0"/>
            </w:pPr>
            <w:r>
              <w:lastRenderedPageBreak/>
              <w:t>Energy term</w:t>
            </w:r>
          </w:p>
        </w:tc>
        <w:tc>
          <w:tcPr>
            <w:tcW w:w="3336" w:type="dxa"/>
          </w:tcPr>
          <w:p w14:paraId="3F90CA45" w14:textId="77777777" w:rsidR="00D16ADB" w:rsidRDefault="00D16ADB" w:rsidP="00D7515C">
            <w:pPr>
              <w:pStyle w:val="cTableHeader"/>
              <w:keepNext/>
              <w:spacing w:before="0" w:after="0"/>
            </w:pPr>
            <w:r>
              <w:t>Automated China PWR</w:t>
            </w:r>
          </w:p>
        </w:tc>
        <w:tc>
          <w:tcPr>
            <w:tcW w:w="3336" w:type="dxa"/>
          </w:tcPr>
          <w:p w14:paraId="30AC989A" w14:textId="77777777" w:rsidR="00D16ADB" w:rsidRDefault="00D16ADB" w:rsidP="00D7515C">
            <w:pPr>
              <w:pStyle w:val="cTableHeader"/>
              <w:keepNext/>
              <w:spacing w:before="0" w:after="0"/>
            </w:pPr>
            <w:r>
              <w:t>Automated China HTR-PM</w:t>
            </w:r>
          </w:p>
        </w:tc>
      </w:tr>
      <w:tr w:rsidR="00D16ADB" w14:paraId="690E32AC" w14:textId="77777777" w:rsidTr="00D90CED">
        <w:tc>
          <w:tcPr>
            <w:tcW w:w="3336" w:type="dxa"/>
          </w:tcPr>
          <w:p w14:paraId="55C89CB8" w14:textId="77777777" w:rsidR="00D16ADB" w:rsidRDefault="00D16ADB" w:rsidP="00D7515C">
            <w:pPr>
              <w:pStyle w:val="cTableBody"/>
              <w:keepNext/>
              <w:spacing w:before="0" w:beforeAutospacing="0"/>
            </w:pPr>
            <w:r>
              <w:t>Electricity: 0.556 MWh/tCO₂</w:t>
            </w:r>
          </w:p>
        </w:tc>
        <w:tc>
          <w:tcPr>
            <w:tcW w:w="3336" w:type="dxa"/>
          </w:tcPr>
          <w:p w14:paraId="0C31298C" w14:textId="77777777" w:rsidR="00D16ADB" w:rsidRDefault="00D16ADB" w:rsidP="00D7515C">
            <w:pPr>
              <w:pStyle w:val="cTableBody"/>
              <w:keepNext/>
              <w:spacing w:before="0" w:beforeAutospacing="0"/>
            </w:pPr>
            <w:r>
              <w:t>0.556 × $31 = $17.2/tCO₂</w:t>
            </w:r>
          </w:p>
        </w:tc>
        <w:tc>
          <w:tcPr>
            <w:tcW w:w="3336" w:type="dxa"/>
          </w:tcPr>
          <w:p w14:paraId="55138626" w14:textId="77777777" w:rsidR="00D16ADB" w:rsidRDefault="00D16ADB" w:rsidP="00D7515C">
            <w:pPr>
              <w:pStyle w:val="cTableBody"/>
              <w:keepNext/>
              <w:spacing w:before="0" w:beforeAutospacing="0"/>
            </w:pPr>
            <w:r>
              <w:t>0.556 × $37 = $20.6/tCO₂</w:t>
            </w:r>
          </w:p>
        </w:tc>
      </w:tr>
      <w:tr w:rsidR="00D16ADB" w14:paraId="34D4842A" w14:textId="77777777" w:rsidTr="00D90CED">
        <w:tc>
          <w:tcPr>
            <w:tcW w:w="3336" w:type="dxa"/>
          </w:tcPr>
          <w:p w14:paraId="60BAECA4" w14:textId="77777777" w:rsidR="00D16ADB" w:rsidRDefault="00D16ADB" w:rsidP="00D7515C">
            <w:pPr>
              <w:pStyle w:val="cTableBody"/>
              <w:keepNext/>
              <w:spacing w:before="0" w:beforeAutospacing="0"/>
            </w:pPr>
            <w:r>
              <w:t>Heat: 0.556 MWh</w:t>
            </w:r>
            <w:r>
              <w:rPr>
                <w:rFonts w:ascii="Cambria Math" w:hAnsi="Cambria Math" w:cs="Cambria Math"/>
              </w:rPr>
              <w:t>ₜₕ</w:t>
            </w:r>
            <w:r>
              <w:t>/tCO</w:t>
            </w:r>
            <w:r>
              <w:rPr>
                <w:rFonts w:ascii="Calibri" w:hAnsi="Calibri" w:cs="Calibri"/>
              </w:rPr>
              <w:t>₂</w:t>
            </w:r>
          </w:p>
        </w:tc>
        <w:tc>
          <w:tcPr>
            <w:tcW w:w="3336" w:type="dxa"/>
          </w:tcPr>
          <w:p w14:paraId="7E152897" w14:textId="77777777" w:rsidR="00D16ADB" w:rsidRDefault="00D16ADB" w:rsidP="00D7515C">
            <w:pPr>
              <w:pStyle w:val="cTableBody"/>
              <w:keepNext/>
              <w:spacing w:before="0" w:beforeAutospacing="0"/>
            </w:pPr>
            <w:r>
              <w:t>0.556 × $10 = $5.6/tCO₂</w:t>
            </w:r>
          </w:p>
        </w:tc>
        <w:tc>
          <w:tcPr>
            <w:tcW w:w="3336" w:type="dxa"/>
          </w:tcPr>
          <w:p w14:paraId="0CC320F8" w14:textId="77777777" w:rsidR="00D16ADB" w:rsidRDefault="00D16ADB" w:rsidP="00D7515C">
            <w:pPr>
              <w:pStyle w:val="cTableBody"/>
              <w:keepNext/>
              <w:spacing w:before="0" w:beforeAutospacing="0"/>
            </w:pPr>
            <w:r>
              <w:t>0.556 × $15 = $8.3/tCO₂</w:t>
            </w:r>
          </w:p>
        </w:tc>
      </w:tr>
      <w:tr w:rsidR="00D16ADB" w14:paraId="32DE995E" w14:textId="77777777" w:rsidTr="00D90CED">
        <w:tc>
          <w:tcPr>
            <w:tcW w:w="3336" w:type="dxa"/>
          </w:tcPr>
          <w:p w14:paraId="57DF1054" w14:textId="77777777" w:rsidR="00D16ADB" w:rsidRDefault="00D16ADB" w:rsidP="00D90CED">
            <w:pPr>
              <w:pStyle w:val="cTableBody"/>
              <w:spacing w:before="0"/>
            </w:pPr>
            <w:r>
              <w:t>Total nuclear energy</w:t>
            </w:r>
          </w:p>
        </w:tc>
        <w:tc>
          <w:tcPr>
            <w:tcW w:w="3336" w:type="dxa"/>
          </w:tcPr>
          <w:p w14:paraId="238254E3" w14:textId="77777777" w:rsidR="00D16ADB" w:rsidRDefault="00D16ADB" w:rsidP="00D90CED">
            <w:pPr>
              <w:pStyle w:val="cTableBody"/>
              <w:spacing w:before="0"/>
            </w:pPr>
            <w:r>
              <w:t>~$23/tCO₂</w:t>
            </w:r>
          </w:p>
        </w:tc>
        <w:tc>
          <w:tcPr>
            <w:tcW w:w="3336" w:type="dxa"/>
          </w:tcPr>
          <w:p w14:paraId="59FF514B" w14:textId="77777777" w:rsidR="00D16ADB" w:rsidRDefault="00D16ADB" w:rsidP="00D90CED">
            <w:pPr>
              <w:pStyle w:val="cTableBody"/>
              <w:spacing w:before="0"/>
            </w:pPr>
            <w:r>
              <w:t>~$29/tCO₂</w:t>
            </w:r>
          </w:p>
        </w:tc>
      </w:tr>
    </w:tbl>
    <w:p w14:paraId="20AE6CF0" w14:textId="77777777" w:rsidR="00D16ADB" w:rsidRDefault="00D16ADB" w:rsidP="00D16ADB">
      <w:pPr>
        <w:spacing w:before="280" w:after="280"/>
      </w:pPr>
      <w:r>
        <w:t>The result is important: with very inexpensive nuclear electricity and heat, energy itself need not dominate DAC cost. The remaining cost is primarily air contactors, sorbent inventory/replacement, vacuum equipment, fans, heat exchangers, structures, compression equipment, maintenance, labor and capital recovery.</w:t>
      </w:r>
    </w:p>
    <w:p w14:paraId="5E95F918" w14:textId="77777777" w:rsidR="00D16ADB" w:rsidRDefault="00D16ADB" w:rsidP="00D16ADB">
      <w:pPr>
        <w:pStyle w:val="Heading2"/>
        <w:spacing w:before="280"/>
      </w:pPr>
      <w:r>
        <w:t>Sensitivity: higher regeneration-heat requirement</w:t>
      </w:r>
    </w:p>
    <w:p w14:paraId="3A81F99E" w14:textId="77777777" w:rsidR="00D16ADB" w:rsidRDefault="00D16ADB" w:rsidP="00D16ADB">
      <w:pPr>
        <w:spacing w:before="280" w:after="280"/>
      </w:pPr>
      <w:r>
        <w:t>DAC heat requirements remain uncertain. As a deliberately less favorable sensitivity case, use about 2 GJ/tCO₂ of electricity but 11.9 GJ/tCO₂ of regeneration heat. The electricity term remains 0.556 MWh/tCO₂, while 11.9 GJ of heat equals about 3.31 MWh</w:t>
      </w:r>
      <w:r>
        <w:rPr>
          <w:rFonts w:ascii="Cambria Math" w:hAnsi="Cambria Math" w:cs="Cambria Math"/>
        </w:rPr>
        <w:t>ₜₕ</w:t>
      </w:r>
      <w:r>
        <w:t>/tCO</w:t>
      </w:r>
      <w:r>
        <w:rPr>
          <w:rFonts w:cs="Calibri"/>
        </w:rPr>
        <w:t>₂</w:t>
      </w:r>
      <w:r>
        <w:t>.</w:t>
      </w:r>
    </w:p>
    <w:tbl>
      <w:tblPr>
        <w:tblStyle w:val="gswTableStyle"/>
        <w:tblW w:w="10008" w:type="dxa"/>
        <w:tblLayout w:type="fixed"/>
        <w:tblLook w:val="04A0" w:firstRow="1" w:lastRow="0" w:firstColumn="1" w:lastColumn="0" w:noHBand="0" w:noVBand="1"/>
      </w:tblPr>
      <w:tblGrid>
        <w:gridCol w:w="3336"/>
        <w:gridCol w:w="3336"/>
        <w:gridCol w:w="3336"/>
      </w:tblGrid>
      <w:tr w:rsidR="00D16ADB" w14:paraId="0757A360" w14:textId="77777777" w:rsidTr="00D90CED">
        <w:trPr>
          <w:cnfStyle w:val="100000000000" w:firstRow="1" w:lastRow="0" w:firstColumn="0" w:lastColumn="0" w:oddVBand="0" w:evenVBand="0" w:oddHBand="0" w:evenHBand="0" w:firstRowFirstColumn="0" w:firstRowLastColumn="0" w:lastRowFirstColumn="0" w:lastRowLastColumn="0"/>
        </w:trPr>
        <w:tc>
          <w:tcPr>
            <w:tcW w:w="3336" w:type="dxa"/>
          </w:tcPr>
          <w:p w14:paraId="2751EB75" w14:textId="77777777" w:rsidR="00D16ADB" w:rsidRDefault="00D16ADB" w:rsidP="00D90CED">
            <w:pPr>
              <w:pStyle w:val="cTableHeader"/>
              <w:spacing w:before="0" w:after="0"/>
            </w:pPr>
            <w:r>
              <w:t>Energy term</w:t>
            </w:r>
          </w:p>
        </w:tc>
        <w:tc>
          <w:tcPr>
            <w:tcW w:w="3336" w:type="dxa"/>
          </w:tcPr>
          <w:p w14:paraId="0CC29ECE" w14:textId="77777777" w:rsidR="00D16ADB" w:rsidRDefault="00D16ADB" w:rsidP="00D90CED">
            <w:pPr>
              <w:pStyle w:val="cTableHeader"/>
              <w:spacing w:before="0" w:after="0"/>
            </w:pPr>
            <w:r>
              <w:t>Automated China PWR</w:t>
            </w:r>
          </w:p>
        </w:tc>
        <w:tc>
          <w:tcPr>
            <w:tcW w:w="3336" w:type="dxa"/>
          </w:tcPr>
          <w:p w14:paraId="2152FA43" w14:textId="77777777" w:rsidR="00D16ADB" w:rsidRDefault="00D16ADB" w:rsidP="00D90CED">
            <w:pPr>
              <w:pStyle w:val="cTableHeader"/>
              <w:spacing w:before="0" w:after="0"/>
            </w:pPr>
            <w:r>
              <w:t>Automated China HTR-PM</w:t>
            </w:r>
          </w:p>
        </w:tc>
      </w:tr>
      <w:tr w:rsidR="00D16ADB" w14:paraId="164962A3" w14:textId="77777777" w:rsidTr="00D90CED">
        <w:tc>
          <w:tcPr>
            <w:tcW w:w="3336" w:type="dxa"/>
          </w:tcPr>
          <w:p w14:paraId="482354D8" w14:textId="77777777" w:rsidR="00D16ADB" w:rsidRDefault="00D16ADB" w:rsidP="00D90CED">
            <w:pPr>
              <w:pStyle w:val="cTableBody"/>
              <w:spacing w:before="0"/>
            </w:pPr>
            <w:r>
              <w:t>Electricity</w:t>
            </w:r>
          </w:p>
        </w:tc>
        <w:tc>
          <w:tcPr>
            <w:tcW w:w="3336" w:type="dxa"/>
          </w:tcPr>
          <w:p w14:paraId="0E7ABA70" w14:textId="77777777" w:rsidR="00D16ADB" w:rsidRDefault="00D16ADB" w:rsidP="00D90CED">
            <w:pPr>
              <w:pStyle w:val="cTableBody"/>
              <w:spacing w:before="0"/>
            </w:pPr>
            <w:r>
              <w:t>~$17/tCO₂</w:t>
            </w:r>
          </w:p>
        </w:tc>
        <w:tc>
          <w:tcPr>
            <w:tcW w:w="3336" w:type="dxa"/>
          </w:tcPr>
          <w:p w14:paraId="154F179B" w14:textId="77777777" w:rsidR="00D16ADB" w:rsidRDefault="00D16ADB" w:rsidP="00D90CED">
            <w:pPr>
              <w:pStyle w:val="cTableBody"/>
              <w:spacing w:before="0"/>
            </w:pPr>
            <w:r>
              <w:t>~$21/tCO₂</w:t>
            </w:r>
          </w:p>
        </w:tc>
      </w:tr>
      <w:tr w:rsidR="00D16ADB" w14:paraId="12D3D81A" w14:textId="77777777" w:rsidTr="00D90CED">
        <w:tc>
          <w:tcPr>
            <w:tcW w:w="3336" w:type="dxa"/>
          </w:tcPr>
          <w:p w14:paraId="1859CC14" w14:textId="77777777" w:rsidR="00D16ADB" w:rsidRDefault="00D16ADB" w:rsidP="00D90CED">
            <w:pPr>
              <w:pStyle w:val="cTableBody"/>
              <w:spacing w:before="0"/>
            </w:pPr>
            <w:r>
              <w:t>Regeneration heat</w:t>
            </w:r>
          </w:p>
        </w:tc>
        <w:tc>
          <w:tcPr>
            <w:tcW w:w="3336" w:type="dxa"/>
          </w:tcPr>
          <w:p w14:paraId="47F6CBF8" w14:textId="77777777" w:rsidR="00D16ADB" w:rsidRDefault="00D16ADB" w:rsidP="00D90CED">
            <w:pPr>
              <w:pStyle w:val="cTableBody"/>
              <w:spacing w:before="0"/>
            </w:pPr>
            <w:r>
              <w:t>3.31 × $10 = ~$33/tCO₂</w:t>
            </w:r>
          </w:p>
        </w:tc>
        <w:tc>
          <w:tcPr>
            <w:tcW w:w="3336" w:type="dxa"/>
          </w:tcPr>
          <w:p w14:paraId="61FBC57B" w14:textId="77777777" w:rsidR="00D16ADB" w:rsidRDefault="00D16ADB" w:rsidP="00D90CED">
            <w:pPr>
              <w:pStyle w:val="cTableBody"/>
              <w:spacing w:before="0"/>
            </w:pPr>
            <w:r>
              <w:t>3.31 × $15 = ~$50/tCO₂</w:t>
            </w:r>
          </w:p>
        </w:tc>
      </w:tr>
      <w:tr w:rsidR="00D16ADB" w14:paraId="419DD316" w14:textId="77777777" w:rsidTr="00D90CED">
        <w:tc>
          <w:tcPr>
            <w:tcW w:w="3336" w:type="dxa"/>
          </w:tcPr>
          <w:p w14:paraId="64161DCF" w14:textId="77777777" w:rsidR="00D16ADB" w:rsidRDefault="00D16ADB" w:rsidP="00D90CED">
            <w:pPr>
              <w:pStyle w:val="cTableBody"/>
              <w:spacing w:before="0"/>
            </w:pPr>
            <w:r>
              <w:t>Total nuclear energy</w:t>
            </w:r>
          </w:p>
        </w:tc>
        <w:tc>
          <w:tcPr>
            <w:tcW w:w="3336" w:type="dxa"/>
          </w:tcPr>
          <w:p w14:paraId="3F82692A" w14:textId="77777777" w:rsidR="00D16ADB" w:rsidRDefault="00D16ADB" w:rsidP="00D90CED">
            <w:pPr>
              <w:pStyle w:val="cTableBody"/>
              <w:spacing w:before="0"/>
            </w:pPr>
            <w:r>
              <w:t>~$50/tCO₂</w:t>
            </w:r>
          </w:p>
        </w:tc>
        <w:tc>
          <w:tcPr>
            <w:tcW w:w="3336" w:type="dxa"/>
          </w:tcPr>
          <w:p w14:paraId="0909375E" w14:textId="77777777" w:rsidR="00D16ADB" w:rsidRDefault="00D16ADB" w:rsidP="00D90CED">
            <w:pPr>
              <w:pStyle w:val="cTableBody"/>
              <w:spacing w:before="0"/>
            </w:pPr>
            <w:r>
              <w:t>~$70/tCO₂</w:t>
            </w:r>
          </w:p>
        </w:tc>
      </w:tr>
    </w:tbl>
    <w:p w14:paraId="5EB7C6D6" w14:textId="77777777" w:rsidR="00D16ADB" w:rsidRDefault="00D16ADB" w:rsidP="00D16ADB">
      <w:pPr>
        <w:spacing w:before="280" w:after="280"/>
      </w:pPr>
      <w:r>
        <w:t>This sensitivity illustrates why DAC R&amp;D should focus heavily on lowering regeneration energy and sorbent cost. Moving from a high-heat cycle toward a few GJ/tCO₂ can reduce the nuclear energy contribution by tens of dollars per tonne.</w:t>
      </w:r>
    </w:p>
    <w:p w14:paraId="4B53E365" w14:textId="77777777" w:rsidR="00D16ADB" w:rsidRDefault="00D16ADB" w:rsidP="00D16ADB">
      <w:pPr>
        <w:pStyle w:val="Heading2"/>
        <w:spacing w:before="280"/>
      </w:pPr>
      <w:r>
        <w:t>Why Automated China PWR is the preferred DAC reactor</w:t>
      </w:r>
    </w:p>
    <w:p w14:paraId="6C4789DB" w14:textId="77777777" w:rsidR="00D16ADB" w:rsidRDefault="00D16ADB" w:rsidP="00D16ADB">
      <w:pPr>
        <w:spacing w:before="280" w:after="280"/>
      </w:pPr>
      <w:r>
        <w:t>HTR-PM supplies much higher-temperature steam, but a low-temperature solid-sorbent DAC plant does not need 500°C-class heat. Under this document’s planning assumptions, PWR electricity is cheaper ($31 versus $37/MWhₑ) and PWR heat is cheaper ($10 versus $15/MWh</w:t>
      </w:r>
      <w:r>
        <w:rPr>
          <w:rFonts w:ascii="Cambria Math" w:hAnsi="Cambria Math" w:cs="Cambria Math"/>
        </w:rPr>
        <w:t>ₜₕ</w:t>
      </w:r>
      <w:r>
        <w:t>), while PWR steam is already hot enough to supply an isolated ~80</w:t>
      </w:r>
      <w:r>
        <w:rPr>
          <w:rFonts w:cs="Calibri"/>
        </w:rPr>
        <w:t>–</w:t>
      </w:r>
      <w:r>
        <w:t>120</w:t>
      </w:r>
      <w:r>
        <w:rPr>
          <w:rFonts w:cs="Calibri"/>
        </w:rPr>
        <w:t>°</w:t>
      </w:r>
      <w:r>
        <w:t>C DAC regeneration loop. Therefore, for a stand-alone DAC complex, Automated China PWR is the lower-cost nuclear source.</w:t>
      </w:r>
    </w:p>
    <w:p w14:paraId="0F80938B" w14:textId="77777777" w:rsidR="00D16ADB" w:rsidRDefault="00D16ADB" w:rsidP="00D16ADB">
      <w:pPr>
        <w:spacing w:before="280" w:after="280"/>
      </w:pPr>
      <w:r>
        <w:t>HTR-PM becomes more interesting when heat is cascaded. A 300–500°C industrial platform could use the high-quality HTR-PM heat first; its lower-temperature reject/waste heat could then feed a DAC regeneration loop. In that integrated configuration, DAC may use heat that would otherwise be rejected, improving system economics beyond the stand-alone comparison.</w:t>
      </w:r>
    </w:p>
    <w:p w14:paraId="52A8EE12" w14:textId="77777777" w:rsidR="00D16ADB" w:rsidRDefault="00D16ADB" w:rsidP="00D16ADB">
      <w:pPr>
        <w:pStyle w:val="Heading2"/>
        <w:spacing w:before="280"/>
      </w:pPr>
      <w:r>
        <w:lastRenderedPageBreak/>
        <w:t>Scale implication</w:t>
      </w:r>
    </w:p>
    <w:tbl>
      <w:tblPr>
        <w:tblStyle w:val="gswTableStyle"/>
        <w:tblW w:w="10008" w:type="dxa"/>
        <w:tblLayout w:type="fixed"/>
        <w:tblLook w:val="04A0" w:firstRow="1" w:lastRow="0" w:firstColumn="1" w:lastColumn="0" w:noHBand="0" w:noVBand="1"/>
      </w:tblPr>
      <w:tblGrid>
        <w:gridCol w:w="3336"/>
        <w:gridCol w:w="3336"/>
        <w:gridCol w:w="3336"/>
      </w:tblGrid>
      <w:tr w:rsidR="00D16ADB" w14:paraId="787B7E8D" w14:textId="77777777" w:rsidTr="00D90CED">
        <w:trPr>
          <w:cnfStyle w:val="100000000000" w:firstRow="1" w:lastRow="0" w:firstColumn="0" w:lastColumn="0" w:oddVBand="0" w:evenVBand="0" w:oddHBand="0" w:evenHBand="0" w:firstRowFirstColumn="0" w:firstRowLastColumn="0" w:lastRowFirstColumn="0" w:lastRowLastColumn="0"/>
        </w:trPr>
        <w:tc>
          <w:tcPr>
            <w:tcW w:w="3336" w:type="dxa"/>
          </w:tcPr>
          <w:p w14:paraId="35C219AF" w14:textId="77777777" w:rsidR="00D16ADB" w:rsidRDefault="00D16ADB" w:rsidP="00D90CED">
            <w:pPr>
              <w:pStyle w:val="cTableHeader"/>
              <w:spacing w:before="0" w:after="0"/>
            </w:pPr>
            <w:r>
              <w:t>Permanent removal rate</w:t>
            </w:r>
          </w:p>
        </w:tc>
        <w:tc>
          <w:tcPr>
            <w:tcW w:w="3336" w:type="dxa"/>
          </w:tcPr>
          <w:p w14:paraId="72600CB0" w14:textId="77777777" w:rsidR="00D16ADB" w:rsidRDefault="00D16ADB" w:rsidP="00D90CED">
            <w:pPr>
              <w:pStyle w:val="cTableHeader"/>
              <w:spacing w:before="0" w:after="0"/>
            </w:pPr>
            <w:r>
              <w:t>At $120/tCO₂ (PWR central case)</w:t>
            </w:r>
          </w:p>
        </w:tc>
        <w:tc>
          <w:tcPr>
            <w:tcW w:w="3336" w:type="dxa"/>
          </w:tcPr>
          <w:p w14:paraId="69D3AC07" w14:textId="77777777" w:rsidR="00D16ADB" w:rsidRDefault="00D16ADB" w:rsidP="00D90CED">
            <w:pPr>
              <w:pStyle w:val="cTableHeader"/>
              <w:spacing w:before="0" w:after="0"/>
            </w:pPr>
            <w:r>
              <w:t>At $130/tCO₂ (HTR-PM central case)</w:t>
            </w:r>
          </w:p>
        </w:tc>
      </w:tr>
      <w:tr w:rsidR="00D16ADB" w14:paraId="67AE353A" w14:textId="77777777" w:rsidTr="00D90CED">
        <w:tc>
          <w:tcPr>
            <w:tcW w:w="3336" w:type="dxa"/>
          </w:tcPr>
          <w:p w14:paraId="34B2EAA6" w14:textId="77777777" w:rsidR="00D16ADB" w:rsidRDefault="00D16ADB" w:rsidP="00D90CED">
            <w:pPr>
              <w:pStyle w:val="cTableBody"/>
              <w:spacing w:before="0"/>
            </w:pPr>
            <w:r>
              <w:t>1 GtCO₂/year</w:t>
            </w:r>
          </w:p>
        </w:tc>
        <w:tc>
          <w:tcPr>
            <w:tcW w:w="3336" w:type="dxa"/>
          </w:tcPr>
          <w:p w14:paraId="4EE0ACDC" w14:textId="77777777" w:rsidR="00D16ADB" w:rsidRDefault="00D16ADB" w:rsidP="00D90CED">
            <w:pPr>
              <w:pStyle w:val="cTableBody"/>
              <w:spacing w:before="0"/>
            </w:pPr>
            <w:r>
              <w:t>$120 billion/year</w:t>
            </w:r>
          </w:p>
        </w:tc>
        <w:tc>
          <w:tcPr>
            <w:tcW w:w="3336" w:type="dxa"/>
          </w:tcPr>
          <w:p w14:paraId="1C544380" w14:textId="77777777" w:rsidR="00D16ADB" w:rsidRDefault="00D16ADB" w:rsidP="00D90CED">
            <w:pPr>
              <w:pStyle w:val="cTableBody"/>
              <w:spacing w:before="0"/>
            </w:pPr>
            <w:r>
              <w:t>$130 billion/year</w:t>
            </w:r>
          </w:p>
        </w:tc>
      </w:tr>
      <w:tr w:rsidR="00D16ADB" w14:paraId="1F53585A" w14:textId="77777777" w:rsidTr="00D90CED">
        <w:tc>
          <w:tcPr>
            <w:tcW w:w="3336" w:type="dxa"/>
          </w:tcPr>
          <w:p w14:paraId="213CE6F6" w14:textId="77777777" w:rsidR="00D16ADB" w:rsidRDefault="00D16ADB" w:rsidP="00D90CED">
            <w:pPr>
              <w:pStyle w:val="cTableBody"/>
              <w:spacing w:before="0"/>
            </w:pPr>
            <w:r>
              <w:t>10 GtCO₂/year</w:t>
            </w:r>
          </w:p>
        </w:tc>
        <w:tc>
          <w:tcPr>
            <w:tcW w:w="3336" w:type="dxa"/>
          </w:tcPr>
          <w:p w14:paraId="38752CA1" w14:textId="77777777" w:rsidR="00D16ADB" w:rsidRDefault="00D16ADB" w:rsidP="00D90CED">
            <w:pPr>
              <w:pStyle w:val="cTableBody"/>
              <w:spacing w:before="0"/>
            </w:pPr>
            <w:r>
              <w:t>$1.2 trillion/year</w:t>
            </w:r>
          </w:p>
        </w:tc>
        <w:tc>
          <w:tcPr>
            <w:tcW w:w="3336" w:type="dxa"/>
          </w:tcPr>
          <w:p w14:paraId="023DFE59" w14:textId="77777777" w:rsidR="00D16ADB" w:rsidRDefault="00D16ADB" w:rsidP="00D90CED">
            <w:pPr>
              <w:pStyle w:val="cTableBody"/>
              <w:spacing w:before="0"/>
            </w:pPr>
            <w:r>
              <w:t>$1.3 trillion/year</w:t>
            </w:r>
          </w:p>
        </w:tc>
      </w:tr>
    </w:tbl>
    <w:p w14:paraId="5B713B21" w14:textId="77777777" w:rsidR="00D16ADB" w:rsidRDefault="00D16ADB" w:rsidP="00A034F3">
      <w:r>
        <w:t>Even at approximately $100–150/tCO₂, multi-gigaton DAC is a very large industrial undertaking. The potential value of the nuclear/DAC combination is therefore not that removal becomes cheap in an absolute sense, but that inexpensive 24/7 heat and electricity may make durable, precisely measurable removal substantially less costly than first-of-a-kind DAC today.</w:t>
      </w:r>
    </w:p>
    <w:p w14:paraId="21F647F1" w14:textId="77777777" w:rsidR="00D16ADB" w:rsidRDefault="00D16ADB" w:rsidP="00D16ADB">
      <w:pPr>
        <w:pStyle w:val="Heading2"/>
        <w:spacing w:before="280"/>
      </w:pPr>
      <w:r>
        <w:t>DAC platform architecture</w:t>
      </w:r>
    </w:p>
    <w:p w14:paraId="0032B20F" w14:textId="77777777" w:rsidR="00D16ADB" w:rsidRDefault="00D16ADB" w:rsidP="00D16ADB">
      <w:pPr>
        <w:spacing w:before="280" w:after="280"/>
      </w:pPr>
      <w:r>
        <w:t>The platform chapter supports two repeatable DAC modules: (26) an air-contactor + solid-sorbent regeneration platform and (27) a CO₂ dehydration/compression/storage-interface platform. Many Platform 26 trains can operate in parallel and feed a smaller number of common Platform 27 trains. This mirrors the broader program philosophy: standardized factory-built equipment, repeatable interfaces, shared utilities and measured cost/reliability data.</w:t>
      </w:r>
    </w:p>
    <w:p w14:paraId="33E5A432" w14:textId="77777777" w:rsidR="00D16ADB" w:rsidRDefault="00D16ADB" w:rsidP="00D16ADB">
      <w:pPr>
        <w:pStyle w:val="Heading2"/>
        <w:spacing w:before="280"/>
      </w:pPr>
      <w:r>
        <w:t>Important qualifications</w:t>
      </w:r>
    </w:p>
    <w:p w14:paraId="0BD8D53B" w14:textId="77777777" w:rsidR="00D16ADB" w:rsidRPr="00D7515C" w:rsidRDefault="00D7515C" w:rsidP="00D7515C">
      <w:pPr>
        <w:pStyle w:val="blist-bullets"/>
      </w:pPr>
      <w:r w:rsidRPr="00D7515C">
        <w:t>T</w:t>
      </w:r>
      <w:r w:rsidR="00D16ADB" w:rsidRPr="00D7515C">
        <w:t>he Automated China PWR and HTR-PM electricity/heat prices are scenario estimates from the nuclear-construction proposal and have not been commercially demonstrated.</w:t>
      </w:r>
    </w:p>
    <w:p w14:paraId="1878E9BD" w14:textId="77777777" w:rsidR="00D16ADB" w:rsidRPr="00D7515C" w:rsidRDefault="00D16ADB" w:rsidP="00D7515C">
      <w:pPr>
        <w:pStyle w:val="blist-bullets"/>
      </w:pPr>
      <w:r w:rsidRPr="00D7515C">
        <w:t>The approximately $100–160/tCO₂ total-cost ranges are mature planning targets. They require substantial reductions in DAC capital cost, sorbent cost, energy consumption and maintenance relative to many current systems.</w:t>
      </w:r>
    </w:p>
    <w:p w14:paraId="71ABBF10" w14:textId="77777777" w:rsidR="00D16ADB" w:rsidRPr="00D7515C" w:rsidRDefault="00D16ADB" w:rsidP="00D7515C">
      <w:pPr>
        <w:pStyle w:val="blist-bullets"/>
      </w:pPr>
      <w:r w:rsidRPr="00D7515C">
        <w:t>Net removal must subtract lifecycle emissions from construction, replacement materials, transportation and energy. CO₂ must then be stored durably, such as in qualified geologic formations.</w:t>
      </w:r>
    </w:p>
    <w:p w14:paraId="64CDCCFC" w14:textId="77777777" w:rsidR="00D16ADB" w:rsidRPr="00D7515C" w:rsidRDefault="00D16ADB" w:rsidP="00D7515C">
      <w:pPr>
        <w:pStyle w:val="blist-bullets"/>
      </w:pPr>
      <w:r w:rsidRPr="00D7515C">
        <w:t>A DAC development program should separately measure electricity use, heat use, sorbent degradation, water use, air-contactor pressure drop, capture efficiency, CO₂ purity, plant availability, compression energy and verified net tonnes permanently stored.</w:t>
      </w:r>
    </w:p>
    <w:p w14:paraId="463DC945" w14:textId="77777777" w:rsidR="00D16ADB" w:rsidRDefault="00D16ADB" w:rsidP="00D16ADB">
      <w:pPr>
        <w:pStyle w:val="Heading2"/>
        <w:spacing w:before="280"/>
      </w:pPr>
      <w:r>
        <w:t>Links to references used for the DAC planning calculation</w:t>
      </w:r>
    </w:p>
    <w:p w14:paraId="4B5F4138" w14:textId="77777777" w:rsidR="00D16ADB" w:rsidRDefault="00D16ADB">
      <w:pPr>
        <w:pStyle w:val="bhyperlink"/>
        <w:numPr>
          <w:ilvl w:val="0"/>
          <w:numId w:val="39"/>
        </w:numPr>
      </w:pPr>
      <w:hyperlink r:id="rId34" w:history="1">
        <w:r w:rsidRPr="00D16ADB">
          <w:rPr>
            <w:rStyle w:val="bhyperlinkChar"/>
          </w:rPr>
          <w:t>https://www.osti.gov/servlets/purl/2520078</w:t>
        </w:r>
      </w:hyperlink>
    </w:p>
    <w:p w14:paraId="2055E36D" w14:textId="77777777" w:rsidR="00D16ADB" w:rsidRDefault="00D16ADB" w:rsidP="00D7515C">
      <w:pPr>
        <w:pStyle w:val="bhyperlink"/>
        <w:numPr>
          <w:ilvl w:val="0"/>
          <w:numId w:val="39"/>
        </w:numPr>
        <w:ind w:right="-882"/>
      </w:pPr>
      <w:hyperlink r:id="rId35" w:history="1">
        <w:r w:rsidRPr="00D16ADB">
          <w:rPr>
            <w:rStyle w:val="bhyperlinkChar"/>
            <w:sz w:val="12"/>
            <w:szCs w:val="10"/>
          </w:rPr>
          <w:t>https://www.energy.gov/sites/default/files/2024-11/Carbon%20Negative%20Shot_Technological%20Innovation%20Opportunities%20for%20CO2%20Removal_November2024.pdf</w:t>
        </w:r>
      </w:hyperlink>
    </w:p>
    <w:p w14:paraId="1A029D86" w14:textId="77777777" w:rsidR="00D16ADB" w:rsidRDefault="00D16ADB" w:rsidP="00D7515C">
      <w:pPr>
        <w:pStyle w:val="bhyperlink"/>
        <w:numPr>
          <w:ilvl w:val="0"/>
          <w:numId w:val="39"/>
        </w:numPr>
        <w:ind w:right="-882"/>
      </w:pPr>
      <w:hyperlink r:id="rId36" w:history="1">
        <w:r w:rsidRPr="00D16ADB">
          <w:rPr>
            <w:rStyle w:val="bhyperlinkChar"/>
          </w:rPr>
          <w:t>https://pubs.acs.org/doi/10.1021/acs.est.5c14628</w:t>
        </w:r>
      </w:hyperlink>
    </w:p>
    <w:p w14:paraId="7161D7BF" w14:textId="77777777" w:rsidR="00D16ADB" w:rsidRDefault="00D16ADB">
      <w:pPr>
        <w:pStyle w:val="bhyperlink"/>
        <w:numPr>
          <w:ilvl w:val="0"/>
          <w:numId w:val="39"/>
        </w:numPr>
      </w:pPr>
      <w:hyperlink r:id="rId37" w:history="1">
        <w:r w:rsidRPr="00D16ADB">
          <w:rPr>
            <w:rStyle w:val="bhyperlinkChar"/>
          </w:rPr>
          <w:t>https://www.sciencedirect.com/science/article/pii/S175058362500088X</w:t>
        </w:r>
      </w:hyperlink>
    </w:p>
    <w:p w14:paraId="519EB1D2" w14:textId="77777777" w:rsidR="009C3A0E" w:rsidRDefault="00994197">
      <w:pPr>
        <w:pStyle w:val="Heading1"/>
        <w:spacing w:before="280" w:after="280"/>
        <w:rPr>
          <w:rFonts w:cstheme="majorHAnsi"/>
        </w:rPr>
      </w:pPr>
      <w:bookmarkStart w:id="49" w:name="_Toc237345535"/>
      <w:bookmarkStart w:id="50" w:name="_Toc237471117"/>
      <w:bookmarkStart w:id="51" w:name="_Toc238129772"/>
      <w:bookmarkStart w:id="52" w:name="_Toc238205554"/>
      <w:r>
        <w:rPr>
          <w:rFonts w:cstheme="majorHAnsi"/>
        </w:rPr>
        <w:lastRenderedPageBreak/>
        <w:t>Automated Construction of Thermal Storage Tanks</w:t>
      </w:r>
      <w:bookmarkEnd w:id="49"/>
      <w:bookmarkEnd w:id="50"/>
      <w:bookmarkEnd w:id="51"/>
      <w:bookmarkEnd w:id="52"/>
    </w:p>
    <w:p w14:paraId="5018B3CF" w14:textId="77777777" w:rsidR="009C3A0E" w:rsidRDefault="00994197">
      <w:pPr>
        <w:pStyle w:val="cUserPromptText"/>
        <w:spacing w:before="280" w:after="280"/>
        <w:rPr>
          <w:rFonts w:asciiTheme="majorHAnsi" w:hAnsiTheme="majorHAnsi" w:cstheme="majorHAnsi"/>
        </w:rPr>
      </w:pPr>
      <w:r>
        <w:rPr>
          <w:rStyle w:val="UserPromptHeadingChar"/>
        </w:rPr>
        <w:t xml:space="preserve">Prompt to AI: </w:t>
      </w:r>
      <w:r>
        <w:rPr>
          <w:rFonts w:cstheme="majorHAnsi"/>
        </w:rPr>
        <w:t>In theory, thermal storage tanks could be made using super-sized automated equipment (e.g. on 12m x 24m railcars). How might this be done? Please see page 56 of “Decarbonization_Lab_Biz_Plan_v8h.docx” for comments on this.</w:t>
      </w:r>
    </w:p>
    <w:p w14:paraId="5EB6E2F7" w14:textId="77777777" w:rsidR="009C3A0E" w:rsidRDefault="00994197">
      <w:pPr>
        <w:spacing w:before="280" w:after="280"/>
      </w:pPr>
      <w:r>
        <w:rPr>
          <w:b/>
          <w:color w:val="4F81BD"/>
          <w:u w:val="single"/>
        </w:rPr>
        <w:t>Response From AI:</w:t>
      </w:r>
    </w:p>
    <w:p w14:paraId="292E049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Page 56 is brief, but the idea is clear: use thermal storage to absorb heat when the reactor has more heat than immediately needed, then recover that heat later; and reduce storage cost by developing </w:t>
      </w:r>
      <w:r>
        <w:rPr>
          <w:rFonts w:eastAsia="Times New Roman" w:cstheme="majorHAnsi"/>
          <w:b/>
          <w:bCs/>
          <w:szCs w:val="24"/>
        </w:rPr>
        <w:t>custom machines that automatically construct very large tanks from factory-made subassemblies</w:t>
      </w:r>
      <w:r>
        <w:rPr>
          <w:rFonts w:eastAsia="Times New Roman" w:cstheme="majorHAnsi"/>
          <w:szCs w:val="24"/>
        </w:rPr>
        <w:t xml:space="preserve">. </w:t>
      </w:r>
    </w:p>
    <w:p w14:paraId="6573973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think this could fit your double-rail concept very well. The key is </w:t>
      </w:r>
      <w:r>
        <w:rPr>
          <w:rFonts w:eastAsia="Times New Roman" w:cstheme="majorHAnsi"/>
          <w:b/>
          <w:bCs/>
          <w:szCs w:val="24"/>
        </w:rPr>
        <w:t>not to transport the completed tank</w:t>
      </w:r>
      <w:r>
        <w:rPr>
          <w:rFonts w:eastAsia="Times New Roman" w:cstheme="majorHAnsi"/>
          <w:szCs w:val="24"/>
        </w:rPr>
        <w:t>. A truly useful thermal-storage tank might be 40–100 meters in diameter. Instead, transport very large tank components and the construction machines on 12 m × 24 m double-width railcars, then have the machines assemble the tank almost like a giant automated kit.</w:t>
      </w:r>
    </w:p>
    <w:p w14:paraId="1E7CB17C" w14:textId="77777777" w:rsidR="009C3A0E" w:rsidRDefault="00994197">
      <w:pPr>
        <w:pStyle w:val="Heading2"/>
        <w:spacing w:before="280"/>
      </w:pPr>
      <w:r>
        <w:t>A good basic architecture</w:t>
      </w:r>
    </w:p>
    <w:p w14:paraId="30B1A4B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high-temperature sensible-heat storage, I would probably start with either:</w:t>
      </w:r>
    </w:p>
    <w:p w14:paraId="2A098D1A" w14:textId="77777777" w:rsidR="009C3A0E" w:rsidRDefault="00994197">
      <w:pPr>
        <w:pStyle w:val="blist-bullets"/>
        <w:numPr>
          <w:ilvl w:val="0"/>
          <w:numId w:val="16"/>
        </w:numPr>
        <w:spacing w:before="280"/>
        <w:rPr>
          <w:rFonts w:asciiTheme="majorHAnsi" w:eastAsia="Times New Roman" w:hAnsiTheme="majorHAnsi" w:cstheme="majorHAnsi"/>
          <w:szCs w:val="24"/>
        </w:rPr>
      </w:pPr>
      <w:r>
        <w:rPr>
          <w:rFonts w:eastAsia="Times New Roman" w:cstheme="majorHAnsi"/>
          <w:b/>
          <w:bCs/>
          <w:szCs w:val="24"/>
        </w:rPr>
        <w:t>two large tanks</w:t>
      </w:r>
      <w:r>
        <w:rPr>
          <w:rFonts w:eastAsia="Times New Roman" w:cstheme="majorHAnsi"/>
          <w:szCs w:val="24"/>
        </w:rPr>
        <w:t xml:space="preserve"> — one "hot" and one "cold"; or </w:t>
      </w:r>
    </w:p>
    <w:p w14:paraId="4B76D8E4" w14:textId="77777777" w:rsidR="009C3A0E" w:rsidRDefault="00994197">
      <w:pPr>
        <w:pStyle w:val="blist-bullets"/>
        <w:numPr>
          <w:ilvl w:val="0"/>
          <w:numId w:val="16"/>
        </w:numPr>
        <w:spacing w:after="280"/>
        <w:rPr>
          <w:rFonts w:asciiTheme="majorHAnsi" w:eastAsia="Times New Roman" w:hAnsiTheme="majorHAnsi" w:cstheme="majorHAnsi"/>
          <w:szCs w:val="24"/>
        </w:rPr>
      </w:pPr>
      <w:r>
        <w:rPr>
          <w:rFonts w:eastAsia="Times New Roman" w:cstheme="majorHAnsi"/>
          <w:b/>
          <w:bCs/>
          <w:szCs w:val="24"/>
        </w:rPr>
        <w:t>one thermocline tank</w:t>
      </w:r>
      <w:r>
        <w:rPr>
          <w:rFonts w:eastAsia="Times New Roman" w:cstheme="majorHAnsi"/>
          <w:szCs w:val="24"/>
        </w:rPr>
        <w:t xml:space="preserve"> with hot liquid at the top and cooler liquid at the bottom. </w:t>
      </w:r>
    </w:p>
    <w:p w14:paraId="296B706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exact storage fluid would depend on the reactor and temperature. The construction technology can be designed largely independently of whether the eventual fluid is a molten salt, thermal oil, or another heat-transfer fluid.</w:t>
      </w:r>
    </w:p>
    <w:p w14:paraId="19C3130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pair of tanks might look conceptually like this:</w:t>
      </w:r>
    </w:p>
    <w:p w14:paraId="6BBCD810" w14:textId="77777777" w:rsidR="009C3A0E" w:rsidRDefault="00994197" w:rsidP="00E0465F">
      <w:pPr>
        <w:pStyle w:val="bblueindent"/>
        <w:ind w:right="1908"/>
      </w:pPr>
      <w:r>
        <w:t>HTR-PM/PWR → heat exchanger → hot tank → industrial processes/turbine → cold tank → reactor heat exchanger</w:t>
      </w:r>
    </w:p>
    <w:p w14:paraId="46B9E1B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interesting R&amp;D problem is then: </w:t>
      </w:r>
      <w:r>
        <w:rPr>
          <w:rFonts w:eastAsia="Times New Roman" w:cstheme="majorHAnsi"/>
          <w:b/>
          <w:bCs/>
          <w:szCs w:val="24"/>
        </w:rPr>
        <w:t>How cheaply can we build tanks of tens of thousands of cubic meters repeatedly?</w:t>
      </w:r>
    </w:p>
    <w:p w14:paraId="6413EAC9" w14:textId="77777777" w:rsidR="009C3A0E" w:rsidRDefault="00994197">
      <w:pPr>
        <w:pStyle w:val="Heading2"/>
        <w:spacing w:before="280"/>
      </w:pPr>
      <w:r>
        <w:t>I would use a "build from the top downward" tank-jacking system</w:t>
      </w:r>
    </w:p>
    <w:p w14:paraId="6B2316A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There is a particularly attractive way to automate this.</w:t>
      </w:r>
    </w:p>
    <w:p w14:paraId="3C290B9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lastRenderedPageBreak/>
        <w:t xml:space="preserve">Instead of erecting the bottom shell first and having workers climb higher and higher as the tank grows, build the </w:t>
      </w:r>
      <w:r>
        <w:rPr>
          <w:rFonts w:eastAsia="Times New Roman" w:cstheme="majorHAnsi"/>
          <w:b/>
          <w:bCs/>
          <w:szCs w:val="24"/>
        </w:rPr>
        <w:t>roof and top wall ring at ground level</w:t>
      </w:r>
      <w:r>
        <w:rPr>
          <w:rFonts w:eastAsia="Times New Roman" w:cstheme="majorHAnsi"/>
          <w:szCs w:val="24"/>
        </w:rPr>
        <w:t>.</w:t>
      </w:r>
    </w:p>
    <w:p w14:paraId="0DAF651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Then:</w:t>
      </w:r>
    </w:p>
    <w:p w14:paraId="1CC71CFF" w14:textId="77777777" w:rsidR="009C3A0E" w:rsidRPr="00E0465F" w:rsidRDefault="00994197" w:rsidP="00E0465F">
      <w:pPr>
        <w:pStyle w:val="blistNo-Spacebullet"/>
      </w:pPr>
      <w:r w:rsidRPr="00E0465F">
        <w:t xml:space="preserve">Construct the tank floor. </w:t>
      </w:r>
    </w:p>
    <w:p w14:paraId="1DB02819" w14:textId="77777777" w:rsidR="009C3A0E" w:rsidRPr="00E0465F" w:rsidRDefault="00994197" w:rsidP="00E0465F">
      <w:pPr>
        <w:pStyle w:val="blistNo-Spacebullet"/>
      </w:pPr>
      <w:r w:rsidRPr="00E0465F">
        <w:t xml:space="preserve">Build the roof and top cylindrical shell ring at ground level. </w:t>
      </w:r>
    </w:p>
    <w:p w14:paraId="09FF092C" w14:textId="77777777" w:rsidR="009C3A0E" w:rsidRPr="00E0465F" w:rsidRDefault="00994197" w:rsidP="00E0465F">
      <w:pPr>
        <w:pStyle w:val="blistNo-Spacebullet"/>
      </w:pPr>
      <w:r w:rsidRPr="00E0465F">
        <w:t xml:space="preserve">Put perhaps 30–100 synchronized hydraulic/electric jacks around the circumference. </w:t>
      </w:r>
    </w:p>
    <w:p w14:paraId="180F9868" w14:textId="77777777" w:rsidR="009C3A0E" w:rsidRPr="00E0465F" w:rsidRDefault="00994197" w:rsidP="00E0465F">
      <w:pPr>
        <w:pStyle w:val="blistNo-Spacebullet"/>
      </w:pPr>
      <w:r w:rsidRPr="00E0465F">
        <w:t xml:space="preserve">Lift the entire roof/top ring several meters. </w:t>
      </w:r>
    </w:p>
    <w:p w14:paraId="295682D5" w14:textId="77777777" w:rsidR="009C3A0E" w:rsidRPr="00E0465F" w:rsidRDefault="00994197" w:rsidP="00E0465F">
      <w:pPr>
        <w:pStyle w:val="blistNo-Spacebullet"/>
      </w:pPr>
      <w:r w:rsidRPr="00E0465F">
        <w:t xml:space="preserve">Bring in the next ring of factory-made curved wall panels underneath it. </w:t>
      </w:r>
    </w:p>
    <w:p w14:paraId="76E5EFEE" w14:textId="77777777" w:rsidR="009C3A0E" w:rsidRPr="00E0465F" w:rsidRDefault="00994197" w:rsidP="00E0465F">
      <w:pPr>
        <w:pStyle w:val="blistNo-Spacebullet"/>
      </w:pPr>
      <w:r w:rsidRPr="00E0465F">
        <w:t xml:space="preserve">Automatically align and weld that ring. </w:t>
      </w:r>
    </w:p>
    <w:p w14:paraId="6E327365" w14:textId="77777777" w:rsidR="009C3A0E" w:rsidRPr="00E0465F" w:rsidRDefault="00994197" w:rsidP="00E0465F">
      <w:pPr>
        <w:pStyle w:val="blistNo-Spacebullet"/>
      </w:pPr>
      <w:r w:rsidRPr="00E0465F">
        <w:t xml:space="preserve">Raise the entire structure again. </w:t>
      </w:r>
    </w:p>
    <w:p w14:paraId="2081E64D" w14:textId="77777777" w:rsidR="009C3A0E" w:rsidRPr="00E0465F" w:rsidRDefault="00994197" w:rsidP="00E0465F">
      <w:pPr>
        <w:pStyle w:val="blistNo-Spacebullet"/>
      </w:pPr>
      <w:r w:rsidRPr="00E0465F">
        <w:t xml:space="preserve">Repeat until the full tank height has been created. </w:t>
      </w:r>
    </w:p>
    <w:p w14:paraId="326CCE2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That means nearly all difficult joining occurs </w:t>
      </w:r>
      <w:r>
        <w:rPr>
          <w:rFonts w:eastAsia="Times New Roman" w:cstheme="majorHAnsi"/>
          <w:b/>
          <w:bCs/>
          <w:szCs w:val="24"/>
        </w:rPr>
        <w:t>close to ground level</w:t>
      </w:r>
      <w:r>
        <w:rPr>
          <w:rFonts w:eastAsia="Times New Roman" w:cstheme="majorHAnsi"/>
          <w:szCs w:val="24"/>
        </w:rPr>
        <w:t xml:space="preserve"> rather than 20 or 30 meters in the air.</w:t>
      </w:r>
    </w:p>
    <w:p w14:paraId="132D47C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 think this is particularly compatible with your automation philosophy.</w:t>
      </w:r>
    </w:p>
    <w:p w14:paraId="4B28153B" w14:textId="77777777" w:rsidR="009C3A0E" w:rsidRDefault="00994197">
      <w:pPr>
        <w:pStyle w:val="Heading2"/>
        <w:spacing w:before="280"/>
      </w:pPr>
      <w:r>
        <w:t>What comes in on the 12 m × 24 m railcars?</w:t>
      </w:r>
    </w:p>
    <w:p w14:paraId="5BC35425" w14:textId="77777777" w:rsidR="009C3A0E" w:rsidRDefault="00994197">
      <w:pPr>
        <w:rPr>
          <w:rFonts w:asciiTheme="majorHAnsi" w:eastAsia="Times New Roman" w:hAnsiTheme="majorHAnsi" w:cstheme="majorHAnsi"/>
          <w:szCs w:val="24"/>
        </w:rPr>
      </w:pPr>
      <w:r>
        <w:rPr>
          <w:rFonts w:eastAsia="Times New Roman" w:cstheme="majorHAnsi"/>
          <w:szCs w:val="24"/>
        </w:rPr>
        <w:t>Instead of ordinary truck-sized construction material, a double-width railcar could carry things like:</w:t>
      </w:r>
    </w:p>
    <w:tbl>
      <w:tblPr>
        <w:tblStyle w:val="gswTableStyle"/>
        <w:tblW w:w="7613" w:type="dxa"/>
        <w:tblLayout w:type="fixed"/>
        <w:tblLook w:val="04A0" w:firstRow="1" w:lastRow="0" w:firstColumn="1" w:lastColumn="0" w:noHBand="0" w:noVBand="1"/>
      </w:tblPr>
      <w:tblGrid>
        <w:gridCol w:w="2561"/>
        <w:gridCol w:w="5052"/>
      </w:tblGrid>
      <w:tr w:rsidR="009C3A0E" w14:paraId="236A5C30" w14:textId="77777777" w:rsidTr="009C3A0E">
        <w:trPr>
          <w:cnfStyle w:val="100000000000" w:firstRow="1" w:lastRow="0" w:firstColumn="0" w:lastColumn="0" w:oddVBand="0" w:evenVBand="0" w:oddHBand="0" w:evenHBand="0" w:firstRowFirstColumn="0" w:firstRowLastColumn="0" w:lastRowFirstColumn="0" w:lastRowLastColumn="0"/>
          <w:tblHeader/>
        </w:trPr>
        <w:tc>
          <w:tcPr>
            <w:tcW w:w="2561" w:type="dxa"/>
          </w:tcPr>
          <w:p w14:paraId="6F7FF5DE" w14:textId="77777777" w:rsidR="009C3A0E" w:rsidRDefault="00994197">
            <w:pPr>
              <w:pStyle w:val="cTableHeader"/>
              <w:spacing w:before="0" w:after="0"/>
            </w:pPr>
            <w:r>
              <w:t>Railcar load</w:t>
            </w:r>
          </w:p>
        </w:tc>
        <w:tc>
          <w:tcPr>
            <w:tcW w:w="5051" w:type="dxa"/>
          </w:tcPr>
          <w:p w14:paraId="1B082B1B" w14:textId="77777777" w:rsidR="009C3A0E" w:rsidRDefault="00994197">
            <w:pPr>
              <w:pStyle w:val="cTableHeader"/>
              <w:spacing w:before="0" w:after="0"/>
            </w:pPr>
            <w:r>
              <w:t>What factory does beforehand</w:t>
            </w:r>
          </w:p>
        </w:tc>
      </w:tr>
      <w:tr w:rsidR="009C3A0E" w14:paraId="66BC5559" w14:textId="77777777" w:rsidTr="009C3A0E">
        <w:tc>
          <w:tcPr>
            <w:tcW w:w="2561" w:type="dxa"/>
          </w:tcPr>
          <w:p w14:paraId="425F6BD0" w14:textId="77777777" w:rsidR="009C3A0E" w:rsidRDefault="00994197">
            <w:pPr>
              <w:pStyle w:val="cTableBody"/>
              <w:spacing w:before="0"/>
            </w:pPr>
            <w:r>
              <w:t>Large curved wall panels</w:t>
            </w:r>
          </w:p>
        </w:tc>
        <w:tc>
          <w:tcPr>
            <w:tcW w:w="5051" w:type="dxa"/>
          </w:tcPr>
          <w:p w14:paraId="61B7E440" w14:textId="77777777" w:rsidR="009C3A0E" w:rsidRDefault="00994197">
            <w:pPr>
              <w:pStyle w:val="cTableBody"/>
              <w:spacing w:before="0"/>
            </w:pPr>
            <w:r>
              <w:t>Cut, roll to exact curvature, edge-machine, inspect</w:t>
            </w:r>
          </w:p>
        </w:tc>
      </w:tr>
      <w:tr w:rsidR="009C3A0E" w14:paraId="3F79890D" w14:textId="77777777" w:rsidTr="009C3A0E">
        <w:tc>
          <w:tcPr>
            <w:tcW w:w="2561" w:type="dxa"/>
          </w:tcPr>
          <w:p w14:paraId="622318F6" w14:textId="77777777" w:rsidR="009C3A0E" w:rsidRDefault="00994197">
            <w:pPr>
              <w:pStyle w:val="cTableBody"/>
              <w:spacing w:before="0"/>
            </w:pPr>
            <w:r>
              <w:t>Tank-floor sectors</w:t>
            </w:r>
          </w:p>
        </w:tc>
        <w:tc>
          <w:tcPr>
            <w:tcW w:w="5051" w:type="dxa"/>
          </w:tcPr>
          <w:p w14:paraId="77818934" w14:textId="77777777" w:rsidR="009C3A0E" w:rsidRDefault="00994197">
            <w:pPr>
              <w:pStyle w:val="cTableBody"/>
              <w:spacing w:before="0"/>
            </w:pPr>
            <w:r>
              <w:t>Cut and weld large subassemblies</w:t>
            </w:r>
          </w:p>
        </w:tc>
      </w:tr>
      <w:tr w:rsidR="009C3A0E" w14:paraId="2828C2E7" w14:textId="77777777" w:rsidTr="009C3A0E">
        <w:tc>
          <w:tcPr>
            <w:tcW w:w="2561" w:type="dxa"/>
          </w:tcPr>
          <w:p w14:paraId="348B86A0" w14:textId="77777777" w:rsidR="009C3A0E" w:rsidRDefault="00994197">
            <w:pPr>
              <w:pStyle w:val="cTableBody"/>
              <w:spacing w:before="0"/>
            </w:pPr>
            <w:r>
              <w:t>Roof sectors</w:t>
            </w:r>
          </w:p>
        </w:tc>
        <w:tc>
          <w:tcPr>
            <w:tcW w:w="5051" w:type="dxa"/>
          </w:tcPr>
          <w:p w14:paraId="67B865DD" w14:textId="77777777" w:rsidR="009C3A0E" w:rsidRDefault="00994197">
            <w:pPr>
              <w:pStyle w:val="cTableBody"/>
              <w:spacing w:before="0"/>
            </w:pPr>
            <w:r>
              <w:t>Fabricate large radial roof sections</w:t>
            </w:r>
          </w:p>
        </w:tc>
      </w:tr>
      <w:tr w:rsidR="009C3A0E" w14:paraId="37054EFA" w14:textId="77777777" w:rsidTr="009C3A0E">
        <w:tc>
          <w:tcPr>
            <w:tcW w:w="2561" w:type="dxa"/>
          </w:tcPr>
          <w:p w14:paraId="3EC9D5CF" w14:textId="77777777" w:rsidR="009C3A0E" w:rsidRDefault="00994197">
            <w:pPr>
              <w:pStyle w:val="cTableBody"/>
              <w:spacing w:before="0"/>
            </w:pPr>
            <w:r>
              <w:t>Insulation modules</w:t>
            </w:r>
          </w:p>
        </w:tc>
        <w:tc>
          <w:tcPr>
            <w:tcW w:w="5051" w:type="dxa"/>
          </w:tcPr>
          <w:p w14:paraId="601C4163" w14:textId="77777777" w:rsidR="009C3A0E" w:rsidRDefault="00994197">
            <w:pPr>
              <w:pStyle w:val="cTableBody"/>
              <w:spacing w:before="0"/>
            </w:pPr>
            <w:r>
              <w:t>Factory-build insulation + outer weather cladding</w:t>
            </w:r>
          </w:p>
        </w:tc>
      </w:tr>
      <w:tr w:rsidR="009C3A0E" w14:paraId="62B7C181" w14:textId="77777777" w:rsidTr="009C3A0E">
        <w:tc>
          <w:tcPr>
            <w:tcW w:w="2561" w:type="dxa"/>
          </w:tcPr>
          <w:p w14:paraId="61B3A8C1" w14:textId="77777777" w:rsidR="009C3A0E" w:rsidRDefault="00994197">
            <w:pPr>
              <w:pStyle w:val="cTableBody"/>
              <w:spacing w:before="0"/>
            </w:pPr>
            <w:r>
              <w:t>Pipe/manifold module</w:t>
            </w:r>
          </w:p>
        </w:tc>
        <w:tc>
          <w:tcPr>
            <w:tcW w:w="5051" w:type="dxa"/>
          </w:tcPr>
          <w:p w14:paraId="445DEF72" w14:textId="77777777" w:rsidR="009C3A0E" w:rsidRDefault="00994197">
            <w:pPr>
              <w:pStyle w:val="cTableBody"/>
              <w:spacing w:before="0"/>
            </w:pPr>
            <w:r>
              <w:t>Pumps, valves, heat exchangers, instruments preassembled</w:t>
            </w:r>
          </w:p>
        </w:tc>
      </w:tr>
      <w:tr w:rsidR="009C3A0E" w14:paraId="5A1EACD7" w14:textId="77777777" w:rsidTr="009C3A0E">
        <w:tc>
          <w:tcPr>
            <w:tcW w:w="2561" w:type="dxa"/>
          </w:tcPr>
          <w:p w14:paraId="3E874A94" w14:textId="77777777" w:rsidR="009C3A0E" w:rsidRDefault="00994197">
            <w:pPr>
              <w:pStyle w:val="cTableBody"/>
              <w:spacing w:before="0"/>
            </w:pPr>
            <w:r>
              <w:t>Automated welding machine</w:t>
            </w:r>
          </w:p>
        </w:tc>
        <w:tc>
          <w:tcPr>
            <w:tcW w:w="5051" w:type="dxa"/>
          </w:tcPr>
          <w:p w14:paraId="6744EC00" w14:textId="77777777" w:rsidR="009C3A0E" w:rsidRDefault="00994197">
            <w:pPr>
              <w:pStyle w:val="cTableBody"/>
              <w:spacing w:before="0"/>
            </w:pPr>
            <w:r>
              <w:t>Complete robotic fabrication cell</w:t>
            </w:r>
          </w:p>
        </w:tc>
      </w:tr>
      <w:tr w:rsidR="009C3A0E" w14:paraId="068F4F0D" w14:textId="77777777" w:rsidTr="009C3A0E">
        <w:tc>
          <w:tcPr>
            <w:tcW w:w="2561" w:type="dxa"/>
          </w:tcPr>
          <w:p w14:paraId="65D9A313" w14:textId="77777777" w:rsidR="009C3A0E" w:rsidRDefault="00994197">
            <w:pPr>
              <w:pStyle w:val="cTableBody"/>
              <w:spacing w:before="0"/>
            </w:pPr>
            <w:r>
              <w:t>Tank-jacking machine</w:t>
            </w:r>
          </w:p>
        </w:tc>
        <w:tc>
          <w:tcPr>
            <w:tcW w:w="5051" w:type="dxa"/>
          </w:tcPr>
          <w:p w14:paraId="6951EA1D" w14:textId="77777777" w:rsidR="009C3A0E" w:rsidRDefault="00994197">
            <w:pPr>
              <w:pStyle w:val="cTableBody"/>
              <w:spacing w:before="0"/>
            </w:pPr>
            <w:r>
              <w:t>Large synchronized jack modules</w:t>
            </w:r>
          </w:p>
        </w:tc>
      </w:tr>
      <w:tr w:rsidR="009C3A0E" w14:paraId="1923C9AA" w14:textId="77777777" w:rsidTr="009C3A0E">
        <w:tc>
          <w:tcPr>
            <w:tcW w:w="2561" w:type="dxa"/>
          </w:tcPr>
          <w:p w14:paraId="42D86A82" w14:textId="77777777" w:rsidR="009C3A0E" w:rsidRDefault="00994197">
            <w:pPr>
              <w:pStyle w:val="cTableBody"/>
              <w:spacing w:before="0"/>
            </w:pPr>
            <w:r>
              <w:t>Foundation/rebar modules</w:t>
            </w:r>
          </w:p>
        </w:tc>
        <w:tc>
          <w:tcPr>
            <w:tcW w:w="5051" w:type="dxa"/>
          </w:tcPr>
          <w:p w14:paraId="037ACD54" w14:textId="77777777" w:rsidR="009C3A0E" w:rsidRDefault="00994197">
            <w:pPr>
              <w:pStyle w:val="cTableBody"/>
              <w:spacing w:before="0"/>
            </w:pPr>
            <w:r>
              <w:t>Factory-made reinforcement/forms</w:t>
            </w:r>
          </w:p>
        </w:tc>
      </w:tr>
      <w:tr w:rsidR="009C3A0E" w14:paraId="09185C9C" w14:textId="77777777" w:rsidTr="009C3A0E">
        <w:tc>
          <w:tcPr>
            <w:tcW w:w="2561" w:type="dxa"/>
          </w:tcPr>
          <w:p w14:paraId="0CFC3070" w14:textId="77777777" w:rsidR="009C3A0E" w:rsidRDefault="00994197">
            <w:pPr>
              <w:pStyle w:val="cTableBody"/>
              <w:spacing w:before="0"/>
            </w:pPr>
            <w:r>
              <w:t>Concrete-processing car</w:t>
            </w:r>
          </w:p>
        </w:tc>
        <w:tc>
          <w:tcPr>
            <w:tcW w:w="5051" w:type="dxa"/>
          </w:tcPr>
          <w:p w14:paraId="41DAFC93" w14:textId="77777777" w:rsidR="009C3A0E" w:rsidRDefault="00994197">
            <w:pPr>
              <w:pStyle w:val="cTableBody"/>
              <w:spacing w:before="0"/>
            </w:pPr>
            <w:r>
              <w:t>Aggregate/cement/water bins + automated mixer/pump</w:t>
            </w:r>
          </w:p>
        </w:tc>
      </w:tr>
      <w:tr w:rsidR="009C3A0E" w14:paraId="2EEC40CC" w14:textId="77777777" w:rsidTr="009C3A0E">
        <w:tc>
          <w:tcPr>
            <w:tcW w:w="2561" w:type="dxa"/>
          </w:tcPr>
          <w:p w14:paraId="06A591E9" w14:textId="77777777" w:rsidR="009C3A0E" w:rsidRDefault="00994197">
            <w:pPr>
              <w:pStyle w:val="cTableBody"/>
              <w:spacing w:before="0"/>
            </w:pPr>
            <w:r>
              <w:t>NDE/inspection machine</w:t>
            </w:r>
          </w:p>
        </w:tc>
        <w:tc>
          <w:tcPr>
            <w:tcW w:w="5051" w:type="dxa"/>
          </w:tcPr>
          <w:p w14:paraId="18DB44D4" w14:textId="77777777" w:rsidR="009C3A0E" w:rsidRDefault="00994197">
            <w:pPr>
              <w:pStyle w:val="cTableBody"/>
              <w:spacing w:before="0"/>
            </w:pPr>
            <w:r>
              <w:t>Automated ultrasonic/radiographic/weld inspection</w:t>
            </w:r>
          </w:p>
        </w:tc>
      </w:tr>
    </w:tbl>
    <w:p w14:paraId="387EAC66" w14:textId="77777777" w:rsidR="009C3A0E" w:rsidRDefault="00994197">
      <w:pPr>
        <w:rPr>
          <w:rFonts w:asciiTheme="majorHAnsi" w:eastAsia="Times New Roman" w:hAnsiTheme="majorHAnsi" w:cstheme="majorHAnsi"/>
          <w:szCs w:val="24"/>
        </w:rPr>
      </w:pPr>
      <w:r>
        <w:rPr>
          <w:rFonts w:eastAsia="Times New Roman" w:cstheme="majorHAnsi"/>
          <w:szCs w:val="24"/>
        </w:rPr>
        <w:t xml:space="preserve">This follows the page-56 proposal very closely: </w:t>
      </w:r>
      <w:r>
        <w:rPr>
          <w:rFonts w:eastAsia="Times New Roman" w:cstheme="majorHAnsi"/>
          <w:b/>
          <w:bCs/>
          <w:szCs w:val="24"/>
        </w:rPr>
        <w:t>large factory-made subassemblies joined on site by custom machines</w:t>
      </w:r>
      <w:r>
        <w:rPr>
          <w:rFonts w:eastAsia="Times New Roman" w:cstheme="majorHAnsi"/>
          <w:szCs w:val="24"/>
        </w:rPr>
        <w:t xml:space="preserve">, using the same double-rail infrastructure being proposed for the rest of the chemical-processing yard. </w:t>
      </w:r>
    </w:p>
    <w:p w14:paraId="6EA89A2C" w14:textId="77777777" w:rsidR="009C3A0E" w:rsidRDefault="00994197">
      <w:pPr>
        <w:pStyle w:val="Heading2"/>
        <w:spacing w:before="280"/>
      </w:pPr>
      <w:r>
        <w:lastRenderedPageBreak/>
        <w:t>The tank-construction "train"</w:t>
      </w:r>
    </w:p>
    <w:p w14:paraId="552F710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 would probably develop several specialized machines, each mounted on one or more 12 × 24 m railcars.</w:t>
      </w:r>
    </w:p>
    <w:p w14:paraId="180F50A4" w14:textId="77777777" w:rsidR="009C3A0E" w:rsidRDefault="00994197">
      <w:pPr>
        <w:pStyle w:val="Heading3"/>
        <w:spacing w:before="280" w:after="280"/>
      </w:pPr>
      <w:r>
        <w:t>1. Foundation Construction Car</w:t>
      </w:r>
    </w:p>
    <w:p w14:paraId="1E95612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This prepares the tank base.</w:t>
      </w:r>
    </w:p>
    <w:p w14:paraId="63BD944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It could carry:</w:t>
      </w:r>
    </w:p>
    <w:p w14:paraId="7AEF141A" w14:textId="77777777" w:rsidR="009C3A0E" w:rsidRDefault="00994197" w:rsidP="00944416">
      <w:pPr>
        <w:pStyle w:val="blistNo-Spacebullet"/>
        <w:rPr>
          <w:rFonts w:asciiTheme="majorHAnsi" w:hAnsiTheme="majorHAnsi"/>
        </w:rPr>
      </w:pPr>
      <w:r>
        <w:t xml:space="preserve">laser surveying; </w:t>
      </w:r>
    </w:p>
    <w:p w14:paraId="40E32A3F" w14:textId="77777777" w:rsidR="009C3A0E" w:rsidRDefault="00994197" w:rsidP="00944416">
      <w:pPr>
        <w:pStyle w:val="blistNo-Spacebullet"/>
        <w:rPr>
          <w:rFonts w:asciiTheme="majorHAnsi" w:hAnsiTheme="majorHAnsi"/>
        </w:rPr>
      </w:pPr>
      <w:r>
        <w:t xml:space="preserve">automated excavation/grading tools; </w:t>
      </w:r>
    </w:p>
    <w:p w14:paraId="65D89604" w14:textId="77777777" w:rsidR="009C3A0E" w:rsidRDefault="00994197" w:rsidP="00944416">
      <w:pPr>
        <w:pStyle w:val="blistNo-Spacebullet"/>
        <w:rPr>
          <w:rFonts w:asciiTheme="majorHAnsi" w:hAnsiTheme="majorHAnsi"/>
        </w:rPr>
      </w:pPr>
      <w:r>
        <w:t xml:space="preserve">rebar placement; </w:t>
      </w:r>
    </w:p>
    <w:p w14:paraId="40FFFD35" w14:textId="77777777" w:rsidR="009C3A0E" w:rsidRDefault="00994197" w:rsidP="00944416">
      <w:pPr>
        <w:pStyle w:val="blistNo-Spacebullet"/>
        <w:rPr>
          <w:rFonts w:asciiTheme="majorHAnsi" w:hAnsiTheme="majorHAnsi"/>
        </w:rPr>
      </w:pPr>
      <w:r>
        <w:t xml:space="preserve">concrete mixing/pumping equipment; </w:t>
      </w:r>
    </w:p>
    <w:p w14:paraId="37A1A75B" w14:textId="77777777" w:rsidR="009C3A0E" w:rsidRDefault="00994197" w:rsidP="00944416">
      <w:pPr>
        <w:pStyle w:val="blistNo-Spacebullet"/>
        <w:rPr>
          <w:rFonts w:asciiTheme="majorHAnsi" w:hAnsiTheme="majorHAnsi"/>
        </w:rPr>
      </w:pPr>
      <w:r>
        <w:t xml:space="preserve">automated screeding; </w:t>
      </w:r>
    </w:p>
    <w:p w14:paraId="4F9E2460" w14:textId="77777777" w:rsidR="009C3A0E" w:rsidRDefault="00994197" w:rsidP="00944416">
      <w:pPr>
        <w:pStyle w:val="blistNo-Spacebullet"/>
        <w:rPr>
          <w:rFonts w:asciiTheme="majorHAnsi" w:hAnsiTheme="majorHAnsi"/>
        </w:rPr>
      </w:pPr>
      <w:r>
        <w:t xml:space="preserve">embedded anchors; </w:t>
      </w:r>
    </w:p>
    <w:p w14:paraId="00E65A4F" w14:textId="77777777" w:rsidR="009C3A0E" w:rsidRDefault="00994197" w:rsidP="00944416">
      <w:pPr>
        <w:pStyle w:val="blistNo-Spacebullet"/>
        <w:rPr>
          <w:rFonts w:asciiTheme="majorHAnsi" w:hAnsiTheme="majorHAnsi"/>
        </w:rPr>
      </w:pPr>
      <w:r>
        <w:t xml:space="preserve">foundation insulation installation. </w:t>
      </w:r>
    </w:p>
    <w:p w14:paraId="20233D9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a high-temperature tank, the foundation is important because you don't want heat damaging the concrete or migrating excessively into the soil.</w:t>
      </w:r>
    </w:p>
    <w:p w14:paraId="02FEF99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machine could make a standardized circular foundation perhaps 50–80 m across.</w:t>
      </w:r>
    </w:p>
    <w:p w14:paraId="0AB8ECA2" w14:textId="77777777" w:rsidR="009C3A0E" w:rsidRDefault="00994197">
      <w:pPr>
        <w:pStyle w:val="Heading3"/>
        <w:spacing w:before="280" w:after="280"/>
      </w:pPr>
      <w:r>
        <w:t>2. Floor Assembly Machine</w:t>
      </w:r>
    </w:p>
    <w:p w14:paraId="735AC07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factory ships </w:t>
      </w:r>
      <w:r>
        <w:rPr>
          <w:rFonts w:eastAsia="Times New Roman" w:cstheme="majorHAnsi"/>
          <w:b/>
          <w:bCs/>
          <w:szCs w:val="24"/>
        </w:rPr>
        <w:t>large floor plates or pie-shaped floor sectors</w:t>
      </w:r>
      <w:r>
        <w:rPr>
          <w:rFonts w:eastAsia="Times New Roman" w:cstheme="majorHAnsi"/>
          <w:szCs w:val="24"/>
        </w:rPr>
        <w:t>.</w:t>
      </w:r>
    </w:p>
    <w:p w14:paraId="7B971BA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railcar-mounted gantry lifts them off the transporter and lays them onto the foundation.</w:t>
      </w:r>
    </w:p>
    <w:p w14:paraId="6F0CE16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Then automated weld heads travel along every seam.</w:t>
      </w:r>
    </w:p>
    <w:p w14:paraId="5C3049D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Rather than hundreds of workers manually fitting plates:</w:t>
      </w:r>
    </w:p>
    <w:p w14:paraId="438DAF12" w14:textId="77777777" w:rsidR="009C3A0E" w:rsidRDefault="00994197" w:rsidP="00AC17D8">
      <w:pPr>
        <w:pStyle w:val="bblueindent"/>
      </w:pPr>
      <w:r>
        <w:t>place → align → clamp → weld → inspect</w:t>
      </w:r>
    </w:p>
    <w:p w14:paraId="2D8229F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would be machine-controlled.</w:t>
      </w:r>
    </w:p>
    <w:p w14:paraId="758FEBAC" w14:textId="77777777" w:rsidR="009C3A0E" w:rsidRDefault="00994197">
      <w:pPr>
        <w:pStyle w:val="Heading3"/>
        <w:spacing w:before="280" w:after="280"/>
      </w:pPr>
      <w:r>
        <w:t>3. Giant Tank-Jacking System</w:t>
      </w:r>
    </w:p>
    <w:p w14:paraId="2D511F9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Around the perimeter, standardized jack modules would be placed perhaps every few meters.</w:t>
      </w:r>
    </w:p>
    <w:p w14:paraId="1C36CD3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They operate synchronously.</w:t>
      </w:r>
    </w:p>
    <w:p w14:paraId="7D6C52A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lastRenderedPageBreak/>
        <w:t>The sequence becomes:</w:t>
      </w:r>
    </w:p>
    <w:p w14:paraId="3FABEB65" w14:textId="77777777" w:rsidR="009C3A0E" w:rsidRDefault="00994197" w:rsidP="00AC17D8">
      <w:pPr>
        <w:pStyle w:val="bblueindent"/>
      </w:pPr>
      <w:r>
        <w:t>lift 3 m → stop → insert new shell ring → weld → inspect → lift another 3 m.</w:t>
      </w:r>
    </w:p>
    <w:p w14:paraId="41725EF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important point is that </w:t>
      </w:r>
      <w:r>
        <w:rPr>
          <w:rFonts w:eastAsia="Times New Roman" w:cstheme="majorHAnsi"/>
          <w:b/>
          <w:bCs/>
          <w:szCs w:val="24"/>
        </w:rPr>
        <w:t>the tank itself moves vertically while the welding machines stay at approximately ground level</w:t>
      </w:r>
      <w:r>
        <w:rPr>
          <w:rFonts w:eastAsia="Times New Roman" w:cstheme="majorHAnsi"/>
          <w:szCs w:val="24"/>
        </w:rPr>
        <w:t>.</w:t>
      </w:r>
    </w:p>
    <w:p w14:paraId="5BB27C2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greatly simplifies automation.</w:t>
      </w:r>
    </w:p>
    <w:p w14:paraId="6950D9A0" w14:textId="77777777" w:rsidR="009C3A0E" w:rsidRDefault="00994197">
      <w:pPr>
        <w:pStyle w:val="Heading3"/>
        <w:spacing w:before="280"/>
      </w:pPr>
      <w:r>
        <w:t>4. Shell-Panel Placement Machine</w:t>
      </w:r>
    </w:p>
    <w:p w14:paraId="5DB9AE9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This might be one of the most visually impressive machines.</w:t>
      </w:r>
    </w:p>
    <w:p w14:paraId="376B73B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Imagine two 12 × 24 m railcars, one on either side of the construction area, supporting a huge gantry.</w:t>
      </w:r>
    </w:p>
    <w:p w14:paraId="3042979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trolley travels across the gantry.</w:t>
      </w:r>
    </w:p>
    <w:p w14:paraId="05BEFFA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trolley picks up a large curved steel panel from a delivery railcar and positions it against the tank.</w:t>
      </w:r>
    </w:p>
    <w:p w14:paraId="0B61BA0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Robotic clamps then:</w:t>
      </w:r>
    </w:p>
    <w:p w14:paraId="3F2A5FA8" w14:textId="77777777" w:rsidR="009C3A0E" w:rsidRPr="00A0087E" w:rsidRDefault="00994197" w:rsidP="00A0087E">
      <w:pPr>
        <w:pStyle w:val="blistNo-Spacebullet"/>
      </w:pPr>
      <w:r w:rsidRPr="00A0087E">
        <w:t xml:space="preserve">hold the panel; </w:t>
      </w:r>
    </w:p>
    <w:p w14:paraId="57A483F3" w14:textId="77777777" w:rsidR="009C3A0E" w:rsidRPr="00A0087E" w:rsidRDefault="00994197" w:rsidP="00A0087E">
      <w:pPr>
        <w:pStyle w:val="blistNo-Spacebullet"/>
      </w:pPr>
      <w:r w:rsidRPr="00A0087E">
        <w:t xml:space="preserve">measure alignment with lasers; </w:t>
      </w:r>
    </w:p>
    <w:p w14:paraId="5D66EBE6" w14:textId="77777777" w:rsidR="009C3A0E" w:rsidRPr="00A0087E" w:rsidRDefault="00994197" w:rsidP="00A0087E">
      <w:pPr>
        <w:pStyle w:val="blistNo-Spacebullet"/>
      </w:pPr>
      <w:r w:rsidRPr="00A0087E">
        <w:t xml:space="preserve">adjust millimeters; </w:t>
      </w:r>
    </w:p>
    <w:p w14:paraId="5074C29A" w14:textId="77777777" w:rsidR="009C3A0E" w:rsidRPr="00A0087E" w:rsidRDefault="00994197" w:rsidP="00A0087E">
      <w:pPr>
        <w:pStyle w:val="blistNo-Spacebullet"/>
      </w:pPr>
      <w:r w:rsidRPr="00A0087E">
        <w:t xml:space="preserve">tack weld it; </w:t>
      </w:r>
    </w:p>
    <w:p w14:paraId="2A5A64F0" w14:textId="77777777" w:rsidR="009C3A0E" w:rsidRPr="00A0087E" w:rsidRDefault="00994197" w:rsidP="00A0087E">
      <w:pPr>
        <w:pStyle w:val="blistNo-Spacebullet"/>
      </w:pPr>
      <w:r w:rsidRPr="00A0087E">
        <w:t xml:space="preserve">release the gantry. </w:t>
      </w:r>
    </w:p>
    <w:p w14:paraId="68DF209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next panel comes in.</w:t>
      </w:r>
    </w:p>
    <w:p w14:paraId="52F2B6D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Once a complete circular ring exists, an automated circumferential welder completes the vertical and horizontal seams.</w:t>
      </w:r>
    </w:p>
    <w:p w14:paraId="445D62D2" w14:textId="77777777" w:rsidR="009C3A0E" w:rsidRDefault="00994197">
      <w:pPr>
        <w:pStyle w:val="Heading3"/>
        <w:spacing w:before="280"/>
      </w:pPr>
      <w:r>
        <w:t>5. Automated Welding Machine</w:t>
      </w:r>
    </w:p>
    <w:p w14:paraId="4DA4F0C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This deserves its own development program because tank construction involves </w:t>
      </w:r>
      <w:r>
        <w:rPr>
          <w:rFonts w:eastAsia="Times New Roman" w:cstheme="majorHAnsi"/>
          <w:b/>
          <w:bCs/>
          <w:szCs w:val="24"/>
        </w:rPr>
        <w:t>an enormous amount of repetitive welding</w:t>
      </w:r>
      <w:r>
        <w:rPr>
          <w:rFonts w:eastAsia="Times New Roman" w:cstheme="majorHAnsi"/>
          <w:szCs w:val="24"/>
        </w:rPr>
        <w:t>.</w:t>
      </w:r>
    </w:p>
    <w:p w14:paraId="4BB5B7A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welding machine could magnetically clamp or mechanically attach to the tank wall and travel around it.</w:t>
      </w:r>
    </w:p>
    <w:p w14:paraId="1552F50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It could perform:</w:t>
      </w:r>
    </w:p>
    <w:p w14:paraId="2A8E0CD1" w14:textId="77777777" w:rsidR="009C3A0E" w:rsidRDefault="00994197" w:rsidP="00A0087E">
      <w:pPr>
        <w:pStyle w:val="blistNo-Spacebullet"/>
        <w:rPr>
          <w:rFonts w:asciiTheme="majorHAnsi" w:hAnsiTheme="majorHAnsi"/>
        </w:rPr>
      </w:pPr>
      <w:r>
        <w:t xml:space="preserve">seam preparation; </w:t>
      </w:r>
    </w:p>
    <w:p w14:paraId="268E8585" w14:textId="77777777" w:rsidR="009C3A0E" w:rsidRDefault="00994197" w:rsidP="00A0087E">
      <w:pPr>
        <w:pStyle w:val="blistNo-Spacebullet"/>
        <w:rPr>
          <w:rFonts w:asciiTheme="majorHAnsi" w:hAnsiTheme="majorHAnsi"/>
        </w:rPr>
      </w:pPr>
      <w:r>
        <w:lastRenderedPageBreak/>
        <w:t xml:space="preserve">preheating where necessary; </w:t>
      </w:r>
    </w:p>
    <w:p w14:paraId="44A4FFC1" w14:textId="77777777" w:rsidR="009C3A0E" w:rsidRDefault="00994197" w:rsidP="00A0087E">
      <w:pPr>
        <w:pStyle w:val="blistNo-Spacebullet"/>
        <w:rPr>
          <w:rFonts w:asciiTheme="majorHAnsi" w:hAnsiTheme="majorHAnsi"/>
        </w:rPr>
      </w:pPr>
      <w:r>
        <w:t xml:space="preserve">welding; </w:t>
      </w:r>
    </w:p>
    <w:p w14:paraId="08F4710C" w14:textId="77777777" w:rsidR="009C3A0E" w:rsidRDefault="00994197" w:rsidP="00A0087E">
      <w:pPr>
        <w:pStyle w:val="blistNo-Spacebullet"/>
        <w:rPr>
          <w:rFonts w:asciiTheme="majorHAnsi" w:hAnsiTheme="majorHAnsi"/>
        </w:rPr>
      </w:pPr>
      <w:r>
        <w:t xml:space="preserve">controlled cooling; </w:t>
      </w:r>
    </w:p>
    <w:p w14:paraId="24A19C59" w14:textId="77777777" w:rsidR="009C3A0E" w:rsidRDefault="00994197" w:rsidP="00A0087E">
      <w:pPr>
        <w:pStyle w:val="blistNo-Spacebullet"/>
        <w:rPr>
          <w:rFonts w:asciiTheme="majorHAnsi" w:hAnsiTheme="majorHAnsi"/>
        </w:rPr>
      </w:pPr>
      <w:r>
        <w:t xml:space="preserve">grinding; </w:t>
      </w:r>
    </w:p>
    <w:p w14:paraId="66F7C4A4" w14:textId="77777777" w:rsidR="009C3A0E" w:rsidRDefault="00994197" w:rsidP="00A0087E">
      <w:pPr>
        <w:pStyle w:val="blistNo-Spacebullet"/>
        <w:rPr>
          <w:rFonts w:asciiTheme="majorHAnsi" w:hAnsiTheme="majorHAnsi"/>
        </w:rPr>
      </w:pPr>
      <w:r>
        <w:t xml:space="preserve">inspection. </w:t>
      </w:r>
    </w:p>
    <w:p w14:paraId="4A3FBE4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Multiple welding heads could work simultaneously.</w:t>
      </w:r>
    </w:p>
    <w:p w14:paraId="0A7305C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example, instead of one worker welding one seam:</w:t>
      </w:r>
    </w:p>
    <w:p w14:paraId="79B088CA" w14:textId="77777777" w:rsidR="009C3A0E" w:rsidRDefault="00994197" w:rsidP="00A0087E">
      <w:pPr>
        <w:pStyle w:val="bblueindent"/>
      </w:pPr>
      <w:r>
        <w:t>20 robotic heads could weld 20 seams at the same time.</w:t>
      </w:r>
    </w:p>
    <w:p w14:paraId="047C98C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is where a serious construction-cost reduction could emerge.</w:t>
      </w:r>
    </w:p>
    <w:p w14:paraId="3AFD0931" w14:textId="77777777" w:rsidR="009C3A0E" w:rsidRDefault="00994197">
      <w:pPr>
        <w:pStyle w:val="Heading3"/>
        <w:spacing w:before="280"/>
      </w:pPr>
      <w:r>
        <w:t>6. Automated inspection immediately behind the welding machine</w:t>
      </w:r>
    </w:p>
    <w:p w14:paraId="185677E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 would make welding and inspection one integrated operation.</w:t>
      </w:r>
    </w:p>
    <w:p w14:paraId="4843210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Something like:</w:t>
      </w:r>
    </w:p>
    <w:p w14:paraId="5257CFC8" w14:textId="77777777" w:rsidR="009C3A0E" w:rsidRDefault="00994197" w:rsidP="00A0087E">
      <w:pPr>
        <w:pStyle w:val="bblueindent"/>
      </w:pPr>
      <w:r>
        <w:t>Welder → ultrasonic scanner → machine vision → dimensional scanner</w:t>
      </w:r>
    </w:p>
    <w:p w14:paraId="0DCB004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follows the weld.</w:t>
      </w:r>
    </w:p>
    <w:p w14:paraId="3FD573D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Software records every centimeter of every seam.</w:t>
      </w:r>
    </w:p>
    <w:p w14:paraId="7ACAAC3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If a defect is found, its coordinates are automatically tagged and a repair robot comes back.</w:t>
      </w:r>
    </w:p>
    <w:p w14:paraId="4C3EA0E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That could actually produce </w:t>
      </w:r>
      <w:r>
        <w:rPr>
          <w:rFonts w:eastAsia="Times New Roman" w:cstheme="majorHAnsi"/>
          <w:b/>
          <w:bCs/>
          <w:szCs w:val="24"/>
        </w:rPr>
        <w:t>higher quality</w:t>
      </w:r>
      <w:r>
        <w:rPr>
          <w:rFonts w:eastAsia="Times New Roman" w:cstheme="majorHAnsi"/>
          <w:szCs w:val="24"/>
        </w:rPr>
        <w:t xml:space="preserve"> than traditional manual tank construction while lowering labor cost.</w:t>
      </w:r>
    </w:p>
    <w:p w14:paraId="19AF00B4" w14:textId="77777777" w:rsidR="009C3A0E" w:rsidRDefault="00994197">
      <w:pPr>
        <w:pStyle w:val="Heading3"/>
        <w:spacing w:before="280"/>
      </w:pPr>
      <w:r>
        <w:t>7. Roof Construction</w:t>
      </w:r>
    </w:p>
    <w:p w14:paraId="69BAC3D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roof can be factory-made in very large wedge-shaped sections.</w:t>
      </w:r>
    </w:p>
    <w:p w14:paraId="3CF90A9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central temporary column or erection tower could support the roof during assembly.</w:t>
      </w:r>
    </w:p>
    <w:p w14:paraId="3919299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Alternatively, because we're using the jacking method, I would assemble nearly the </w:t>
      </w:r>
      <w:r>
        <w:rPr>
          <w:rFonts w:eastAsia="Times New Roman" w:cstheme="majorHAnsi"/>
          <w:b/>
          <w:bCs/>
          <w:szCs w:val="24"/>
        </w:rPr>
        <w:t>entire roof at ground level before raising the tank</w:t>
      </w:r>
      <w:r>
        <w:rPr>
          <w:rFonts w:eastAsia="Times New Roman" w:cstheme="majorHAnsi"/>
          <w:szCs w:val="24"/>
        </w:rPr>
        <w:t>.</w:t>
      </w:r>
    </w:p>
    <w:p w14:paraId="155E3A3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is a major advantage.</w:t>
      </w:r>
    </w:p>
    <w:p w14:paraId="5AEB083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Workers and robots aren't installing roof pieces 25 meters above the ground.</w:t>
      </w:r>
    </w:p>
    <w:p w14:paraId="05A742CF" w14:textId="77777777" w:rsidR="009C3A0E" w:rsidRDefault="00994197">
      <w:pPr>
        <w:pStyle w:val="Heading3"/>
        <w:spacing w:before="280"/>
      </w:pPr>
      <w:r>
        <w:lastRenderedPageBreak/>
        <w:t>8. Insulation Installation Machine</w:t>
      </w:r>
    </w:p>
    <w:p w14:paraId="7CBAB95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After the steel tank passes pressure/leak testing, another automated machine works around its exterior.</w:t>
      </w:r>
    </w:p>
    <w:p w14:paraId="22653D0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Large factory-made insulation panels arrive by double rail.</w:t>
      </w:r>
    </w:p>
    <w:p w14:paraId="20E2600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robotic gantry installs:</w:t>
      </w:r>
    </w:p>
    <w:p w14:paraId="278BA2E6" w14:textId="77777777" w:rsidR="009C3A0E" w:rsidRDefault="00994197">
      <w:pPr>
        <w:spacing w:before="280" w:after="280"/>
        <w:ind w:left="720"/>
        <w:rPr>
          <w:rFonts w:asciiTheme="majorHAnsi" w:eastAsia="Times New Roman" w:hAnsiTheme="majorHAnsi" w:cstheme="majorHAnsi"/>
          <w:color w:val="4F81BD" w:themeColor="accent1"/>
          <w:szCs w:val="24"/>
        </w:rPr>
      </w:pPr>
      <w:r>
        <w:rPr>
          <w:rFonts w:eastAsia="Times New Roman" w:cstheme="majorHAnsi"/>
          <w:color w:val="4F81BD" w:themeColor="accent1"/>
          <w:szCs w:val="24"/>
        </w:rPr>
        <w:t>thermal insulation → vapor/weather barrier → metal outer cladding.</w:t>
      </w:r>
    </w:p>
    <w:p w14:paraId="32F512A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Again, work is repetitive and geometrically simple—exactly what automation likes.</w:t>
      </w:r>
    </w:p>
    <w:p w14:paraId="7ED9FE0A" w14:textId="77777777" w:rsidR="009C3A0E" w:rsidRDefault="00994197">
      <w:pPr>
        <w:pStyle w:val="Heading3"/>
        <w:spacing w:before="280"/>
      </w:pPr>
      <w:r>
        <w:t>9. Factory-built piping and pump platform</w:t>
      </w:r>
    </w:p>
    <w:p w14:paraId="0BF3B04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 wouldn't field-build the complicated equipment around the tank.</w:t>
      </w:r>
    </w:p>
    <w:p w14:paraId="1EBD99B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Beside each tank there could be a </w:t>
      </w:r>
      <w:r>
        <w:rPr>
          <w:rFonts w:eastAsia="Times New Roman" w:cstheme="majorHAnsi"/>
          <w:b/>
          <w:bCs/>
          <w:szCs w:val="24"/>
        </w:rPr>
        <w:t>12 × 24 m or 12 × 48 m tank-service platform</w:t>
      </w:r>
      <w:r>
        <w:rPr>
          <w:rFonts w:eastAsia="Times New Roman" w:cstheme="majorHAnsi"/>
          <w:szCs w:val="24"/>
        </w:rPr>
        <w:t>, factory completed with:</w:t>
      </w:r>
    </w:p>
    <w:p w14:paraId="6ABF9F41" w14:textId="77777777" w:rsidR="009C3A0E" w:rsidRDefault="00994197" w:rsidP="00A0087E">
      <w:pPr>
        <w:pStyle w:val="blistNo-Spacebullet"/>
        <w:rPr>
          <w:rFonts w:asciiTheme="majorHAnsi" w:hAnsiTheme="majorHAnsi"/>
        </w:rPr>
      </w:pPr>
      <w:r>
        <w:t xml:space="preserve">main circulation pumps; </w:t>
      </w:r>
    </w:p>
    <w:p w14:paraId="544D7846" w14:textId="77777777" w:rsidR="009C3A0E" w:rsidRDefault="00994197" w:rsidP="00A0087E">
      <w:pPr>
        <w:pStyle w:val="blistNo-Spacebullet"/>
        <w:rPr>
          <w:rFonts w:asciiTheme="majorHAnsi" w:hAnsiTheme="majorHAnsi"/>
        </w:rPr>
      </w:pPr>
      <w:r>
        <w:t xml:space="preserve">valves; </w:t>
      </w:r>
    </w:p>
    <w:p w14:paraId="3B0BF257" w14:textId="77777777" w:rsidR="009C3A0E" w:rsidRDefault="00994197" w:rsidP="00A0087E">
      <w:pPr>
        <w:pStyle w:val="blistNo-Spacebullet"/>
        <w:rPr>
          <w:rFonts w:asciiTheme="majorHAnsi" w:hAnsiTheme="majorHAnsi"/>
        </w:rPr>
      </w:pPr>
      <w:r>
        <w:t xml:space="preserve">drain system; </w:t>
      </w:r>
    </w:p>
    <w:p w14:paraId="545CD66F" w14:textId="77777777" w:rsidR="009C3A0E" w:rsidRDefault="00994197" w:rsidP="00A0087E">
      <w:pPr>
        <w:pStyle w:val="blistNo-Spacebullet"/>
        <w:rPr>
          <w:rFonts w:asciiTheme="majorHAnsi" w:hAnsiTheme="majorHAnsi"/>
        </w:rPr>
      </w:pPr>
      <w:r>
        <w:t xml:space="preserve">fill system; </w:t>
      </w:r>
    </w:p>
    <w:p w14:paraId="089B5092" w14:textId="77777777" w:rsidR="009C3A0E" w:rsidRDefault="00994197" w:rsidP="00A0087E">
      <w:pPr>
        <w:pStyle w:val="blistNo-Spacebullet"/>
        <w:rPr>
          <w:rFonts w:asciiTheme="majorHAnsi" w:hAnsiTheme="majorHAnsi"/>
        </w:rPr>
      </w:pPr>
      <w:r>
        <w:t xml:space="preserve">emergency drain; </w:t>
      </w:r>
    </w:p>
    <w:p w14:paraId="496EA843" w14:textId="77777777" w:rsidR="009C3A0E" w:rsidRDefault="00994197" w:rsidP="00A0087E">
      <w:pPr>
        <w:pStyle w:val="blistNo-Spacebullet"/>
        <w:rPr>
          <w:rFonts w:asciiTheme="majorHAnsi" w:hAnsiTheme="majorHAnsi"/>
        </w:rPr>
      </w:pPr>
      <w:r>
        <w:t xml:space="preserve">instrumentation; </w:t>
      </w:r>
    </w:p>
    <w:p w14:paraId="3539E729" w14:textId="77777777" w:rsidR="009C3A0E" w:rsidRDefault="00994197" w:rsidP="00A0087E">
      <w:pPr>
        <w:pStyle w:val="blistNo-Spacebullet"/>
        <w:rPr>
          <w:rFonts w:asciiTheme="majorHAnsi" w:hAnsiTheme="majorHAnsi"/>
        </w:rPr>
      </w:pPr>
      <w:r>
        <w:t xml:space="preserve">level sensors; </w:t>
      </w:r>
    </w:p>
    <w:p w14:paraId="0965DB0D" w14:textId="77777777" w:rsidR="009C3A0E" w:rsidRDefault="00994197" w:rsidP="00A0087E">
      <w:pPr>
        <w:pStyle w:val="blistNo-Spacebullet"/>
        <w:rPr>
          <w:rFonts w:asciiTheme="majorHAnsi" w:hAnsiTheme="majorHAnsi"/>
        </w:rPr>
      </w:pPr>
      <w:r>
        <w:t xml:space="preserve">heat-tracing equipment; </w:t>
      </w:r>
    </w:p>
    <w:p w14:paraId="23913C52" w14:textId="77777777" w:rsidR="009C3A0E" w:rsidRDefault="00994197" w:rsidP="00A0087E">
      <w:pPr>
        <w:pStyle w:val="blistNo-Spacebullet"/>
        <w:rPr>
          <w:rFonts w:asciiTheme="majorHAnsi" w:hAnsiTheme="majorHAnsi"/>
        </w:rPr>
      </w:pPr>
      <w:r>
        <w:t xml:space="preserve">electrical equipment; </w:t>
      </w:r>
    </w:p>
    <w:p w14:paraId="15C3CAEB" w14:textId="77777777" w:rsidR="009C3A0E" w:rsidRDefault="00994197" w:rsidP="00A0087E">
      <w:pPr>
        <w:pStyle w:val="blistNo-Spacebullet"/>
        <w:rPr>
          <w:rFonts w:asciiTheme="majorHAnsi" w:hAnsiTheme="majorHAnsi"/>
        </w:rPr>
      </w:pPr>
      <w:r>
        <w:t xml:space="preserve">heat exchangers. </w:t>
      </w:r>
    </w:p>
    <w:p w14:paraId="134C448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tank then has perhaps only 5–10 large standardized connection points.</w:t>
      </w:r>
    </w:p>
    <w:p w14:paraId="6FEDE0D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This follows the same plug-and-play philosophy as the chemical platforms.</w:t>
      </w:r>
    </w:p>
    <w:p w14:paraId="13D82E64" w14:textId="77777777" w:rsidR="009C3A0E" w:rsidRDefault="00994197">
      <w:pPr>
        <w:pStyle w:val="Heading2"/>
        <w:spacing w:before="280"/>
      </w:pPr>
      <w:r>
        <w:t>The rail layout could be part of the construction machine</w:t>
      </w:r>
    </w:p>
    <w:p w14:paraId="67787D7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 envision the construction site roughly like this from above:</w:t>
      </w:r>
    </w:p>
    <w:p w14:paraId="1472B8A5" w14:textId="77777777" w:rsidR="009C3A0E" w:rsidRDefault="00994197"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lastRenderedPageBreak/>
        <w:t xml:space="preserve">         PANEL DELIVERY RAIL</w:t>
      </w:r>
    </w:p>
    <w:p w14:paraId="10224712" w14:textId="77777777" w:rsidR="009C3A0E" w:rsidRDefault="00994197"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w:t>
      </w:r>
    </w:p>
    <w:p w14:paraId="0E0D28B3" w14:textId="77777777" w:rsidR="009C3A0E" w:rsidRDefault="009C3A0E"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p>
    <w:p w14:paraId="29DF267B" w14:textId="77777777" w:rsidR="009C3A0E" w:rsidRDefault="00994197"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curved tank-shell panels</w:t>
      </w:r>
    </w:p>
    <w:p w14:paraId="70D41326" w14:textId="77777777" w:rsidR="009C3A0E" w:rsidRDefault="00994197"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12EF8A2D" w14:textId="77777777" w:rsidR="009C3A0E" w:rsidRDefault="00994197"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0A948D15" w14:textId="77777777" w:rsidR="009C3A0E" w:rsidRDefault="00994197"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w:t>
      </w:r>
    </w:p>
    <w:p w14:paraId="7FF522F6" w14:textId="77777777" w:rsidR="009C3A0E" w:rsidRDefault="00994197"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HOT TANK   │</w:t>
      </w:r>
    </w:p>
    <w:p w14:paraId="7A4B2A61" w14:textId="77777777" w:rsidR="009C3A0E" w:rsidRDefault="00994197"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w:t>
      </w:r>
    </w:p>
    <w:p w14:paraId="30A5C48C" w14:textId="77777777" w:rsidR="009C3A0E" w:rsidRDefault="00994197"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62720BB2" w14:textId="77777777" w:rsidR="009C3A0E" w:rsidRDefault="00994197"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automated</w:t>
      </w:r>
    </w:p>
    <w:p w14:paraId="4C378787" w14:textId="77777777" w:rsidR="009C3A0E" w:rsidRDefault="00994197"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gantry/welder</w:t>
      </w:r>
    </w:p>
    <w:p w14:paraId="0957140C" w14:textId="77777777" w:rsidR="009C3A0E" w:rsidRDefault="009C3A0E"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p>
    <w:p w14:paraId="6CA8C734" w14:textId="77777777" w:rsidR="009C3A0E" w:rsidRDefault="00994197"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w:t>
      </w:r>
    </w:p>
    <w:p w14:paraId="21EF1499" w14:textId="77777777" w:rsidR="009C3A0E" w:rsidRDefault="00994197"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MACHINE / CRANE RAIL</w:t>
      </w:r>
    </w:p>
    <w:p w14:paraId="6BF5EB0D" w14:textId="77777777" w:rsidR="009C3A0E" w:rsidRDefault="009C3A0E"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p>
    <w:p w14:paraId="544737C6" w14:textId="77777777" w:rsidR="009C3A0E" w:rsidRDefault="009C3A0E"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p>
    <w:p w14:paraId="4B33900E" w14:textId="77777777" w:rsidR="009C3A0E" w:rsidRDefault="00994197"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142A3CDC" w14:textId="77777777" w:rsidR="009C3A0E" w:rsidRDefault="00994197"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w:t>
      </w:r>
    </w:p>
    <w:p w14:paraId="336D7A3F" w14:textId="77777777" w:rsidR="009C3A0E" w:rsidRDefault="00994197"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COLD TANK   │</w:t>
      </w:r>
    </w:p>
    <w:p w14:paraId="09F790D1" w14:textId="77777777" w:rsidR="009C3A0E" w:rsidRDefault="00994197"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w:t>
      </w:r>
    </w:p>
    <w:p w14:paraId="797B51CD" w14:textId="77777777" w:rsidR="009C3A0E" w:rsidRDefault="00994197"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0AFE284D" w14:textId="77777777" w:rsidR="009C3A0E" w:rsidRDefault="009C3A0E"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p>
    <w:p w14:paraId="535CCB24" w14:textId="77777777" w:rsidR="009C3A0E" w:rsidRDefault="00994197" w:rsidP="00A008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w:t>
      </w:r>
    </w:p>
    <w:p w14:paraId="29EA149F"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PANEL DELIVERY RAIL</w:t>
      </w:r>
    </w:p>
    <w:p w14:paraId="1425EAD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same heavy-double-rail infrastructure used to bring in chemical-processing platforms can therefore support construction and maintenance of thermal storage.</w:t>
      </w:r>
    </w:p>
    <w:p w14:paraId="0DAFBE43" w14:textId="77777777" w:rsidR="009C3A0E" w:rsidRDefault="00994197">
      <w:pPr>
        <w:pStyle w:val="Heading2"/>
        <w:spacing w:before="280"/>
      </w:pPr>
      <w:r>
        <w:t>An alternative: manufacture the steel wall continuously on site</w:t>
      </w:r>
    </w:p>
    <w:p w14:paraId="2A22B6A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There is another approach worth testing.</w:t>
      </w:r>
    </w:p>
    <w:p w14:paraId="10C5115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Instead of shipping curved shell panels, ship </w:t>
      </w:r>
      <w:r>
        <w:rPr>
          <w:rFonts w:eastAsia="Times New Roman" w:cstheme="majorHAnsi"/>
          <w:b/>
          <w:bCs/>
          <w:szCs w:val="24"/>
        </w:rPr>
        <w:t>large rolls or stacks of flat steel plate</w:t>
      </w:r>
      <w:r>
        <w:rPr>
          <w:rFonts w:eastAsia="Times New Roman" w:cstheme="majorHAnsi"/>
          <w:szCs w:val="24"/>
        </w:rPr>
        <w:t>.</w:t>
      </w:r>
    </w:p>
    <w:p w14:paraId="7337CC3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giant railcar-mounted machine would contain:</w:t>
      </w:r>
    </w:p>
    <w:p w14:paraId="3EA232FF" w14:textId="77777777" w:rsidR="009C3A0E" w:rsidRDefault="00994197" w:rsidP="00A0087E">
      <w:pPr>
        <w:pStyle w:val="bblueindent"/>
      </w:pPr>
      <w:r>
        <w:t>steel feed → edge preparation → rolling machine → curvature control → positioning → welding</w:t>
      </w:r>
    </w:p>
    <w:p w14:paraId="6F8B326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and effectively manufacture the cylindrical wall continuously at the tank site.</w:t>
      </w:r>
    </w:p>
    <w:p w14:paraId="4A18B9F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lastRenderedPageBreak/>
        <w:t>Think of it as a gigantic tank-printing machine.</w:t>
      </w:r>
    </w:p>
    <w:p w14:paraId="31A2DC9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It may or may not beat factory-produced curved panels. I would develop both concepts on paper and cost them.</w:t>
      </w:r>
    </w:p>
    <w:p w14:paraId="4FF699D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My expectation would be:</w:t>
      </w:r>
    </w:p>
    <w:p w14:paraId="42781A3B" w14:textId="77777777" w:rsidR="009C3A0E" w:rsidRDefault="00994197">
      <w:pPr>
        <w:spacing w:before="280" w:after="280"/>
        <w:rPr>
          <w:rFonts w:asciiTheme="majorHAnsi" w:eastAsia="Times New Roman" w:hAnsiTheme="majorHAnsi" w:cstheme="majorHAnsi"/>
          <w:szCs w:val="24"/>
        </w:rPr>
      </w:pPr>
      <w:r>
        <w:rPr>
          <w:rFonts w:eastAsia="Times New Roman" w:cstheme="majorHAnsi"/>
          <w:b/>
          <w:bCs/>
          <w:szCs w:val="24"/>
        </w:rPr>
        <w:t>factory-curved panel + automated field assembly</w:t>
      </w:r>
      <w:r>
        <w:rPr>
          <w:rFonts w:eastAsia="Times New Roman" w:cstheme="majorHAnsi"/>
          <w:szCs w:val="24"/>
        </w:rPr>
        <w:t xml:space="preserve"> wins initially because it maximizes controlled factory fabrication.</w:t>
      </w:r>
    </w:p>
    <w:p w14:paraId="1493167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But the continuous construction machine could eventually become cheaper at very high tank-production volumes.</w:t>
      </w:r>
    </w:p>
    <w:p w14:paraId="69D17C37" w14:textId="77777777" w:rsidR="009C3A0E" w:rsidRDefault="00994197">
      <w:pPr>
        <w:pStyle w:val="Heading2"/>
        <w:spacing w:before="280"/>
      </w:pPr>
      <w:r>
        <w:t>Concrete can also be automated</w:t>
      </w:r>
    </w:p>
    <w:p w14:paraId="2497318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other possibility is that the containment/structural portion of the tank is mostly concrete, with a separate metal liner.</w:t>
      </w:r>
    </w:p>
    <w:p w14:paraId="5754094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That fits another item already on page 56: the business plan proposes </w:t>
      </w:r>
      <w:r>
        <w:rPr>
          <w:rFonts w:eastAsia="Times New Roman" w:cstheme="majorHAnsi"/>
          <w:b/>
          <w:bCs/>
          <w:szCs w:val="24"/>
        </w:rPr>
        <w:t>double-rail concrete-processing equipment</w:t>
      </w:r>
      <w:r>
        <w:rPr>
          <w:rFonts w:eastAsia="Times New Roman" w:cstheme="majorHAnsi"/>
          <w:szCs w:val="24"/>
        </w:rPr>
        <w:t xml:space="preserve">, including railcars carrying water, aggregate and dry cement and machines that mix and place concrete. </w:t>
      </w:r>
    </w:p>
    <w:p w14:paraId="4DF568B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One could therefore have:</w:t>
      </w:r>
    </w:p>
    <w:p w14:paraId="5AC053CF" w14:textId="77777777" w:rsidR="009C3A0E" w:rsidRDefault="00994197" w:rsidP="006D7F87">
      <w:pPr>
        <w:spacing w:before="160" w:beforeAutospacing="0" w:after="160" w:afterAutospacing="0"/>
        <w:ind w:left="36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Railcar #1 — cement</w:t>
      </w:r>
    </w:p>
    <w:p w14:paraId="1F5BFFAC" w14:textId="77777777" w:rsidR="009C3A0E" w:rsidRDefault="00994197" w:rsidP="006D7F87">
      <w:pPr>
        <w:spacing w:before="160" w:beforeAutospacing="0" w:after="160" w:afterAutospacing="0"/>
        <w:ind w:left="36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Railcar #2 — aggregate</w:t>
      </w:r>
    </w:p>
    <w:p w14:paraId="276C2A4D" w14:textId="77777777" w:rsidR="009C3A0E" w:rsidRDefault="00994197" w:rsidP="006D7F87">
      <w:pPr>
        <w:spacing w:before="160" w:beforeAutospacing="0" w:after="160" w:afterAutospacing="0"/>
        <w:ind w:left="36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Railcar #3 — water/additives</w:t>
      </w:r>
    </w:p>
    <w:p w14:paraId="7B9F8404" w14:textId="77777777" w:rsidR="009C3A0E" w:rsidRDefault="00994197" w:rsidP="006D7F87">
      <w:pPr>
        <w:spacing w:before="160" w:beforeAutospacing="0" w:after="160" w:afterAutospacing="0"/>
        <w:ind w:left="36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Railcar #4 — mixer/pump</w:t>
      </w:r>
    </w:p>
    <w:p w14:paraId="31988890" w14:textId="77777777" w:rsidR="009C3A0E" w:rsidRDefault="00994197" w:rsidP="006D7F87">
      <w:pPr>
        <w:spacing w:before="160" w:beforeAutospacing="0" w:after="160" w:afterAutospacing="0"/>
        <w:ind w:left="36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Railcar #5 — automated rebar/form machine</w:t>
      </w:r>
    </w:p>
    <w:p w14:paraId="43BBC093" w14:textId="77777777" w:rsidR="009C3A0E" w:rsidRDefault="00994197" w:rsidP="006D7F87">
      <w:pPr>
        <w:spacing w:before="160" w:beforeAutospacing="0" w:after="160" w:afterAutospacing="0"/>
        <w:ind w:left="360"/>
        <w:rPr>
          <w:rFonts w:ascii="Courier New" w:eastAsia="Times New Roman" w:hAnsi="Courier New" w:cs="Courier New"/>
          <w:sz w:val="22"/>
        </w:rPr>
      </w:pPr>
      <w:r>
        <w:rPr>
          <w:rFonts w:ascii="Courier New" w:eastAsia="Times New Roman" w:hAnsi="Courier New" w:cs="Courier New"/>
          <w:color w:val="4F81BD" w:themeColor="accent1"/>
          <w:sz w:val="22"/>
        </w:rPr>
        <w:t>Railcar #6 — concrete-placement gantry</w:t>
      </w:r>
    </w:p>
    <w:p w14:paraId="14D78D1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very large storage systems, a cheap concrete outer structure plus a factory-made metallic liner might deserve comparison against an all-steel tank.</w:t>
      </w:r>
    </w:p>
    <w:p w14:paraId="2C4C5BFC" w14:textId="77777777" w:rsidR="009C3A0E" w:rsidRDefault="00994197">
      <w:pPr>
        <w:pStyle w:val="Heading2"/>
        <w:spacing w:before="280"/>
      </w:pPr>
      <w:r>
        <w:t>Very large size could improve economics</w:t>
      </w:r>
    </w:p>
    <w:p w14:paraId="0871A7F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Suppose, just illustratively, that a tank was:</w:t>
      </w:r>
    </w:p>
    <w:p w14:paraId="0B458B45" w14:textId="77777777" w:rsidR="009C3A0E" w:rsidRDefault="00994197" w:rsidP="00A0087E">
      <w:pPr>
        <w:spacing w:before="280" w:after="280"/>
        <w:ind w:left="36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60 m diameter × 20 m liquid depth</w:t>
      </w:r>
    </w:p>
    <w:p w14:paraId="05FC960F" w14:textId="77777777" w:rsidR="009C3A0E" w:rsidRDefault="00994197">
      <w:pPr>
        <w:spacing w:before="280" w:after="280"/>
        <w:rPr>
          <w:rFonts w:asciiTheme="majorHAnsi" w:eastAsia="Times New Roman" w:hAnsiTheme="majorHAnsi" w:cstheme="majorHAnsi"/>
          <w:szCs w:val="24"/>
        </w:rPr>
      </w:pPr>
      <w:r>
        <w:t>Volume is about π × (30 m)² × 20 m ≈ 56,550 m³.</w:t>
      </w:r>
    </w:p>
    <w:p w14:paraId="4615759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 storage liquid with density around 1.7 t/m³ would mean roughly </w:t>
      </w:r>
      <w:r>
        <w:rPr>
          <w:rFonts w:eastAsia="Times New Roman" w:cstheme="majorHAnsi"/>
          <w:b/>
          <w:bCs/>
          <w:szCs w:val="24"/>
        </w:rPr>
        <w:t>96,000 tonnes of storage medium</w:t>
      </w:r>
      <w:r>
        <w:rPr>
          <w:rFonts w:eastAsia="Times New Roman" w:cstheme="majorHAnsi"/>
          <w:szCs w:val="24"/>
        </w:rPr>
        <w:t>.</w:t>
      </w:r>
    </w:p>
    <w:p w14:paraId="404C3DC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site might therefore have something like:</w:t>
      </w:r>
    </w:p>
    <w:p w14:paraId="47E9D52D" w14:textId="77777777" w:rsidR="009C3A0E" w:rsidRDefault="00994197" w:rsidP="006D7F87">
      <w:pPr>
        <w:spacing w:before="160" w:beforeAutospacing="0" w:after="160" w:afterAutospacing="0"/>
        <w:ind w:left="36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Hot Tank A / Cold Tank A</w:t>
      </w:r>
    </w:p>
    <w:p w14:paraId="70A404CC" w14:textId="77777777" w:rsidR="009C3A0E" w:rsidRDefault="00994197" w:rsidP="006D7F87">
      <w:pPr>
        <w:spacing w:before="160" w:beforeAutospacing="0" w:after="160" w:afterAutospacing="0"/>
        <w:ind w:left="36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Hot Tank B / Cold Tank B</w:t>
      </w:r>
    </w:p>
    <w:p w14:paraId="5F59041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and add additional pairs as reactor and chemical-processing capacity grows.</w:t>
      </w:r>
    </w:p>
    <w:p w14:paraId="74FDC0B0" w14:textId="77777777" w:rsidR="009C3A0E" w:rsidRDefault="00994197">
      <w:pPr>
        <w:pStyle w:val="Heading2"/>
        <w:spacing w:before="280"/>
      </w:pPr>
      <w:r>
        <w:t>Thermal storage becomes more useful with your chemical yard</w:t>
      </w:r>
    </w:p>
    <w:p w14:paraId="45D608D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Page 56 discusses using storage when electricity demand is low and later generating electricity when demand rises. It also explicitly notes that storage can absorb otherwise-unused heat. </w:t>
      </w:r>
    </w:p>
    <w:p w14:paraId="3F1DDEF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With your expanded chemical-yard concept, I would broaden the control logic further.</w:t>
      </w:r>
    </w:p>
    <w:p w14:paraId="77FFB92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storage system could balance </w:t>
      </w:r>
      <w:r>
        <w:rPr>
          <w:rFonts w:eastAsia="Times New Roman" w:cstheme="majorHAnsi"/>
          <w:b/>
          <w:bCs/>
          <w:szCs w:val="24"/>
        </w:rPr>
        <w:t>three demands simultaneously</w:t>
      </w:r>
      <w:r>
        <w:rPr>
          <w:rFonts w:eastAsia="Times New Roman" w:cstheme="majorHAnsi"/>
          <w:szCs w:val="24"/>
        </w:rPr>
        <w:t>:</w:t>
      </w:r>
    </w:p>
    <w:p w14:paraId="286E8D3F" w14:textId="77777777" w:rsidR="009C3A0E" w:rsidRDefault="00994197" w:rsidP="00A0087E">
      <w:pPr>
        <w:spacing w:before="280" w:after="280"/>
        <w:ind w:left="36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electricity demand</w:t>
      </w:r>
    </w:p>
    <w:p w14:paraId="342D6468" w14:textId="77777777" w:rsidR="009C3A0E" w:rsidRDefault="00994197" w:rsidP="00A0087E">
      <w:pPr>
        <w:spacing w:before="280" w:after="280"/>
        <w:ind w:left="36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chemical process-heat demand</w:t>
      </w:r>
    </w:p>
    <w:p w14:paraId="4C71BE4D" w14:textId="77777777" w:rsidR="009C3A0E" w:rsidRDefault="00994197" w:rsidP="00A0087E">
      <w:pPr>
        <w:spacing w:before="280" w:after="280"/>
        <w:ind w:left="36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reactor output</w:t>
      </w:r>
    </w:p>
    <w:p w14:paraId="429E659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example:</w:t>
      </w:r>
    </w:p>
    <w:p w14:paraId="51AD297A" w14:textId="77777777" w:rsidR="009C3A0E" w:rsidRDefault="00994197" w:rsidP="00A00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36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Electricity turbine</w:t>
      </w:r>
    </w:p>
    <w:p w14:paraId="7B1D074E" w14:textId="77777777" w:rsidR="009C3A0E" w:rsidRDefault="00994197" w:rsidP="00A00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36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23AE414F" w14:textId="77777777" w:rsidR="009C3A0E" w:rsidRDefault="00994197" w:rsidP="00A00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36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Reactor → heat header → Chemical platforms</w:t>
      </w:r>
    </w:p>
    <w:p w14:paraId="6F0C44D8" w14:textId="77777777" w:rsidR="009C3A0E" w:rsidRDefault="00994197" w:rsidP="00A00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36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44BA07CE" w14:textId="77777777" w:rsidR="009C3A0E" w:rsidRDefault="00994197" w:rsidP="00A00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36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Thermal storage</w:t>
      </w:r>
    </w:p>
    <w:p w14:paraId="2FCA550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At 2 AM:</w:t>
      </w:r>
    </w:p>
    <w:p w14:paraId="002DF785" w14:textId="77777777" w:rsidR="009C3A0E" w:rsidRDefault="00994197" w:rsidP="00DD4A62">
      <w:pPr>
        <w:pStyle w:val="blist-numbers"/>
        <w:numPr>
          <w:ilvl w:val="0"/>
          <w:numId w:val="22"/>
        </w:numPr>
        <w:spacing w:before="0" w:after="0"/>
        <w:rPr>
          <w:rFonts w:asciiTheme="majorHAnsi" w:hAnsiTheme="majorHAnsi"/>
        </w:rPr>
      </w:pPr>
      <w:r>
        <w:t xml:space="preserve">grid electricity demand falls; </w:t>
      </w:r>
    </w:p>
    <w:p w14:paraId="7E7D5F56" w14:textId="77777777" w:rsidR="009C3A0E" w:rsidRDefault="00994197" w:rsidP="00DD4A62">
      <w:pPr>
        <w:pStyle w:val="blist-numbers"/>
        <w:numPr>
          <w:ilvl w:val="0"/>
          <w:numId w:val="22"/>
        </w:numPr>
        <w:spacing w:before="0" w:after="0"/>
        <w:rPr>
          <w:rFonts w:asciiTheme="majorHAnsi" w:hAnsiTheme="majorHAnsi"/>
        </w:rPr>
      </w:pPr>
      <w:r>
        <w:t xml:space="preserve">chemical plants continue; </w:t>
      </w:r>
    </w:p>
    <w:p w14:paraId="2ABF6506" w14:textId="77777777" w:rsidR="009C3A0E" w:rsidRDefault="00994197" w:rsidP="00DD4A62">
      <w:pPr>
        <w:pStyle w:val="blist-numbers"/>
        <w:numPr>
          <w:ilvl w:val="0"/>
          <w:numId w:val="22"/>
        </w:numPr>
        <w:spacing w:before="0" w:after="0"/>
        <w:rPr>
          <w:rFonts w:asciiTheme="majorHAnsi" w:hAnsiTheme="majorHAnsi"/>
        </w:rPr>
      </w:pPr>
      <w:r>
        <w:t xml:space="preserve">surplus reactor heat charges storage. </w:t>
      </w:r>
    </w:p>
    <w:p w14:paraId="0B9365E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At 4 PM:</w:t>
      </w:r>
    </w:p>
    <w:p w14:paraId="30BA31A1" w14:textId="77777777" w:rsidR="009C3A0E" w:rsidRDefault="00994197" w:rsidP="00DD4A62">
      <w:pPr>
        <w:pStyle w:val="blistNo-Spacebullet"/>
        <w:rPr>
          <w:rFonts w:asciiTheme="majorHAnsi" w:hAnsiTheme="majorHAnsi"/>
        </w:rPr>
      </w:pPr>
      <w:r>
        <w:t xml:space="preserve">grid electricity price rises; </w:t>
      </w:r>
    </w:p>
    <w:p w14:paraId="720EC2FB" w14:textId="77777777" w:rsidR="009C3A0E" w:rsidRDefault="00994197" w:rsidP="00DD4A62">
      <w:pPr>
        <w:pStyle w:val="blistNo-Spacebullet"/>
        <w:rPr>
          <w:rFonts w:asciiTheme="majorHAnsi" w:hAnsiTheme="majorHAnsi"/>
        </w:rPr>
      </w:pPr>
      <w:r>
        <w:t xml:space="preserve">stored heat drives additional turbine generation. </w:t>
      </w:r>
    </w:p>
    <w:p w14:paraId="3B5AFAB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If a chemical platform unexpectedly shuts down:</w:t>
      </w:r>
    </w:p>
    <w:p w14:paraId="2C50142C" w14:textId="77777777" w:rsidR="009C3A0E" w:rsidRDefault="00994197" w:rsidP="00DD4A62">
      <w:pPr>
        <w:pStyle w:val="blistNo-Spacebullet"/>
        <w:rPr>
          <w:rFonts w:asciiTheme="majorHAnsi" w:hAnsiTheme="majorHAnsi"/>
        </w:rPr>
      </w:pPr>
      <w:r>
        <w:t xml:space="preserve">instead of reducing reactor output or dumping heat, </w:t>
      </w:r>
    </w:p>
    <w:p w14:paraId="1722947C" w14:textId="77777777" w:rsidR="009C3A0E" w:rsidRDefault="00994197" w:rsidP="00DD4A62">
      <w:pPr>
        <w:pStyle w:val="blistNo-Spacebullet"/>
        <w:rPr>
          <w:rFonts w:asciiTheme="majorHAnsi" w:hAnsiTheme="majorHAnsi"/>
        </w:rPr>
      </w:pPr>
      <w:r>
        <w:t xml:space="preserve">divert its thermal load temporarily to storage. </w:t>
      </w:r>
    </w:p>
    <w:p w14:paraId="24A70AE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If another chemical platform needs a burst of heat:</w:t>
      </w:r>
    </w:p>
    <w:p w14:paraId="37590533" w14:textId="77777777" w:rsidR="009C3A0E" w:rsidRDefault="00994197">
      <w:pPr>
        <w:pStyle w:val="blist-bullets"/>
        <w:numPr>
          <w:ilvl w:val="0"/>
          <w:numId w:val="25"/>
        </w:numPr>
        <w:spacing w:before="280" w:after="280"/>
        <w:rPr>
          <w:rFonts w:asciiTheme="majorHAnsi" w:eastAsia="Times New Roman" w:hAnsiTheme="majorHAnsi" w:cstheme="majorHAnsi"/>
          <w:szCs w:val="24"/>
        </w:rPr>
      </w:pPr>
      <w:r>
        <w:rPr>
          <w:rFonts w:eastAsia="Times New Roman" w:cstheme="majorHAnsi"/>
          <w:szCs w:val="24"/>
        </w:rPr>
        <w:t xml:space="preserve">reactor + thermal storage supply it together. </w:t>
      </w:r>
    </w:p>
    <w:p w14:paraId="6D29367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So, storage can also permit </w:t>
      </w:r>
      <w:r>
        <w:rPr>
          <w:rFonts w:eastAsia="Times New Roman" w:cstheme="majorHAnsi"/>
          <w:b/>
          <w:bCs/>
          <w:szCs w:val="24"/>
        </w:rPr>
        <w:t>smaller reactor-side equipment</w:t>
      </w:r>
      <w:r>
        <w:rPr>
          <w:rFonts w:eastAsia="Times New Roman" w:cstheme="majorHAnsi"/>
          <w:szCs w:val="24"/>
        </w:rPr>
        <w:t xml:space="preserve"> relative to peak process demand.</w:t>
      </w:r>
    </w:p>
    <w:p w14:paraId="611C45C1" w14:textId="77777777" w:rsidR="009C3A0E" w:rsidRDefault="00994197">
      <w:pPr>
        <w:pStyle w:val="Heading2"/>
        <w:spacing w:before="280"/>
      </w:pPr>
      <w:r>
        <w:t>I would develop perhaps seven specialized machines</w:t>
      </w:r>
    </w:p>
    <w:p w14:paraId="14ACF02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If this became an R&amp;D package inside your fund, my shortlist would be:</w:t>
      </w:r>
    </w:p>
    <w:p w14:paraId="4984F4DC" w14:textId="77777777" w:rsidR="009C3A0E" w:rsidRDefault="00994197" w:rsidP="00DD4A62">
      <w:pPr>
        <w:pStyle w:val="blistNo-Spacebullet"/>
        <w:rPr>
          <w:rFonts w:asciiTheme="majorHAnsi" w:hAnsiTheme="majorHAnsi"/>
        </w:rPr>
      </w:pPr>
      <w:r>
        <w:t xml:space="preserve">Automated tank-foundation construction machine </w:t>
      </w:r>
    </w:p>
    <w:p w14:paraId="0CB271B8" w14:textId="77777777" w:rsidR="009C3A0E" w:rsidRDefault="00994197" w:rsidP="00DD4A62">
      <w:pPr>
        <w:pStyle w:val="blistNo-Spacebullet"/>
        <w:rPr>
          <w:rFonts w:asciiTheme="majorHAnsi" w:hAnsiTheme="majorHAnsi"/>
        </w:rPr>
      </w:pPr>
      <w:r>
        <w:t xml:space="preserve">Tank-floor panel placement/welding machine </w:t>
      </w:r>
    </w:p>
    <w:p w14:paraId="34C1527F" w14:textId="77777777" w:rsidR="009C3A0E" w:rsidRDefault="00994197" w:rsidP="00DD4A62">
      <w:pPr>
        <w:pStyle w:val="blistNo-Spacebullet"/>
        <w:rPr>
          <w:rFonts w:asciiTheme="majorHAnsi" w:hAnsiTheme="majorHAnsi"/>
        </w:rPr>
      </w:pPr>
      <w:r>
        <w:t xml:space="preserve">Synchronized tank-jacking system </w:t>
      </w:r>
    </w:p>
    <w:p w14:paraId="7786A3E1" w14:textId="77777777" w:rsidR="009C3A0E" w:rsidRDefault="00994197" w:rsidP="00DD4A62">
      <w:pPr>
        <w:pStyle w:val="blistNo-Spacebullet"/>
        <w:rPr>
          <w:rFonts w:asciiTheme="majorHAnsi" w:hAnsiTheme="majorHAnsi"/>
        </w:rPr>
      </w:pPr>
      <w:r>
        <w:t xml:space="preserve">Shell-panel positioning gantry </w:t>
      </w:r>
    </w:p>
    <w:p w14:paraId="0349F577" w14:textId="77777777" w:rsidR="009C3A0E" w:rsidRDefault="00994197" w:rsidP="00DD4A62">
      <w:pPr>
        <w:pStyle w:val="blistNo-Spacebullet"/>
        <w:rPr>
          <w:rFonts w:asciiTheme="majorHAnsi" w:hAnsiTheme="majorHAnsi"/>
        </w:rPr>
      </w:pPr>
      <w:r>
        <w:t xml:space="preserve">Automated welding + NDE machine </w:t>
      </w:r>
    </w:p>
    <w:p w14:paraId="475A7A1F" w14:textId="77777777" w:rsidR="009C3A0E" w:rsidRDefault="00994197" w:rsidP="00DD4A62">
      <w:pPr>
        <w:pStyle w:val="blistNo-Spacebullet"/>
        <w:rPr>
          <w:rFonts w:asciiTheme="majorHAnsi" w:hAnsiTheme="majorHAnsi"/>
        </w:rPr>
      </w:pPr>
      <w:r>
        <w:t xml:space="preserve">Roof assembly machine </w:t>
      </w:r>
    </w:p>
    <w:p w14:paraId="750BD153" w14:textId="77777777" w:rsidR="009C3A0E" w:rsidRDefault="00994197" w:rsidP="00DD4A62">
      <w:pPr>
        <w:pStyle w:val="blistNo-Spacebullet"/>
        <w:rPr>
          <w:rFonts w:asciiTheme="majorHAnsi" w:hAnsiTheme="majorHAnsi"/>
        </w:rPr>
      </w:pPr>
      <w:r>
        <w:t xml:space="preserve">Automated insulation/cladding machine </w:t>
      </w:r>
    </w:p>
    <w:p w14:paraId="616A5AB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All would share the </w:t>
      </w:r>
      <w:r>
        <w:rPr>
          <w:rFonts w:eastAsia="Times New Roman" w:cstheme="majorHAnsi"/>
          <w:b/>
          <w:bCs/>
          <w:szCs w:val="24"/>
        </w:rPr>
        <w:t>12 × 24 m double-rail transportation standard</w:t>
      </w:r>
      <w:r>
        <w:rPr>
          <w:rFonts w:eastAsia="Times New Roman" w:cstheme="majorHAnsi"/>
          <w:szCs w:val="24"/>
        </w:rPr>
        <w:t>, and most could remain at the nuclear industrial complex and move from tank to tank.</w:t>
      </w:r>
    </w:p>
    <w:p w14:paraId="4827A24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That last point is important economically. </w:t>
      </w:r>
      <w:r>
        <w:rPr>
          <w:rFonts w:eastAsia="Times New Roman" w:cstheme="majorHAnsi"/>
          <w:b/>
          <w:bCs/>
          <w:szCs w:val="24"/>
        </w:rPr>
        <w:t>You don't buy a giant automated tank-building machine for each tank.</w:t>
      </w:r>
      <w:r>
        <w:rPr>
          <w:rFonts w:eastAsia="Times New Roman" w:cstheme="majorHAnsi"/>
          <w:szCs w:val="24"/>
        </w:rPr>
        <w:t xml:space="preserve"> You buy perhaps one set of machines for a site, build Tank #1, roll the machines 100 meters down the tracks, build Tank #2, then Tank #3, and so forth.</w:t>
      </w:r>
    </w:p>
    <w:p w14:paraId="33888E2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If China ultimately constructed hundreds of nuclear/chemical super-sites, the machines themselves could become standardized manufactured products.</w:t>
      </w:r>
    </w:p>
    <w:p w14:paraId="18C22F49" w14:textId="77777777" w:rsidR="009C3A0E" w:rsidRDefault="00994197">
      <w:pPr>
        <w:spacing w:before="280" w:after="280"/>
        <w:rPr>
          <w:rFonts w:asciiTheme="majorHAnsi" w:eastAsia="Times New Roman" w:hAnsiTheme="majorHAnsi" w:cstheme="majorHAnsi"/>
          <w:b/>
          <w:bCs/>
          <w:szCs w:val="24"/>
        </w:rPr>
      </w:pPr>
      <w:r>
        <w:rPr>
          <w:rFonts w:eastAsia="Times New Roman" w:cstheme="majorHAnsi"/>
          <w:szCs w:val="24"/>
        </w:rPr>
        <w:t xml:space="preserve">That, I think, is the strongest version of the page-56 idea: </w:t>
      </w:r>
      <w:r>
        <w:rPr>
          <w:rFonts w:eastAsia="Times New Roman" w:cstheme="majorHAnsi"/>
          <w:b/>
          <w:bCs/>
          <w:szCs w:val="24"/>
        </w:rPr>
        <w:t>don't optimize the design of one thermal-storage tank; design a reusable automated tank factory that happens to move around the site on double rail.</w:t>
      </w:r>
    </w:p>
    <w:p w14:paraId="6C9CB113" w14:textId="77777777" w:rsidR="009C3A0E" w:rsidRDefault="009C3A0E">
      <w:pPr>
        <w:spacing w:before="280" w:after="280"/>
        <w:rPr>
          <w:rFonts w:asciiTheme="majorHAnsi" w:eastAsia="Times New Roman" w:hAnsiTheme="majorHAnsi" w:cstheme="majorHAnsi"/>
          <w:szCs w:val="24"/>
        </w:rPr>
      </w:pPr>
    </w:p>
    <w:p w14:paraId="52421086" w14:textId="77777777" w:rsidR="009C3A0E" w:rsidRDefault="00994197">
      <w:pPr>
        <w:pStyle w:val="Heading1"/>
        <w:spacing w:before="280" w:after="280"/>
        <w:rPr>
          <w:rFonts w:cstheme="majorHAnsi"/>
        </w:rPr>
      </w:pPr>
      <w:bookmarkStart w:id="53" w:name="_Toc237345536"/>
      <w:bookmarkStart w:id="54" w:name="_Toc237471118"/>
      <w:bookmarkStart w:id="55" w:name="_Toc238129773"/>
      <w:bookmarkStart w:id="56" w:name="_Toc238205555"/>
      <w:r>
        <w:rPr>
          <w:rFonts w:cstheme="majorHAnsi"/>
        </w:rPr>
        <w:t>Electrified Rail to Assist in Site Construction</w:t>
      </w:r>
      <w:bookmarkEnd w:id="53"/>
      <w:bookmarkEnd w:id="54"/>
      <w:bookmarkEnd w:id="55"/>
      <w:bookmarkEnd w:id="56"/>
    </w:p>
    <w:p w14:paraId="4B80D0CD" w14:textId="77777777" w:rsidR="009C3A0E" w:rsidRDefault="00994197">
      <w:pPr>
        <w:pStyle w:val="cUserPromptText"/>
        <w:spacing w:before="280" w:after="280"/>
        <w:rPr>
          <w:rFonts w:asciiTheme="majorHAnsi" w:hAnsiTheme="majorHAnsi" w:cstheme="majorHAnsi"/>
        </w:rPr>
      </w:pPr>
      <w:r>
        <w:rPr>
          <w:rStyle w:val="UserPromptHeadingChar"/>
        </w:rPr>
        <w:t xml:space="preserve">Prompt to AI: </w:t>
      </w:r>
      <w:r>
        <w:rPr>
          <w:rFonts w:cstheme="majorHAnsi"/>
        </w:rPr>
        <w:t>In theory, double-rail on site could include a parallel high voltage rail (e.g. 440 to 7040 VAC, 100 to 1600 Amps, 0.1 to 10 MW). This could be near the ground, next to the rail that supports railcars. Also, it could be surrounded by insulation, except a groove on the bottom. This is illustrated in file “pic3_with_electrical_rail.png” where the electrified rail is red, the insulation is green and a stem that connects the railcar to the electrified rail is shown in blue. Also, there are many segments of rail</w:t>
      </w:r>
      <w:r>
        <w:rPr>
          <w:rFonts w:cstheme="majorHAnsi"/>
        </w:rPr>
        <w:t xml:space="preserve"> on the site, and most of them would not need to be electrified at any one time. In other words, mechanical relays could attach power to rail segments as needed. Also, lights on top of electrified rails could illuminate when electrified, to alert workers to danger. This system would enable grid power to support automated equipment that builds these site (e.g. excavation, concrete mixing/pumping, movement of material/machines). What do you think about this?</w:t>
      </w:r>
    </w:p>
    <w:p w14:paraId="27D7266F" w14:textId="77777777" w:rsidR="009C3A0E" w:rsidRDefault="00994197">
      <w:pPr>
        <w:pStyle w:val="cUserPromptText"/>
        <w:spacing w:before="280" w:after="280"/>
        <w:rPr>
          <w:rFonts w:asciiTheme="majorHAnsi" w:hAnsiTheme="majorHAnsi" w:cstheme="majorHAnsi"/>
        </w:rPr>
      </w:pPr>
      <w:r>
        <w:rPr>
          <w:noProof/>
        </w:rPr>
        <w:drawing>
          <wp:inline distT="0" distB="0" distL="0" distR="0" wp14:anchorId="29FF7305" wp14:editId="47EC630E">
            <wp:extent cx="6096000" cy="3035935"/>
            <wp:effectExtent l="0" t="0" r="0" b="0"/>
            <wp:docPr id="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2"/>
                    <pic:cNvPicPr>
                      <a:picLocks noChangeAspect="1" noChangeArrowheads="1"/>
                    </pic:cNvPicPr>
                  </pic:nvPicPr>
                  <pic:blipFill>
                    <a:blip r:embed="rId38"/>
                    <a:stretch>
                      <a:fillRect/>
                    </a:stretch>
                  </pic:blipFill>
                  <pic:spPr bwMode="auto">
                    <a:xfrm>
                      <a:off x="0" y="0"/>
                      <a:ext cx="6096000" cy="3035935"/>
                    </a:xfrm>
                    <a:prstGeom prst="rect">
                      <a:avLst/>
                    </a:prstGeom>
                    <a:noFill/>
                  </pic:spPr>
                </pic:pic>
              </a:graphicData>
            </a:graphic>
          </wp:inline>
        </w:drawing>
      </w:r>
    </w:p>
    <w:p w14:paraId="03EA41A0" w14:textId="77777777" w:rsidR="009C3A0E" w:rsidRPr="000C680B" w:rsidRDefault="00994197">
      <w:pPr>
        <w:pStyle w:val="bfigure-caption"/>
        <w:spacing w:before="280" w:after="280"/>
        <w:rPr>
          <w:rFonts w:asciiTheme="majorHAnsi" w:hAnsiTheme="majorHAnsi" w:cstheme="majorHAnsi"/>
          <w:iCs/>
          <w:color w:val="auto"/>
        </w:rPr>
      </w:pPr>
      <w:r w:rsidRPr="000C680B">
        <w:rPr>
          <w:rFonts w:cstheme="majorHAnsi"/>
          <w:iCs/>
          <w:color w:val="auto"/>
        </w:rPr>
        <w:t xml:space="preserve">Figure </w:t>
      </w:r>
      <w:r w:rsidR="000C680B" w:rsidRPr="000C680B">
        <w:rPr>
          <w:rFonts w:cstheme="majorHAnsi"/>
          <w:iCs/>
          <w:color w:val="auto"/>
        </w:rPr>
        <w:t>4.</w:t>
      </w:r>
      <w:r w:rsidRPr="000C680B">
        <w:rPr>
          <w:rFonts w:cstheme="majorHAnsi"/>
          <w:iCs/>
          <w:color w:val="auto"/>
        </w:rPr>
        <w:t xml:space="preserve"> Electrified rail concept.</w:t>
      </w:r>
    </w:p>
    <w:p w14:paraId="4CE44DAC" w14:textId="77777777" w:rsidR="009C3A0E" w:rsidRDefault="00994197">
      <w:pPr>
        <w:spacing w:before="280" w:after="280"/>
      </w:pPr>
      <w:r>
        <w:rPr>
          <w:b/>
          <w:color w:val="4F81BD"/>
          <w:u w:val="single"/>
        </w:rPr>
        <w:t>Response From AI:</w:t>
      </w:r>
    </w:p>
    <w:p w14:paraId="6D84A25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think the </w:t>
      </w:r>
      <w:r>
        <w:rPr>
          <w:rFonts w:eastAsia="Times New Roman" w:cstheme="majorHAnsi"/>
          <w:b/>
          <w:bCs/>
          <w:szCs w:val="24"/>
        </w:rPr>
        <w:t>electrified double-rail idea is technically plausible and potentially quite valuable</w:t>
      </w:r>
      <w:r>
        <w:rPr>
          <w:rFonts w:eastAsia="Times New Roman" w:cstheme="majorHAnsi"/>
          <w:szCs w:val="24"/>
        </w:rPr>
        <w:t xml:space="preserve"> for your construction concept. I would modify the details somewhat for safety and for multi-megawatt equipment.</w:t>
      </w:r>
    </w:p>
    <w:p w14:paraId="1453C74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In your sketch, the key concept is good: the normal rails carry the mechanical load, while a separate insulated conductor system supplies grid power to the transporter or construction machine through a downward-facing slot. Segmenting the conductor and energizing only the section currently occupied by a machine is also exactly the direction I would pursue.</w:t>
      </w:r>
    </w:p>
    <w:p w14:paraId="6D11D912" w14:textId="77777777" w:rsidR="009C3A0E" w:rsidRDefault="00994197">
      <w:pPr>
        <w:pStyle w:val="Heading3"/>
        <w:spacing w:before="280" w:after="280"/>
      </w:pPr>
      <w:r>
        <w:t>The architecture I would investigate</w:t>
      </w:r>
    </w:p>
    <w:p w14:paraId="60C16A4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would actually put </w:t>
      </w:r>
      <w:r>
        <w:rPr>
          <w:rFonts w:eastAsia="Times New Roman" w:cstheme="majorHAnsi"/>
          <w:b/>
          <w:bCs/>
          <w:szCs w:val="24"/>
        </w:rPr>
        <w:t>several conductors inside one protected enclosure</w:t>
      </w:r>
      <w:r>
        <w:rPr>
          <w:rFonts w:eastAsia="Times New Roman" w:cstheme="majorHAnsi"/>
          <w:szCs w:val="24"/>
        </w:rPr>
        <w:t>, rather than one red conductor:</w:t>
      </w:r>
    </w:p>
    <w:p w14:paraId="7717A8AB"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VEHICLE / MACHINE</w:t>
      </w:r>
    </w:p>
    <w:p w14:paraId="61AE97C3"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0201068F"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retractable collector</w:t>
      </w:r>
    </w:p>
    <w:p w14:paraId="7C6552F1"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562BF431"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6F43EA51"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narrow bottom slot</w:t>
      </w:r>
    </w:p>
    <w:p w14:paraId="1B81228F"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4417889D"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insulation      │</w:t>
      </w:r>
    </w:p>
    <w:p w14:paraId="55E0BF82"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  ●  ●   ●    │</w:t>
      </w:r>
    </w:p>
    <w:p w14:paraId="2A1FBB37"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L1 L2 L3   PE   │</w:t>
      </w:r>
    </w:p>
    <w:p w14:paraId="1E5DF06B"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r>
        <w:rPr>
          <w:rFonts w:ascii="Courier New" w:eastAsia="MS Gothic" w:hAnsi="Courier New" w:cs="Courier New"/>
          <w:color w:val="4F81BD" w:themeColor="accent1"/>
          <w:sz w:val="20"/>
          <w:szCs w:val="20"/>
        </w:rPr>
        <w:t>┬</w:t>
      </w:r>
      <w:r>
        <w:rPr>
          <w:rFonts w:ascii="Courier New" w:eastAsia="Times New Roman" w:hAnsi="Courier New" w:cs="Courier New"/>
          <w:color w:val="4F81BD" w:themeColor="accent1"/>
          <w:sz w:val="20"/>
          <w:szCs w:val="20"/>
        </w:rPr>
        <w:t>─────────┘</w:t>
      </w:r>
    </w:p>
    <w:p w14:paraId="14DCFEA2"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7D214472"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bottom access slot</w:t>
      </w:r>
    </w:p>
    <w:p w14:paraId="004BC114" w14:textId="77777777" w:rsidR="009C3A0E" w:rsidRDefault="009C3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p>
    <w:p w14:paraId="753AD2E3"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w:t>
      </w:r>
    </w:p>
    <w:p w14:paraId="6CB93843"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mechanical rail</w:t>
      </w:r>
    </w:p>
    <w:p w14:paraId="18B05CDA"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w:t>
      </w:r>
    </w:p>
    <w:p w14:paraId="40E6CA1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For a three-phase AC system you normally need </w:t>
      </w:r>
      <w:r>
        <w:rPr>
          <w:rFonts w:eastAsia="Times New Roman" w:cstheme="majorHAnsi"/>
          <w:b/>
          <w:bCs/>
          <w:szCs w:val="24"/>
        </w:rPr>
        <w:t>L1, L2 and L3</w:t>
      </w:r>
      <w:r>
        <w:rPr>
          <w:rFonts w:eastAsia="Times New Roman" w:cstheme="majorHAnsi"/>
          <w:szCs w:val="24"/>
        </w:rPr>
        <w:t>, plus a protective-earth arrangement. I would not intentionally use the structural running rails as the normal power return path. The entire conductor-rail assembly could sit perhaps a meter or so beside the transportation rails and low enough that it doesn't interfere with the 12 m × 24 m railcars.</w:t>
      </w:r>
    </w:p>
    <w:p w14:paraId="70E2FB3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downward-opening groove in your drawing is a good feature because it makes accidental contact much more difficult and helps keep falling objects away from the conductor.</w:t>
      </w:r>
    </w:p>
    <w:p w14:paraId="4ECB5ACB" w14:textId="77777777" w:rsidR="009C3A0E" w:rsidRDefault="00994197">
      <w:pPr>
        <w:pStyle w:val="Heading3"/>
        <w:spacing w:before="280" w:after="280"/>
      </w:pPr>
      <w:r>
        <w:t>Why I like the idea</w:t>
      </w:r>
    </w:p>
    <w:p w14:paraId="6A670F6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biggest benefit is that your automated construction machinery no longer needs enormous diesel engines, batteries, or trailing multi-megawatt cables.</w:t>
      </w:r>
    </w:p>
    <w:p w14:paraId="0EC71E0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machine doing excavation, concrete production, pumping, heavy lifting, welding, tunnel construction, or transporting a 12 × 96 m platform could simply pull power from the site grid.</w:t>
      </w:r>
    </w:p>
    <w:p w14:paraId="07D838E2" w14:textId="77777777" w:rsidR="009C3A0E" w:rsidRDefault="00994197">
      <w:pPr>
        <w:tabs>
          <w:tab w:val="left" w:pos="2160"/>
        </w:tabs>
        <w:spacing w:before="280" w:after="280"/>
        <w:ind w:left="360"/>
        <w:rPr>
          <w:rFonts w:asciiTheme="majorHAnsi" w:eastAsia="Times New Roman" w:hAnsiTheme="majorHAnsi" w:cstheme="majorHAnsi"/>
          <w:szCs w:val="24"/>
        </w:rPr>
      </w:pPr>
      <w:r>
        <w:rPr>
          <w:rFonts w:eastAsia="Times New Roman" w:cstheme="majorHAnsi"/>
          <w:szCs w:val="24"/>
        </w:rPr>
        <w:t>That gives you:</w:t>
      </w:r>
      <w:r>
        <w:rPr>
          <w:rFonts w:eastAsia="Times New Roman" w:cstheme="majorHAnsi"/>
          <w:szCs w:val="24"/>
        </w:rPr>
        <w:tab/>
      </w:r>
      <w:r>
        <w:rPr>
          <w:rFonts w:ascii="Courier New" w:eastAsia="Times New Roman" w:hAnsi="Courier New" w:cs="Courier New"/>
          <w:sz w:val="22"/>
        </w:rPr>
        <w:t>grid → conductor rail → machine</w:t>
      </w:r>
    </w:p>
    <w:p w14:paraId="0D0AE203" w14:textId="77777777" w:rsidR="009C3A0E" w:rsidRDefault="00994197">
      <w:pPr>
        <w:tabs>
          <w:tab w:val="left" w:pos="2160"/>
        </w:tabs>
        <w:spacing w:before="280" w:after="280"/>
        <w:ind w:left="360"/>
        <w:rPr>
          <w:rFonts w:asciiTheme="majorHAnsi" w:eastAsia="Times New Roman" w:hAnsiTheme="majorHAnsi" w:cstheme="majorHAnsi"/>
          <w:szCs w:val="24"/>
        </w:rPr>
      </w:pPr>
      <w:r>
        <w:rPr>
          <w:rFonts w:eastAsia="Times New Roman" w:cstheme="majorHAnsi"/>
          <w:szCs w:val="24"/>
        </w:rPr>
        <w:t>instead of:</w:t>
      </w:r>
      <w:r>
        <w:rPr>
          <w:rFonts w:eastAsia="Times New Roman" w:cstheme="majorHAnsi"/>
          <w:szCs w:val="24"/>
        </w:rPr>
        <w:tab/>
      </w:r>
      <w:r>
        <w:rPr>
          <w:rFonts w:ascii="Courier New" w:eastAsia="Times New Roman" w:hAnsi="Courier New" w:cs="Courier New"/>
          <w:sz w:val="22"/>
        </w:rPr>
        <w:t>grid → battery charger → huge battery → machine</w:t>
      </w:r>
    </w:p>
    <w:p w14:paraId="758D517F" w14:textId="77777777" w:rsidR="009C3A0E" w:rsidRDefault="00994197">
      <w:pPr>
        <w:tabs>
          <w:tab w:val="left" w:pos="2160"/>
        </w:tabs>
        <w:spacing w:before="280" w:after="280"/>
        <w:ind w:left="360"/>
        <w:rPr>
          <w:rFonts w:asciiTheme="majorHAnsi" w:eastAsia="Times New Roman" w:hAnsiTheme="majorHAnsi" w:cstheme="majorHAnsi"/>
          <w:szCs w:val="24"/>
        </w:rPr>
      </w:pPr>
      <w:r>
        <w:rPr>
          <w:rFonts w:eastAsia="Times New Roman" w:cstheme="majorHAnsi"/>
          <w:szCs w:val="24"/>
        </w:rPr>
        <w:t>or:</w:t>
      </w:r>
      <w:r>
        <w:rPr>
          <w:rFonts w:eastAsia="Times New Roman" w:cstheme="majorHAnsi"/>
          <w:szCs w:val="24"/>
        </w:rPr>
        <w:tab/>
      </w:r>
      <w:r>
        <w:rPr>
          <w:rFonts w:ascii="Courier New" w:eastAsia="Times New Roman" w:hAnsi="Courier New" w:cs="Courier New"/>
          <w:sz w:val="22"/>
        </w:rPr>
        <w:t>diesel delivery → engine → machine.</w:t>
      </w:r>
    </w:p>
    <w:p w14:paraId="497C6F1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machines operating repetitively on a fixed industrial site, the conductor rail could be particularly attractive.</w:t>
      </w:r>
    </w:p>
    <w:p w14:paraId="45BFC70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It also fits the philosophy of the whole project: you are spending money once on a standardized infrastructure system and then using it for </w:t>
      </w:r>
      <w:r>
        <w:rPr>
          <w:rFonts w:eastAsia="Times New Roman" w:cstheme="majorHAnsi"/>
          <w:b/>
          <w:bCs/>
          <w:szCs w:val="24"/>
        </w:rPr>
        <w:t>hundreds of different machines and construction operations over decades</w:t>
      </w:r>
      <w:r>
        <w:rPr>
          <w:rFonts w:eastAsia="Times New Roman" w:cstheme="majorHAnsi"/>
          <w:szCs w:val="24"/>
        </w:rPr>
        <w:t>.</w:t>
      </w:r>
    </w:p>
    <w:p w14:paraId="69429441" w14:textId="77777777" w:rsidR="009C3A0E" w:rsidRDefault="00994197">
      <w:pPr>
        <w:pStyle w:val="Heading2"/>
        <w:spacing w:before="280"/>
        <w:ind w:right="-432"/>
      </w:pPr>
      <w:r>
        <w:t>Your 0.1–10 MW range is reasonable, but I would split it into voltage classes</w:t>
      </w:r>
    </w:p>
    <w:p w14:paraId="3A3E7D7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upper end is where medium voltage becomes especially attractive.</w:t>
      </w:r>
    </w:p>
    <w:p w14:paraId="0A60481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three-phase power:</w:t>
      </w:r>
    </w:p>
    <w:p w14:paraId="2ABAC951" w14:textId="77777777" w:rsidR="009C3A0E" w:rsidRDefault="00994197">
      <w:pPr>
        <w:rPr>
          <w:rFonts w:asciiTheme="majorHAnsi" w:eastAsia="Times New Roman" w:hAnsiTheme="majorHAnsi" w:cstheme="majorHAnsi"/>
          <w:szCs w:val="24"/>
        </w:rPr>
      </w:pPr>
      <w:r>
        <w:rPr>
          <w:rFonts w:eastAsia="Times New Roman" w:cstheme="majorHAnsi"/>
          <w:szCs w:val="24"/>
        </w:rPr>
        <w:t>So, approximately:</w:t>
      </w:r>
    </w:p>
    <w:tbl>
      <w:tblPr>
        <w:tblStyle w:val="gswTableStyle"/>
        <w:tblW w:w="4387" w:type="dxa"/>
        <w:tblLayout w:type="fixed"/>
        <w:tblLook w:val="04A0" w:firstRow="1" w:lastRow="0" w:firstColumn="1" w:lastColumn="0" w:noHBand="0" w:noVBand="1"/>
      </w:tblPr>
      <w:tblGrid>
        <w:gridCol w:w="1746"/>
        <w:gridCol w:w="901"/>
        <w:gridCol w:w="1740"/>
      </w:tblGrid>
      <w:tr w:rsidR="009C3A0E" w14:paraId="4048FCB3" w14:textId="77777777" w:rsidTr="0028609B">
        <w:trPr>
          <w:cnfStyle w:val="100000000000" w:firstRow="1" w:lastRow="0" w:firstColumn="0" w:lastColumn="0" w:oddVBand="0" w:evenVBand="0" w:oddHBand="0" w:evenHBand="0" w:firstRowFirstColumn="0" w:firstRowLastColumn="0" w:lastRowFirstColumn="0" w:lastRowLastColumn="0"/>
          <w:tblHeader/>
        </w:trPr>
        <w:tc>
          <w:tcPr>
            <w:tcW w:w="1746" w:type="dxa"/>
          </w:tcPr>
          <w:p w14:paraId="5AC9E0EC" w14:textId="77777777" w:rsidR="009C3A0E" w:rsidRDefault="00994197">
            <w:pPr>
              <w:pStyle w:val="cTableHeader"/>
              <w:spacing w:before="0" w:after="0"/>
            </w:pPr>
            <w:r>
              <w:t>Machine load</w:t>
            </w:r>
          </w:p>
        </w:tc>
        <w:tc>
          <w:tcPr>
            <w:tcW w:w="901" w:type="dxa"/>
          </w:tcPr>
          <w:p w14:paraId="0DC695EE" w14:textId="77777777" w:rsidR="009C3A0E" w:rsidRDefault="00994197">
            <w:pPr>
              <w:pStyle w:val="cTableHeader"/>
              <w:spacing w:before="0" w:after="0"/>
            </w:pPr>
            <w:r>
              <w:t>Voltage</w:t>
            </w:r>
          </w:p>
        </w:tc>
        <w:tc>
          <w:tcPr>
            <w:tcW w:w="1740" w:type="dxa"/>
          </w:tcPr>
          <w:p w14:paraId="167276EC" w14:textId="77777777" w:rsidR="009C3A0E" w:rsidRDefault="00994197">
            <w:pPr>
              <w:pStyle w:val="cTableHeader"/>
              <w:spacing w:before="0" w:after="0"/>
            </w:pPr>
            <w:r>
              <w:t>Approx. current*</w:t>
            </w:r>
          </w:p>
        </w:tc>
      </w:tr>
      <w:tr w:rsidR="009C3A0E" w14:paraId="2EF5C234" w14:textId="77777777" w:rsidTr="0028609B">
        <w:tc>
          <w:tcPr>
            <w:tcW w:w="1746" w:type="dxa"/>
          </w:tcPr>
          <w:p w14:paraId="4B132503" w14:textId="77777777" w:rsidR="009C3A0E" w:rsidRDefault="00994197">
            <w:pPr>
              <w:pStyle w:val="cTableBody"/>
              <w:spacing w:before="0"/>
            </w:pPr>
            <w:r>
              <w:t>0.1 MW</w:t>
            </w:r>
          </w:p>
        </w:tc>
        <w:tc>
          <w:tcPr>
            <w:tcW w:w="901" w:type="dxa"/>
          </w:tcPr>
          <w:p w14:paraId="387FB098" w14:textId="77777777" w:rsidR="009C3A0E" w:rsidRDefault="00994197">
            <w:pPr>
              <w:pStyle w:val="cTableBody"/>
              <w:spacing w:before="0"/>
            </w:pPr>
            <w:r>
              <w:t>480 V</w:t>
            </w:r>
          </w:p>
        </w:tc>
        <w:tc>
          <w:tcPr>
            <w:tcW w:w="1740" w:type="dxa"/>
          </w:tcPr>
          <w:p w14:paraId="15A67C28" w14:textId="77777777" w:rsidR="009C3A0E" w:rsidRDefault="00994197">
            <w:pPr>
              <w:pStyle w:val="cTableBody"/>
              <w:spacing w:before="0"/>
            </w:pPr>
            <w:r>
              <w:t>~127 A</w:t>
            </w:r>
          </w:p>
        </w:tc>
      </w:tr>
      <w:tr w:rsidR="009C3A0E" w14:paraId="3AD658FF" w14:textId="77777777" w:rsidTr="0028609B">
        <w:tc>
          <w:tcPr>
            <w:tcW w:w="1746" w:type="dxa"/>
          </w:tcPr>
          <w:p w14:paraId="25281D28" w14:textId="77777777" w:rsidR="009C3A0E" w:rsidRDefault="00994197">
            <w:pPr>
              <w:pStyle w:val="cTableBody"/>
              <w:spacing w:before="0"/>
            </w:pPr>
            <w:r>
              <w:t>0.5 MW</w:t>
            </w:r>
          </w:p>
        </w:tc>
        <w:tc>
          <w:tcPr>
            <w:tcW w:w="901" w:type="dxa"/>
          </w:tcPr>
          <w:p w14:paraId="0EF36053" w14:textId="77777777" w:rsidR="009C3A0E" w:rsidRDefault="00994197">
            <w:pPr>
              <w:pStyle w:val="cTableBody"/>
              <w:spacing w:before="0"/>
            </w:pPr>
            <w:r>
              <w:t>480 V</w:t>
            </w:r>
          </w:p>
        </w:tc>
        <w:tc>
          <w:tcPr>
            <w:tcW w:w="1740" w:type="dxa"/>
          </w:tcPr>
          <w:p w14:paraId="29C30CFF" w14:textId="77777777" w:rsidR="009C3A0E" w:rsidRDefault="00994197">
            <w:pPr>
              <w:pStyle w:val="cTableBody"/>
              <w:spacing w:before="0"/>
            </w:pPr>
            <w:r>
              <w:t>~633 A</w:t>
            </w:r>
          </w:p>
        </w:tc>
      </w:tr>
      <w:tr w:rsidR="009C3A0E" w14:paraId="6FED385C" w14:textId="77777777" w:rsidTr="0028609B">
        <w:tc>
          <w:tcPr>
            <w:tcW w:w="1746" w:type="dxa"/>
          </w:tcPr>
          <w:p w14:paraId="4C20F79E" w14:textId="77777777" w:rsidR="009C3A0E" w:rsidRDefault="00994197">
            <w:pPr>
              <w:pStyle w:val="cTableBody"/>
              <w:spacing w:before="0"/>
            </w:pPr>
            <w:r>
              <w:t>1 MW</w:t>
            </w:r>
          </w:p>
        </w:tc>
        <w:tc>
          <w:tcPr>
            <w:tcW w:w="901" w:type="dxa"/>
          </w:tcPr>
          <w:p w14:paraId="27C83F18" w14:textId="77777777" w:rsidR="009C3A0E" w:rsidRDefault="00994197">
            <w:pPr>
              <w:pStyle w:val="cTableBody"/>
              <w:spacing w:before="0"/>
            </w:pPr>
            <w:r>
              <w:t>480 V</w:t>
            </w:r>
          </w:p>
        </w:tc>
        <w:tc>
          <w:tcPr>
            <w:tcW w:w="1740" w:type="dxa"/>
          </w:tcPr>
          <w:p w14:paraId="48293543" w14:textId="77777777" w:rsidR="009C3A0E" w:rsidRDefault="00994197">
            <w:pPr>
              <w:pStyle w:val="cTableBody"/>
              <w:spacing w:before="0"/>
            </w:pPr>
            <w:r>
              <w:t>~1,270 A</w:t>
            </w:r>
          </w:p>
        </w:tc>
      </w:tr>
      <w:tr w:rsidR="009C3A0E" w14:paraId="750C3D5D" w14:textId="77777777" w:rsidTr="0028609B">
        <w:tc>
          <w:tcPr>
            <w:tcW w:w="1746" w:type="dxa"/>
          </w:tcPr>
          <w:p w14:paraId="7A980646" w14:textId="77777777" w:rsidR="009C3A0E" w:rsidRDefault="00994197">
            <w:pPr>
              <w:pStyle w:val="cTableBody"/>
              <w:spacing w:before="0"/>
            </w:pPr>
            <w:r>
              <w:t>1 MW</w:t>
            </w:r>
          </w:p>
        </w:tc>
        <w:tc>
          <w:tcPr>
            <w:tcW w:w="901" w:type="dxa"/>
          </w:tcPr>
          <w:p w14:paraId="35359827" w14:textId="77777777" w:rsidR="009C3A0E" w:rsidRDefault="00994197">
            <w:pPr>
              <w:pStyle w:val="cTableBody"/>
              <w:spacing w:before="0"/>
            </w:pPr>
            <w:r>
              <w:t>690 V</w:t>
            </w:r>
          </w:p>
        </w:tc>
        <w:tc>
          <w:tcPr>
            <w:tcW w:w="1740" w:type="dxa"/>
          </w:tcPr>
          <w:p w14:paraId="641AD939" w14:textId="77777777" w:rsidR="009C3A0E" w:rsidRDefault="00994197">
            <w:pPr>
              <w:pStyle w:val="cTableBody"/>
              <w:spacing w:before="0"/>
            </w:pPr>
            <w:r>
              <w:t>~880 A</w:t>
            </w:r>
          </w:p>
        </w:tc>
      </w:tr>
      <w:tr w:rsidR="009C3A0E" w14:paraId="724ACF92" w14:textId="77777777" w:rsidTr="0028609B">
        <w:tc>
          <w:tcPr>
            <w:tcW w:w="1746" w:type="dxa"/>
          </w:tcPr>
          <w:p w14:paraId="719B1AEF" w14:textId="77777777" w:rsidR="009C3A0E" w:rsidRDefault="00994197">
            <w:pPr>
              <w:pStyle w:val="cTableBody"/>
              <w:spacing w:before="0"/>
            </w:pPr>
            <w:r>
              <w:t>2 MW</w:t>
            </w:r>
          </w:p>
        </w:tc>
        <w:tc>
          <w:tcPr>
            <w:tcW w:w="901" w:type="dxa"/>
          </w:tcPr>
          <w:p w14:paraId="6665304B" w14:textId="77777777" w:rsidR="009C3A0E" w:rsidRDefault="00994197">
            <w:pPr>
              <w:pStyle w:val="cTableBody"/>
              <w:spacing w:before="0"/>
            </w:pPr>
            <w:r>
              <w:t>3.3 kV</w:t>
            </w:r>
          </w:p>
        </w:tc>
        <w:tc>
          <w:tcPr>
            <w:tcW w:w="1740" w:type="dxa"/>
          </w:tcPr>
          <w:p w14:paraId="52FA959F" w14:textId="77777777" w:rsidR="009C3A0E" w:rsidRDefault="00994197">
            <w:pPr>
              <w:pStyle w:val="cTableBody"/>
              <w:spacing w:before="0"/>
            </w:pPr>
            <w:r>
              <w:t>~370 A</w:t>
            </w:r>
          </w:p>
        </w:tc>
      </w:tr>
      <w:tr w:rsidR="009C3A0E" w14:paraId="5D384A1C" w14:textId="77777777" w:rsidTr="0028609B">
        <w:tc>
          <w:tcPr>
            <w:tcW w:w="1746" w:type="dxa"/>
          </w:tcPr>
          <w:p w14:paraId="3B0A19F0" w14:textId="77777777" w:rsidR="009C3A0E" w:rsidRDefault="00994197">
            <w:pPr>
              <w:pStyle w:val="cTableBody"/>
              <w:spacing w:before="0"/>
            </w:pPr>
            <w:r>
              <w:t>5 MW</w:t>
            </w:r>
          </w:p>
        </w:tc>
        <w:tc>
          <w:tcPr>
            <w:tcW w:w="901" w:type="dxa"/>
          </w:tcPr>
          <w:p w14:paraId="0D91D672" w14:textId="77777777" w:rsidR="009C3A0E" w:rsidRDefault="00994197">
            <w:pPr>
              <w:pStyle w:val="cTableBody"/>
              <w:spacing w:before="0"/>
            </w:pPr>
            <w:r>
              <w:t>6.6 kV</w:t>
            </w:r>
          </w:p>
        </w:tc>
        <w:tc>
          <w:tcPr>
            <w:tcW w:w="1740" w:type="dxa"/>
          </w:tcPr>
          <w:p w14:paraId="2EDC871E" w14:textId="77777777" w:rsidR="009C3A0E" w:rsidRDefault="00994197">
            <w:pPr>
              <w:pStyle w:val="cTableBody"/>
              <w:spacing w:before="0"/>
            </w:pPr>
            <w:r>
              <w:t>~460 A</w:t>
            </w:r>
          </w:p>
        </w:tc>
      </w:tr>
      <w:tr w:rsidR="009C3A0E" w14:paraId="1EBF0EF4" w14:textId="77777777" w:rsidTr="0028609B">
        <w:tc>
          <w:tcPr>
            <w:tcW w:w="1746" w:type="dxa"/>
          </w:tcPr>
          <w:p w14:paraId="53800790" w14:textId="77777777" w:rsidR="009C3A0E" w:rsidRDefault="00994197">
            <w:pPr>
              <w:pStyle w:val="cTableBody"/>
              <w:spacing w:before="0"/>
            </w:pPr>
            <w:r>
              <w:t>10 MW</w:t>
            </w:r>
          </w:p>
        </w:tc>
        <w:tc>
          <w:tcPr>
            <w:tcW w:w="901" w:type="dxa"/>
          </w:tcPr>
          <w:p w14:paraId="71AEEEA9" w14:textId="77777777" w:rsidR="009C3A0E" w:rsidRDefault="00994197">
            <w:pPr>
              <w:pStyle w:val="cTableBody"/>
              <w:spacing w:before="0"/>
            </w:pPr>
            <w:r>
              <w:t>6.6 kV</w:t>
            </w:r>
          </w:p>
        </w:tc>
        <w:tc>
          <w:tcPr>
            <w:tcW w:w="1740" w:type="dxa"/>
          </w:tcPr>
          <w:p w14:paraId="5F06B0F2" w14:textId="77777777" w:rsidR="009C3A0E" w:rsidRDefault="00994197">
            <w:pPr>
              <w:pStyle w:val="cTableBody"/>
              <w:spacing w:before="0"/>
            </w:pPr>
            <w:r>
              <w:t>~920 A</w:t>
            </w:r>
          </w:p>
        </w:tc>
      </w:tr>
      <w:tr w:rsidR="009C3A0E" w14:paraId="3384A62B" w14:textId="77777777" w:rsidTr="0028609B">
        <w:tc>
          <w:tcPr>
            <w:tcW w:w="1746" w:type="dxa"/>
          </w:tcPr>
          <w:p w14:paraId="22AD74B8" w14:textId="77777777" w:rsidR="009C3A0E" w:rsidRDefault="00994197">
            <w:pPr>
              <w:pStyle w:val="cTableBody"/>
              <w:spacing w:before="0"/>
            </w:pPr>
            <w:r>
              <w:t>10 MW</w:t>
            </w:r>
          </w:p>
        </w:tc>
        <w:tc>
          <w:tcPr>
            <w:tcW w:w="901" w:type="dxa"/>
          </w:tcPr>
          <w:p w14:paraId="736374A8" w14:textId="77777777" w:rsidR="009C3A0E" w:rsidRDefault="00994197">
            <w:pPr>
              <w:pStyle w:val="cTableBody"/>
              <w:spacing w:before="0"/>
            </w:pPr>
            <w:r>
              <w:t>7.04 kV</w:t>
            </w:r>
          </w:p>
        </w:tc>
        <w:tc>
          <w:tcPr>
            <w:tcW w:w="1740" w:type="dxa"/>
          </w:tcPr>
          <w:p w14:paraId="497F4B9D" w14:textId="77777777" w:rsidR="009C3A0E" w:rsidRDefault="00994197">
            <w:pPr>
              <w:pStyle w:val="cTableBody"/>
              <w:spacing w:before="0"/>
            </w:pPr>
            <w:r>
              <w:t>~865 A</w:t>
            </w:r>
          </w:p>
        </w:tc>
      </w:tr>
    </w:tbl>
    <w:p w14:paraId="02E79B30" w14:textId="77777777" w:rsidR="009C3A0E" w:rsidRDefault="00994197">
      <w:pPr>
        <w:rPr>
          <w:rFonts w:asciiTheme="majorHAnsi" w:eastAsia="Times New Roman" w:hAnsiTheme="majorHAnsi" w:cstheme="majorHAnsi"/>
          <w:szCs w:val="24"/>
        </w:rPr>
      </w:pPr>
      <w:r>
        <w:rPr>
          <w:rFonts w:eastAsia="Times New Roman" w:cstheme="majorHAnsi"/>
          <w:szCs w:val="24"/>
        </w:rPr>
        <w:t>*Assuming roughly 0.95 power factor.</w:t>
      </w:r>
    </w:p>
    <w:p w14:paraId="0A39329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illustrates why I wouldn't try to supply a 5–10 MW excavator, crane, concrete system, or heavy transport machine at 440–690 V. The conductors and current collectors become enormous.</w:t>
      </w:r>
    </w:p>
    <w:p w14:paraId="4F55AC0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For the largest construction machines, </w:t>
      </w:r>
      <w:r>
        <w:rPr>
          <w:rFonts w:eastAsia="Times New Roman" w:cstheme="majorHAnsi"/>
          <w:b/>
          <w:bCs/>
          <w:szCs w:val="24"/>
        </w:rPr>
        <w:t>3.3–7.2 kV class distribution makes much more sense</w:t>
      </w:r>
      <w:r>
        <w:rPr>
          <w:rFonts w:eastAsia="Times New Roman" w:cstheme="majorHAnsi"/>
          <w:szCs w:val="24"/>
        </w:rPr>
        <w:t xml:space="preserve">. Medium-voltage industrial contactors in the roughly 7–12 kV class are established technology; for example, commercial vacuum contactors are available up to 12 kV. </w:t>
      </w:r>
    </w:p>
    <w:p w14:paraId="24B4B69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 might therefore standardize the yard around something like:</w:t>
      </w:r>
    </w:p>
    <w:p w14:paraId="43CC87CE" w14:textId="77777777" w:rsidR="009C3A0E" w:rsidRDefault="00994197" w:rsidP="00964174">
      <w:pPr>
        <w:pStyle w:val="bblueindent"/>
      </w:pPr>
      <w:r>
        <w:rPr>
          <w:u w:val="single"/>
        </w:rPr>
        <w:t>690 V three-phase:</w:t>
      </w:r>
      <w:r>
        <w:t xml:space="preserve"> small/medium machines.</w:t>
      </w:r>
    </w:p>
    <w:p w14:paraId="1882CD58" w14:textId="77777777" w:rsidR="009C3A0E" w:rsidRDefault="00994197" w:rsidP="00964174">
      <w:pPr>
        <w:pStyle w:val="bblueindent"/>
      </w:pPr>
      <w:r>
        <w:rPr>
          <w:u w:val="single"/>
        </w:rPr>
        <w:t>6.6 kV three-phase:</w:t>
      </w:r>
      <w:r>
        <w:t xml:space="preserve"> large construction/transport machinery.</w:t>
      </w:r>
    </w:p>
    <w:p w14:paraId="6D0C64D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exact Chinese standard voltages would need to be selected during engineering.</w:t>
      </w:r>
    </w:p>
    <w:p w14:paraId="0F85449B" w14:textId="77777777" w:rsidR="009C3A0E" w:rsidRDefault="00994197">
      <w:pPr>
        <w:pStyle w:val="Heading2"/>
        <w:spacing w:before="280"/>
      </w:pPr>
      <w:r>
        <w:t>Segmentation is one of the strongest parts of your idea</w:t>
      </w:r>
    </w:p>
    <w:p w14:paraId="06A5A04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agree that </w:t>
      </w:r>
      <w:r>
        <w:rPr>
          <w:rFonts w:eastAsia="Times New Roman" w:cstheme="majorHAnsi"/>
          <w:b/>
          <w:bCs/>
          <w:szCs w:val="24"/>
        </w:rPr>
        <w:t>most of the rail should normally be dead</w:t>
      </w:r>
      <w:r>
        <w:rPr>
          <w:rFonts w:eastAsia="Times New Roman" w:cstheme="majorHAnsi"/>
          <w:szCs w:val="24"/>
        </w:rPr>
        <w:t>.</w:t>
      </w:r>
    </w:p>
    <w:p w14:paraId="1B02F04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Imagine the track divided into, say, 25–100 m electrical zones:</w:t>
      </w:r>
    </w:p>
    <w:p w14:paraId="5AC8B2E0"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Segment 1 | Segment 2 | Segment 3 | Segment 4 | Segment 5</w:t>
      </w:r>
    </w:p>
    <w:p w14:paraId="60832878"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OFF        OFF          ON          OFF        OFF</w:t>
      </w:r>
    </w:p>
    <w:p w14:paraId="22B46F6B"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EE0000"/>
          <w:sz w:val="20"/>
          <w:szCs w:val="20"/>
        </w:rPr>
      </w:pPr>
      <w:r>
        <w:rPr>
          <w:rFonts w:ascii="Courier New" w:eastAsia="Times New Roman" w:hAnsi="Courier New" w:cs="Courier New"/>
          <w:color w:val="4F81BD" w:themeColor="accent1"/>
          <w:sz w:val="20"/>
          <w:szCs w:val="20"/>
        </w:rPr>
        <w:t xml:space="preserve">                         </w:t>
      </w:r>
      <w:r>
        <w:rPr>
          <w:rFonts w:ascii="Courier New" w:eastAsia="Times New Roman" w:hAnsi="Courier New" w:cs="Courier New"/>
          <w:color w:val="EE0000"/>
          <w:sz w:val="20"/>
          <w:szCs w:val="20"/>
        </w:rPr>
        <w:t xml:space="preserve">  ▲</w:t>
      </w:r>
    </w:p>
    <w:p w14:paraId="7F231DF4"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EE0000"/>
          <w:sz w:val="20"/>
          <w:szCs w:val="20"/>
        </w:rPr>
        <w:t xml:space="preserve">                         MACHINE</w:t>
      </w:r>
    </w:p>
    <w:p w14:paraId="014121C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machine entering Segment 3 communicates its identity and position to the site's power-control system.</w:t>
      </w:r>
    </w:p>
    <w:p w14:paraId="3AB9F78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Then:</w:t>
      </w:r>
    </w:p>
    <w:p w14:paraId="0B5907C1" w14:textId="77777777" w:rsidR="009C3A0E" w:rsidRDefault="00994197" w:rsidP="00964174">
      <w:pPr>
        <w:pStyle w:val="blistNo-Spacebullet"/>
        <w:rPr>
          <w:rFonts w:asciiTheme="majorHAnsi" w:hAnsiTheme="majorHAnsi"/>
        </w:rPr>
      </w:pPr>
      <w:r>
        <w:t xml:space="preserve">System confirms the machine is authorized. </w:t>
      </w:r>
    </w:p>
    <w:p w14:paraId="718B27AA" w14:textId="77777777" w:rsidR="009C3A0E" w:rsidRDefault="00994197" w:rsidP="00964174">
      <w:pPr>
        <w:pStyle w:val="blistNo-Spacebullet"/>
        <w:rPr>
          <w:rFonts w:asciiTheme="majorHAnsi" w:hAnsiTheme="majorHAnsi"/>
        </w:rPr>
      </w:pPr>
      <w:r>
        <w:t xml:space="preserve">Collector is correctly engaged. </w:t>
      </w:r>
    </w:p>
    <w:p w14:paraId="027D9993" w14:textId="77777777" w:rsidR="009C3A0E" w:rsidRDefault="00994197" w:rsidP="00964174">
      <w:pPr>
        <w:pStyle w:val="blistNo-Spacebullet"/>
        <w:rPr>
          <w:rFonts w:asciiTheme="majorHAnsi" w:hAnsiTheme="majorHAnsi"/>
        </w:rPr>
      </w:pPr>
      <w:r>
        <w:t xml:space="preserve">Adjacent segment doors/access points are secure. </w:t>
      </w:r>
    </w:p>
    <w:p w14:paraId="277956C6" w14:textId="77777777" w:rsidR="009C3A0E" w:rsidRDefault="00994197" w:rsidP="00964174">
      <w:pPr>
        <w:pStyle w:val="blistNo-Spacebullet"/>
        <w:rPr>
          <w:rFonts w:asciiTheme="majorHAnsi" w:hAnsiTheme="majorHAnsi"/>
        </w:rPr>
      </w:pPr>
      <w:r>
        <w:t xml:space="preserve">Ground/insulation tests pass. </w:t>
      </w:r>
    </w:p>
    <w:p w14:paraId="7502B083" w14:textId="77777777" w:rsidR="009C3A0E" w:rsidRDefault="00994197" w:rsidP="00964174">
      <w:pPr>
        <w:pStyle w:val="blistNo-Spacebullet"/>
        <w:rPr>
          <w:rFonts w:asciiTheme="majorHAnsi" w:hAnsiTheme="majorHAnsi"/>
        </w:rPr>
      </w:pPr>
      <w:r>
        <w:t xml:space="preserve">Segment 3 is energized. </w:t>
      </w:r>
    </w:p>
    <w:p w14:paraId="033A867B" w14:textId="77777777" w:rsidR="009C3A0E" w:rsidRDefault="00994197" w:rsidP="00964174">
      <w:pPr>
        <w:pStyle w:val="blistNo-Spacebullet"/>
        <w:rPr>
          <w:rFonts w:asciiTheme="majorHAnsi" w:hAnsiTheme="majorHAnsi"/>
        </w:rPr>
      </w:pPr>
      <w:r>
        <w:t xml:space="preserve">Segment 2 is de-energized behind it as appropriate. </w:t>
      </w:r>
    </w:p>
    <w:p w14:paraId="7745DDF1" w14:textId="77777777" w:rsidR="009C3A0E" w:rsidRDefault="00994197" w:rsidP="00964174">
      <w:pPr>
        <w:pStyle w:val="blistNo-Spacebullet"/>
        <w:rPr>
          <w:rFonts w:asciiTheme="majorHAnsi" w:hAnsiTheme="majorHAnsi"/>
        </w:rPr>
      </w:pPr>
      <w:r>
        <w:t xml:space="preserve">Segment 4 can be energized just before transition. </w:t>
      </w:r>
    </w:p>
    <w:p w14:paraId="4E606EC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This resembles the logic of a </w:t>
      </w:r>
      <w:r>
        <w:rPr>
          <w:rFonts w:eastAsia="Times New Roman" w:cstheme="majorHAnsi"/>
          <w:b/>
          <w:bCs/>
          <w:szCs w:val="24"/>
        </w:rPr>
        <w:t>moving electrical envelope</w:t>
      </w:r>
      <w:r>
        <w:rPr>
          <w:rFonts w:eastAsia="Times New Roman" w:cstheme="majorHAnsi"/>
          <w:szCs w:val="24"/>
        </w:rPr>
        <w:t xml:space="preserve"> around the machine.</w:t>
      </w:r>
    </w:p>
    <w:p w14:paraId="6486750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That means thousands of meters of conductor rail could exist while perhaps only </w:t>
      </w:r>
      <w:r>
        <w:rPr>
          <w:rFonts w:eastAsia="Times New Roman" w:cstheme="majorHAnsi"/>
          <w:b/>
          <w:bCs/>
          <w:szCs w:val="24"/>
        </w:rPr>
        <w:t>50–200 meters are energized around active equipment</w:t>
      </w:r>
      <w:r>
        <w:rPr>
          <w:rFonts w:eastAsia="Times New Roman" w:cstheme="majorHAnsi"/>
          <w:szCs w:val="24"/>
        </w:rPr>
        <w:t>.</w:t>
      </w:r>
    </w:p>
    <w:p w14:paraId="154451E1" w14:textId="77777777" w:rsidR="009C3A0E" w:rsidRDefault="00994197">
      <w:pPr>
        <w:pStyle w:val="Heading2"/>
        <w:spacing w:before="280"/>
      </w:pPr>
      <w:r>
        <w:t>I would not use ordinary mechanical relays</w:t>
      </w:r>
    </w:p>
    <w:p w14:paraId="7905F16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Your conceptual idea of switching sections with relays is correct, but at these powers I would use </w:t>
      </w:r>
      <w:r>
        <w:rPr>
          <w:rFonts w:eastAsia="Times New Roman" w:cstheme="majorHAnsi"/>
          <w:b/>
          <w:bCs/>
          <w:szCs w:val="24"/>
        </w:rPr>
        <w:t>industrial switchgear</w:t>
      </w:r>
      <w:r>
        <w:rPr>
          <w:rFonts w:eastAsia="Times New Roman" w:cstheme="majorHAnsi"/>
          <w:szCs w:val="24"/>
        </w:rPr>
        <w:t>.</w:t>
      </w:r>
    </w:p>
    <w:p w14:paraId="740A5C3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At 6.6–7.2 kV and hundreds of amps, I'd expect equipment such as:</w:t>
      </w:r>
    </w:p>
    <w:p w14:paraId="4C7FE67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**vacuum contactors / vacuum circuit breakers</w:t>
      </w:r>
    </w:p>
    <w:p w14:paraId="61B9709E" w14:textId="77777777" w:rsidR="009C3A0E" w:rsidRDefault="00994197" w:rsidP="00964174">
      <w:pPr>
        <w:pStyle w:val="blist-numbers"/>
        <w:numPr>
          <w:ilvl w:val="0"/>
          <w:numId w:val="28"/>
        </w:numPr>
        <w:spacing w:before="0" w:after="0"/>
        <w:rPr>
          <w:rFonts w:asciiTheme="majorHAnsi" w:hAnsiTheme="majorHAnsi"/>
        </w:rPr>
      </w:pPr>
      <w:r>
        <w:t xml:space="preserve">protection relays </w:t>
      </w:r>
    </w:p>
    <w:p w14:paraId="2222543D" w14:textId="77777777" w:rsidR="009C3A0E" w:rsidRDefault="00994197" w:rsidP="00964174">
      <w:pPr>
        <w:pStyle w:val="blist-numbers"/>
        <w:numPr>
          <w:ilvl w:val="0"/>
          <w:numId w:val="28"/>
        </w:numPr>
        <w:spacing w:before="0" w:after="0"/>
        <w:rPr>
          <w:rFonts w:asciiTheme="majorHAnsi" w:hAnsiTheme="majorHAnsi"/>
        </w:rPr>
      </w:pPr>
      <w:r>
        <w:t xml:space="preserve">ground-fault detection </w:t>
      </w:r>
    </w:p>
    <w:p w14:paraId="1A065EC9" w14:textId="77777777" w:rsidR="009C3A0E" w:rsidRDefault="00994197" w:rsidP="00964174">
      <w:pPr>
        <w:pStyle w:val="blist-numbers"/>
        <w:numPr>
          <w:ilvl w:val="0"/>
          <w:numId w:val="28"/>
        </w:numPr>
        <w:spacing w:before="0" w:after="0"/>
        <w:rPr>
          <w:rFonts w:asciiTheme="majorHAnsi" w:hAnsiTheme="majorHAnsi"/>
        </w:rPr>
      </w:pPr>
      <w:r>
        <w:t xml:space="preserve">isolation disconnects </w:t>
      </w:r>
    </w:p>
    <w:p w14:paraId="016F0876" w14:textId="77777777" w:rsidR="009C3A0E" w:rsidRDefault="00994197" w:rsidP="00964174">
      <w:pPr>
        <w:pStyle w:val="blist-numbers"/>
        <w:numPr>
          <w:ilvl w:val="0"/>
          <w:numId w:val="28"/>
        </w:numPr>
        <w:spacing w:before="0" w:after="0"/>
        <w:rPr>
          <w:rFonts w:asciiTheme="majorHAnsi" w:hAnsiTheme="majorHAnsi"/>
        </w:rPr>
      </w:pPr>
      <w:r>
        <w:t xml:space="preserve">visible grounding switches ** </w:t>
      </w:r>
    </w:p>
    <w:p w14:paraId="1BA4364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Commercial medium-voltage vacuum contactors are specifically designed for repeated industrial switching and are available up to 12 kV. IEC railway standards similarly treat high-power traction switching as dedicated circuit-breaker/disconnector/switchgear functions rather than ordinary low-voltage relays. </w:t>
      </w:r>
    </w:p>
    <w:p w14:paraId="05C2864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So</w:t>
      </w:r>
      <w:r w:rsidR="00964174">
        <w:rPr>
          <w:rFonts w:eastAsia="Times New Roman" w:cstheme="majorHAnsi"/>
          <w:szCs w:val="24"/>
        </w:rPr>
        <w:t xml:space="preserve">, </w:t>
      </w:r>
      <w:r>
        <w:rPr>
          <w:rFonts w:eastAsia="Times New Roman" w:cstheme="majorHAnsi"/>
          <w:szCs w:val="24"/>
        </w:rPr>
        <w:t xml:space="preserve">your "relay" becomes a </w:t>
      </w:r>
      <w:r>
        <w:rPr>
          <w:rFonts w:eastAsia="Times New Roman" w:cstheme="majorHAnsi"/>
          <w:b/>
          <w:bCs/>
          <w:szCs w:val="24"/>
        </w:rPr>
        <w:t>sectional power cabinet</w:t>
      </w:r>
      <w:r>
        <w:rPr>
          <w:rFonts w:eastAsia="Times New Roman" w:cstheme="majorHAnsi"/>
          <w:szCs w:val="24"/>
        </w:rPr>
        <w:t xml:space="preserve"> every so many meters.</w:t>
      </w:r>
    </w:p>
    <w:p w14:paraId="12A714C6" w14:textId="77777777" w:rsidR="009C3A0E" w:rsidRDefault="00994197">
      <w:pPr>
        <w:pStyle w:val="Heading2"/>
        <w:spacing w:before="280"/>
      </w:pPr>
      <w:r>
        <w:t>The warning lights are a good idea—but should be only one layer</w:t>
      </w:r>
    </w:p>
    <w:p w14:paraId="2ED4B52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 like your suggestion enormously from a human-factors standpoint.</w:t>
      </w:r>
    </w:p>
    <w:p w14:paraId="31356FD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When a segment becomes energized:</w:t>
      </w:r>
    </w:p>
    <w:p w14:paraId="6A1174AB" w14:textId="77777777" w:rsidR="009C3A0E" w:rsidRDefault="00994197" w:rsidP="00964174">
      <w:pPr>
        <w:pStyle w:val="bblueindent"/>
      </w:pPr>
      <w:r>
        <w:t>bright red/orange LED strip illuminates continuously along that particular segment.</w:t>
      </w:r>
    </w:p>
    <w:p w14:paraId="3AB5C49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When dead:</w:t>
      </w:r>
    </w:p>
    <w:p w14:paraId="6A438568" w14:textId="77777777" w:rsidR="009C3A0E" w:rsidRDefault="00994197" w:rsidP="00964174">
      <w:pPr>
        <w:pStyle w:val="bblueindent"/>
      </w:pPr>
      <w:r>
        <w:t>green or no illumination.</w:t>
      </w:r>
    </w:p>
    <w:p w14:paraId="3B61DB9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 would probably make the rail itself visibly communicate status:</w:t>
      </w:r>
    </w:p>
    <w:p w14:paraId="343236E1" w14:textId="77777777" w:rsidR="009C3A0E" w:rsidRDefault="00994197" w:rsidP="00964174">
      <w:pPr>
        <w:pStyle w:val="bblueindent"/>
      </w:pPr>
      <w:r>
        <w:t>RED = ENERGIZED — KEEP CLEAR</w:t>
      </w:r>
    </w:p>
    <w:p w14:paraId="0570155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But the light can't be the safety system.</w:t>
      </w:r>
    </w:p>
    <w:p w14:paraId="37EFFFB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Arc-flash and shock hazards can be serious even at ordinary low voltages, and OSHA emphasizes that even 120/208-V equipment can produce dangerous arc flashes. At several kilovolts and multi-megawatt available fault power, the electrical design must presume that an energized conductor is potentially lethal and use physical guarding, isolation and interlocking. </w:t>
      </w:r>
    </w:p>
    <w:p w14:paraId="0D31665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I'd therefore use at least:</w:t>
      </w:r>
    </w:p>
    <w:p w14:paraId="3B30228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**physical enclosure</w:t>
      </w:r>
    </w:p>
    <w:p w14:paraId="40A93F61" w14:textId="77777777" w:rsidR="009C3A0E" w:rsidRDefault="00994197" w:rsidP="00964174">
      <w:pPr>
        <w:pStyle w:val="blistNo-Spacebullet"/>
        <w:rPr>
          <w:rFonts w:asciiTheme="majorHAnsi" w:hAnsiTheme="majorHAnsi"/>
        </w:rPr>
      </w:pPr>
      <w:r>
        <w:t xml:space="preserve">downward inaccessible opening </w:t>
      </w:r>
    </w:p>
    <w:p w14:paraId="37F137C4" w14:textId="77777777" w:rsidR="009C3A0E" w:rsidRDefault="00994197" w:rsidP="00964174">
      <w:pPr>
        <w:pStyle w:val="blistNo-Spacebullet"/>
        <w:rPr>
          <w:rFonts w:asciiTheme="majorHAnsi" w:hAnsiTheme="majorHAnsi"/>
        </w:rPr>
      </w:pPr>
      <w:r>
        <w:t xml:space="preserve">segment isolation </w:t>
      </w:r>
    </w:p>
    <w:p w14:paraId="3BF537A4" w14:textId="77777777" w:rsidR="009C3A0E" w:rsidRDefault="00994197" w:rsidP="00964174">
      <w:pPr>
        <w:pStyle w:val="blistNo-Spacebullet"/>
        <w:rPr>
          <w:rFonts w:asciiTheme="majorHAnsi" w:hAnsiTheme="majorHAnsi"/>
        </w:rPr>
      </w:pPr>
      <w:r>
        <w:t xml:space="preserve">position detection </w:t>
      </w:r>
    </w:p>
    <w:p w14:paraId="49645576" w14:textId="77777777" w:rsidR="009C3A0E" w:rsidRDefault="00994197" w:rsidP="00964174">
      <w:pPr>
        <w:pStyle w:val="blistNo-Spacebullet"/>
        <w:rPr>
          <w:rFonts w:asciiTheme="majorHAnsi" w:hAnsiTheme="majorHAnsi"/>
        </w:rPr>
      </w:pPr>
      <w:r>
        <w:t xml:space="preserve">collector interlocks </w:t>
      </w:r>
    </w:p>
    <w:p w14:paraId="292F6344" w14:textId="77777777" w:rsidR="009C3A0E" w:rsidRDefault="00994197" w:rsidP="00964174">
      <w:pPr>
        <w:pStyle w:val="blistNo-Spacebullet"/>
        <w:rPr>
          <w:rFonts w:asciiTheme="majorHAnsi" w:hAnsiTheme="majorHAnsi"/>
        </w:rPr>
      </w:pPr>
      <w:r>
        <w:t xml:space="preserve">ground-fault protection </w:t>
      </w:r>
    </w:p>
    <w:p w14:paraId="19FFE18D" w14:textId="77777777" w:rsidR="009C3A0E" w:rsidRDefault="00994197" w:rsidP="00964174">
      <w:pPr>
        <w:pStyle w:val="blistNo-Spacebullet"/>
        <w:rPr>
          <w:rFonts w:asciiTheme="majorHAnsi" w:hAnsiTheme="majorHAnsi"/>
        </w:rPr>
      </w:pPr>
      <w:r>
        <w:t xml:space="preserve">short-circuit protection </w:t>
      </w:r>
    </w:p>
    <w:p w14:paraId="087C9A65" w14:textId="77777777" w:rsidR="009C3A0E" w:rsidRDefault="00994197" w:rsidP="00964174">
      <w:pPr>
        <w:pStyle w:val="blistNo-Spacebullet"/>
        <w:rPr>
          <w:rFonts w:asciiTheme="majorHAnsi" w:hAnsiTheme="majorHAnsi"/>
        </w:rPr>
      </w:pPr>
      <w:r>
        <w:t xml:space="preserve">emergency stop </w:t>
      </w:r>
    </w:p>
    <w:p w14:paraId="2F3BC2B3" w14:textId="77777777" w:rsidR="009C3A0E" w:rsidRDefault="00994197" w:rsidP="00964174">
      <w:pPr>
        <w:pStyle w:val="blistNo-Spacebullet"/>
        <w:rPr>
          <w:rFonts w:asciiTheme="majorHAnsi" w:hAnsiTheme="majorHAnsi"/>
        </w:rPr>
      </w:pPr>
      <w:r>
        <w:t xml:space="preserve">visible warning lights </w:t>
      </w:r>
    </w:p>
    <w:p w14:paraId="22A914BC" w14:textId="77777777" w:rsidR="009C3A0E" w:rsidRDefault="00994197" w:rsidP="00964174">
      <w:pPr>
        <w:pStyle w:val="blistNo-Spacebullet"/>
        <w:rPr>
          <w:rFonts w:asciiTheme="majorHAnsi" w:hAnsiTheme="majorHAnsi"/>
        </w:rPr>
      </w:pPr>
      <w:r>
        <w:t xml:space="preserve">lockout/tagout capability.** </w:t>
      </w:r>
    </w:p>
    <w:p w14:paraId="4B8D439E" w14:textId="77777777" w:rsidR="009C3A0E" w:rsidRDefault="00994197">
      <w:pPr>
        <w:pStyle w:val="Heading2"/>
        <w:spacing w:before="280"/>
      </w:pPr>
      <w:r>
        <w:t>I would make the blue "stem" retractable</w:t>
      </w:r>
    </w:p>
    <w:p w14:paraId="0567DDA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Your blue stem is another good concept, but I'd turn it into a sophisticated </w:t>
      </w:r>
      <w:r>
        <w:rPr>
          <w:rFonts w:eastAsia="Times New Roman" w:cstheme="majorHAnsi"/>
          <w:b/>
          <w:bCs/>
          <w:szCs w:val="24"/>
        </w:rPr>
        <w:t>collector assembly</w:t>
      </w:r>
      <w:r>
        <w:rPr>
          <w:rFonts w:eastAsia="Times New Roman" w:cstheme="majorHAnsi"/>
          <w:szCs w:val="24"/>
        </w:rPr>
        <w:t>.</w:t>
      </w:r>
    </w:p>
    <w:p w14:paraId="7CAE9CD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Something like:</w:t>
      </w:r>
    </w:p>
    <w:p w14:paraId="51C4C4A4" w14:textId="77777777" w:rsidR="009C3A0E" w:rsidRDefault="0099419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Vehicle</w:t>
      </w:r>
    </w:p>
    <w:p w14:paraId="04B8B940" w14:textId="77777777" w:rsidR="009C3A0E" w:rsidRDefault="0099419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3DA76E6B" w14:textId="77777777" w:rsidR="009C3A0E" w:rsidRDefault="0099419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actuator</w:t>
      </w:r>
    </w:p>
    <w:p w14:paraId="5B43D21D" w14:textId="77777777" w:rsidR="009C3A0E" w:rsidRDefault="0099419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53E09B2B" w14:textId="77777777" w:rsidR="009C3A0E" w:rsidRDefault="0099419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[retractable arm]</w:t>
      </w:r>
    </w:p>
    <w:p w14:paraId="6AADAB64" w14:textId="77777777" w:rsidR="009C3A0E" w:rsidRDefault="0099419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23951550" w14:textId="77777777" w:rsidR="009C3A0E" w:rsidRDefault="0099419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295F6CD0" w14:textId="77777777" w:rsidR="009C3A0E" w:rsidRDefault="0099419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4CDE3DBB" w14:textId="77777777" w:rsidR="009C3A0E" w:rsidRDefault="0099419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enclosed rail│</w:t>
      </w:r>
    </w:p>
    <w:p w14:paraId="04F3046E" w14:textId="77777777" w:rsidR="009C3A0E" w:rsidRDefault="0099419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 ● ● ●      │</w:t>
      </w:r>
    </w:p>
    <w:p w14:paraId="79FDAD19" w14:textId="77777777" w:rsidR="009C3A0E" w:rsidRDefault="0099419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r>
        <w:rPr>
          <w:rFonts w:ascii="Courier New" w:eastAsia="MS Gothic" w:hAnsi="Courier New" w:cs="Courier New"/>
          <w:color w:val="4F81BD" w:themeColor="accent1"/>
          <w:sz w:val="20"/>
          <w:szCs w:val="20"/>
        </w:rPr>
        <w:t>┬</w:t>
      </w:r>
      <w:r>
        <w:rPr>
          <w:rFonts w:ascii="Courier New" w:eastAsia="Times New Roman" w:hAnsi="Courier New" w:cs="Courier New"/>
          <w:color w:val="4F81BD" w:themeColor="accent1"/>
          <w:sz w:val="20"/>
          <w:szCs w:val="20"/>
        </w:rPr>
        <w:t>──────────┘</w:t>
      </w:r>
    </w:p>
    <w:p w14:paraId="13E6A0AE"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collector</w:t>
      </w:r>
    </w:p>
    <w:p w14:paraId="11AEEBC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When a machine isn't using rail power, the collector retracts completely.</w:t>
      </w:r>
    </w:p>
    <w:p w14:paraId="7E9836D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To connect:</w:t>
      </w:r>
    </w:p>
    <w:p w14:paraId="307BBDA1" w14:textId="77777777" w:rsidR="009C3A0E" w:rsidRDefault="00994197" w:rsidP="00964174">
      <w:pPr>
        <w:pStyle w:val="bblueindent"/>
        <w:ind w:right="2088"/>
      </w:pPr>
      <w:r>
        <w:t>vehicle stops → alignment verified → collector extends → contact verified → electrical segment energizes.</w:t>
      </w:r>
    </w:p>
    <w:p w14:paraId="16268AE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movement along the track, spring-loaded sliding shoes could maintain contact.</w:t>
      </w:r>
    </w:p>
    <w:p w14:paraId="5FAB895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There should probably be </w:t>
      </w:r>
      <w:r>
        <w:rPr>
          <w:rFonts w:eastAsia="Times New Roman" w:cstheme="majorHAnsi"/>
          <w:b/>
          <w:bCs/>
          <w:szCs w:val="24"/>
        </w:rPr>
        <w:t>two collector sets separated longitudinally</w:t>
      </w:r>
      <w:r>
        <w:rPr>
          <w:rFonts w:eastAsia="Times New Roman" w:cstheme="majorHAnsi"/>
          <w:szCs w:val="24"/>
        </w:rPr>
        <w:t>, so a machine can transition smoothly between electrical segments.</w:t>
      </w:r>
    </w:p>
    <w:p w14:paraId="52C0F57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example:</w:t>
      </w:r>
    </w:p>
    <w:p w14:paraId="4F95EA23"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EE0000"/>
          <w:sz w:val="20"/>
          <w:szCs w:val="20"/>
        </w:rPr>
      </w:pPr>
      <w:r>
        <w:rPr>
          <w:rFonts w:ascii="Courier New" w:eastAsia="Times New Roman" w:hAnsi="Courier New" w:cs="Courier New"/>
          <w:color w:val="EE0000"/>
          <w:sz w:val="20"/>
          <w:szCs w:val="20"/>
        </w:rPr>
        <w:t xml:space="preserve">       MACHINE</w:t>
      </w:r>
    </w:p>
    <w:p w14:paraId="45442FFC"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EE0000"/>
          <w:sz w:val="20"/>
          <w:szCs w:val="20"/>
        </w:rPr>
      </w:pPr>
      <w:r>
        <w:rPr>
          <w:rFonts w:ascii="Courier New" w:eastAsia="Times New Roman" w:hAnsi="Courier New" w:cs="Courier New"/>
          <w:color w:val="EE0000"/>
          <w:sz w:val="20"/>
          <w:szCs w:val="20"/>
        </w:rPr>
        <w:t xml:space="preserve">   collector A      collector B</w:t>
      </w:r>
    </w:p>
    <w:p w14:paraId="63F1A645"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EE0000"/>
          <w:sz w:val="20"/>
          <w:szCs w:val="20"/>
        </w:rPr>
      </w:pPr>
      <w:r>
        <w:rPr>
          <w:rFonts w:ascii="Courier New" w:eastAsia="Times New Roman" w:hAnsi="Courier New" w:cs="Courier New"/>
          <w:color w:val="EE0000"/>
          <w:sz w:val="20"/>
          <w:szCs w:val="20"/>
        </w:rPr>
        <w:t xml:space="preserve">        ↓                ↓</w:t>
      </w:r>
    </w:p>
    <w:p w14:paraId="48848918"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Segment 17 -----|----- Segment 18 -----</w:t>
      </w:r>
    </w:p>
    <w:p w14:paraId="1F8C4A5E"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ON                    OFF</w:t>
      </w:r>
    </w:p>
    <w:p w14:paraId="640DBA2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As B reaches Segment 18:</w:t>
      </w:r>
    </w:p>
    <w:p w14:paraId="7DAB91B4" w14:textId="77777777" w:rsidR="009C3A0E" w:rsidRDefault="00994197" w:rsidP="00D81064">
      <w:pPr>
        <w:pStyle w:val="blist-numbers"/>
        <w:numPr>
          <w:ilvl w:val="0"/>
          <w:numId w:val="30"/>
        </w:numPr>
        <w:spacing w:before="0" w:after="0"/>
        <w:rPr>
          <w:rFonts w:asciiTheme="majorHAnsi" w:hAnsiTheme="majorHAnsi"/>
        </w:rPr>
      </w:pPr>
      <w:r>
        <w:t xml:space="preserve">system verifies B contact; </w:t>
      </w:r>
    </w:p>
    <w:p w14:paraId="3A01AC4A" w14:textId="77777777" w:rsidR="009C3A0E" w:rsidRDefault="00994197" w:rsidP="00D81064">
      <w:pPr>
        <w:pStyle w:val="blist-numbers"/>
        <w:numPr>
          <w:ilvl w:val="0"/>
          <w:numId w:val="30"/>
        </w:numPr>
        <w:spacing w:before="0" w:after="0"/>
        <w:rPr>
          <w:rFonts w:asciiTheme="majorHAnsi" w:hAnsiTheme="majorHAnsi"/>
        </w:rPr>
      </w:pPr>
      <w:r>
        <w:t xml:space="preserve">Segment 18 energizes; </w:t>
      </w:r>
    </w:p>
    <w:p w14:paraId="6D3B5D22" w14:textId="77777777" w:rsidR="009C3A0E" w:rsidRDefault="00994197" w:rsidP="00D81064">
      <w:pPr>
        <w:pStyle w:val="blist-numbers"/>
        <w:numPr>
          <w:ilvl w:val="0"/>
          <w:numId w:val="30"/>
        </w:numPr>
        <w:spacing w:before="0" w:after="0"/>
        <w:rPr>
          <w:rFonts w:asciiTheme="majorHAnsi" w:hAnsiTheme="majorHAnsi"/>
        </w:rPr>
      </w:pPr>
      <w:r>
        <w:t xml:space="preserve">machine crosses boundary; </w:t>
      </w:r>
    </w:p>
    <w:p w14:paraId="1970E1C8" w14:textId="77777777" w:rsidR="009C3A0E" w:rsidRDefault="00994197" w:rsidP="00D81064">
      <w:pPr>
        <w:pStyle w:val="blist-numbers"/>
        <w:numPr>
          <w:ilvl w:val="0"/>
          <w:numId w:val="30"/>
        </w:numPr>
        <w:spacing w:before="0" w:after="0"/>
        <w:rPr>
          <w:rFonts w:asciiTheme="majorHAnsi" w:hAnsiTheme="majorHAnsi"/>
        </w:rPr>
      </w:pPr>
      <w:r>
        <w:t xml:space="preserve">A clears Segment 17; </w:t>
      </w:r>
    </w:p>
    <w:p w14:paraId="1A927606" w14:textId="77777777" w:rsidR="009C3A0E" w:rsidRDefault="00994197" w:rsidP="00D81064">
      <w:pPr>
        <w:pStyle w:val="blist-numbers"/>
        <w:numPr>
          <w:ilvl w:val="0"/>
          <w:numId w:val="30"/>
        </w:numPr>
        <w:spacing w:before="0" w:after="0"/>
        <w:rPr>
          <w:rFonts w:asciiTheme="majorHAnsi" w:hAnsiTheme="majorHAnsi"/>
        </w:rPr>
      </w:pPr>
      <w:r>
        <w:t xml:space="preserve">Segment 17 de-energizes. </w:t>
      </w:r>
    </w:p>
    <w:p w14:paraId="7FC678C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avoids interruption.</w:t>
      </w:r>
    </w:p>
    <w:p w14:paraId="7C1457C3" w14:textId="77777777" w:rsidR="009C3A0E" w:rsidRDefault="00994197">
      <w:pPr>
        <w:pStyle w:val="Heading2"/>
        <w:spacing w:before="280"/>
      </w:pPr>
      <w:r>
        <w:t>Water and dirt are the biggest problems with the ground-level concept</w:t>
      </w:r>
    </w:p>
    <w:p w14:paraId="3377BC3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environment at your nuclear/chemical construction site would be terrible for electrical contacts:</w:t>
      </w:r>
    </w:p>
    <w:p w14:paraId="137C64DF" w14:textId="77777777" w:rsidR="009C3A0E" w:rsidRDefault="00994197" w:rsidP="00D81064">
      <w:pPr>
        <w:spacing w:before="280" w:after="280"/>
        <w:ind w:left="360"/>
        <w:rPr>
          <w:rFonts w:asciiTheme="majorHAnsi" w:eastAsia="Times New Roman" w:hAnsiTheme="majorHAnsi" w:cstheme="majorHAnsi"/>
          <w:color w:val="4F81BD" w:themeColor="accent1"/>
          <w:szCs w:val="24"/>
        </w:rPr>
      </w:pPr>
      <w:r>
        <w:rPr>
          <w:rFonts w:eastAsia="Times New Roman" w:cstheme="majorHAnsi"/>
          <w:color w:val="4F81BD" w:themeColor="accent1"/>
          <w:szCs w:val="24"/>
        </w:rPr>
        <w:t>rain</w:t>
      </w:r>
      <w:r>
        <w:rPr>
          <w:rFonts w:eastAsia="Times New Roman" w:cstheme="majorHAnsi"/>
          <w:color w:val="4F81BD" w:themeColor="accent1"/>
          <w:szCs w:val="24"/>
        </w:rPr>
        <w:br/>
        <w:t>salt spray near the waterfront</w:t>
      </w:r>
      <w:r>
        <w:rPr>
          <w:rFonts w:eastAsia="Times New Roman" w:cstheme="majorHAnsi"/>
          <w:color w:val="4F81BD" w:themeColor="accent1"/>
          <w:szCs w:val="24"/>
        </w:rPr>
        <w:br/>
        <w:t>mud</w:t>
      </w:r>
      <w:r>
        <w:rPr>
          <w:rFonts w:eastAsia="Times New Roman" w:cstheme="majorHAnsi"/>
          <w:color w:val="4F81BD" w:themeColor="accent1"/>
          <w:szCs w:val="24"/>
        </w:rPr>
        <w:br/>
        <w:t>concrete slurry</w:t>
      </w:r>
      <w:r>
        <w:rPr>
          <w:rFonts w:eastAsia="Times New Roman" w:cstheme="majorHAnsi"/>
          <w:color w:val="4F81BD" w:themeColor="accent1"/>
          <w:szCs w:val="24"/>
        </w:rPr>
        <w:br/>
        <w:t>steel fragments</w:t>
      </w:r>
      <w:r>
        <w:rPr>
          <w:rFonts w:eastAsia="Times New Roman" w:cstheme="majorHAnsi"/>
          <w:color w:val="4F81BD" w:themeColor="accent1"/>
          <w:szCs w:val="24"/>
        </w:rPr>
        <w:br/>
        <w:t>dust</w:t>
      </w:r>
      <w:r>
        <w:rPr>
          <w:rFonts w:eastAsia="Times New Roman" w:cstheme="majorHAnsi"/>
          <w:color w:val="4F81BD" w:themeColor="accent1"/>
          <w:szCs w:val="24"/>
        </w:rPr>
        <w:br/>
        <w:t>snow/ice in some climates</w:t>
      </w:r>
      <w:r>
        <w:rPr>
          <w:rFonts w:eastAsia="Times New Roman" w:cstheme="majorHAnsi"/>
          <w:color w:val="4F81BD" w:themeColor="accent1"/>
          <w:szCs w:val="24"/>
        </w:rPr>
        <w:br/>
        <w:t>chemicals</w:t>
      </w:r>
      <w:r>
        <w:rPr>
          <w:rFonts w:eastAsia="Times New Roman" w:cstheme="majorHAnsi"/>
          <w:color w:val="4F81BD" w:themeColor="accent1"/>
          <w:szCs w:val="24"/>
        </w:rPr>
        <w:br/>
        <w:t>construction debris.</w:t>
      </w:r>
    </w:p>
    <w:p w14:paraId="26367F2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Therefore, I would make your green enclosure substantially more sophisticated than the simple U shape in the sketch.</w:t>
      </w:r>
    </w:p>
    <w:p w14:paraId="13B8C13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Something closer to:</w:t>
      </w:r>
    </w:p>
    <w:p w14:paraId="31D9A18B"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sealed/sloped top</w:t>
      </w:r>
    </w:p>
    <w:p w14:paraId="05171250"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61263F1B"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w:t>
      </w:r>
    </w:p>
    <w:p w14:paraId="134FE9EB"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insulation│</w:t>
      </w:r>
    </w:p>
    <w:p w14:paraId="7BCDA08D"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L1 L2 L3  │</w:t>
      </w:r>
    </w:p>
    <w:p w14:paraId="1A954CAB"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w:t>
      </w:r>
    </w:p>
    <w:p w14:paraId="6CAAF0F1"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w:t>
      </w:r>
    </w:p>
    <w:p w14:paraId="74EA4FEC"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\_____/</w:t>
      </w:r>
    </w:p>
    <w:p w14:paraId="5C091309"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632C1550"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rFonts w:asciiTheme="majorHAnsi" w:eastAsia="Times New Roman" w:hAnsiTheme="majorHAnsi" w:cstheme="majorHAnsi"/>
          <w:sz w:val="20"/>
          <w:szCs w:val="20"/>
        </w:rPr>
      </w:pPr>
      <w:r>
        <w:rPr>
          <w:rFonts w:ascii="Courier New" w:eastAsia="Times New Roman" w:hAnsi="Courier New" w:cs="Courier New"/>
          <w:color w:val="4F81BD" w:themeColor="accent1"/>
          <w:sz w:val="20"/>
          <w:szCs w:val="20"/>
        </w:rPr>
        <w:t xml:space="preserve">        narrow downward slot</w:t>
      </w:r>
    </w:p>
    <w:p w14:paraId="2D3A7E1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slot could contain flexible insulating lips or overlapping barriers.</w:t>
      </w:r>
    </w:p>
    <w:p w14:paraId="38053FD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conductor surfaces themselves could be </w:t>
      </w:r>
      <w:r>
        <w:rPr>
          <w:rFonts w:eastAsia="Times New Roman" w:cstheme="majorHAnsi"/>
          <w:b/>
          <w:bCs/>
          <w:szCs w:val="24"/>
        </w:rPr>
        <w:t>up inside the housing</w:t>
      </w:r>
      <w:r>
        <w:rPr>
          <w:rFonts w:eastAsia="Times New Roman" w:cstheme="majorHAnsi"/>
          <w:szCs w:val="24"/>
        </w:rPr>
        <w:t>, not immediately adjacent to the opening.</w:t>
      </w:r>
    </w:p>
    <w:p w14:paraId="3C6F912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blue collector stem reaches upward/sideways once inside the slot.</w:t>
      </w:r>
    </w:p>
    <w:p w14:paraId="1F210BF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This gives you a "labyrinth" path, making it hard for fingers, tools, rain or debris to reach the conductors.</w:t>
      </w:r>
    </w:p>
    <w:p w14:paraId="51D3F6EA" w14:textId="77777777" w:rsidR="009C3A0E" w:rsidRDefault="00994197">
      <w:pPr>
        <w:pStyle w:val="Heading2"/>
        <w:spacing w:before="280"/>
        <w:ind w:right="-882"/>
      </w:pPr>
      <w:r>
        <w:t>I would seriously consider placing it between the two mechanical rail systems</w:t>
      </w:r>
    </w:p>
    <w:p w14:paraId="4BB44B1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Suppose the enormous transporter runs on four rails:</w:t>
      </w:r>
    </w:p>
    <w:p w14:paraId="5EB1BA9F"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Rail      Rail        Rail      Rail</w:t>
      </w:r>
    </w:p>
    <w:p w14:paraId="63515CF9"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           |         |</w:t>
      </w:r>
    </w:p>
    <w:p w14:paraId="436895EC"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w:t>
      </w:r>
    </w:p>
    <w:p w14:paraId="1E4C53EE"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TRANSPORTER</w:t>
      </w:r>
    </w:p>
    <w:p w14:paraId="713C9917"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w:t>
      </w:r>
    </w:p>
    <w:p w14:paraId="3CC9FA12" w14:textId="77777777" w:rsidR="009C3A0E" w:rsidRDefault="009C3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p>
    <w:p w14:paraId="2B8B61FA"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1D3A7AB4"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ELECTRIC BUS</w:t>
      </w:r>
    </w:p>
    <w:p w14:paraId="67821EC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conductor system could occupy a protected central region under the vehicle rather than an outer edge where workers frequently walk.</w:t>
      </w:r>
    </w:p>
    <w:p w14:paraId="05E3E53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has an important safety advantage:</w:t>
      </w:r>
    </w:p>
    <w:p w14:paraId="12DDC49B" w14:textId="77777777" w:rsidR="009C3A0E" w:rsidRDefault="00994197" w:rsidP="00D81064">
      <w:pPr>
        <w:spacing w:before="280" w:after="280"/>
        <w:ind w:left="360"/>
        <w:rPr>
          <w:rFonts w:asciiTheme="majorHAnsi" w:eastAsia="Times New Roman" w:hAnsiTheme="majorHAnsi" w:cstheme="majorHAnsi"/>
          <w:color w:val="4F81BD" w:themeColor="accent1"/>
          <w:szCs w:val="24"/>
        </w:rPr>
      </w:pPr>
      <w:r>
        <w:rPr>
          <w:rFonts w:eastAsia="Times New Roman" w:cstheme="majorHAnsi"/>
          <w:color w:val="4F81BD" w:themeColor="accent1"/>
          <w:szCs w:val="24"/>
        </w:rPr>
        <w:t>when a 1,000-ton machine is sitting over the energized conductor, humans physically cannot get to it easily.</w:t>
      </w:r>
    </w:p>
    <w:p w14:paraId="60CC1C5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When the machine leaves, the segment shuts off.</w:t>
      </w:r>
    </w:p>
    <w:p w14:paraId="1167172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might be better than putting an energized rail beside a pedestrian-accessible track.</w:t>
      </w:r>
    </w:p>
    <w:p w14:paraId="3AEF46AC" w14:textId="77777777" w:rsidR="009C3A0E" w:rsidRDefault="00994197">
      <w:pPr>
        <w:pStyle w:val="Heading2"/>
        <w:spacing w:before="280"/>
      </w:pPr>
      <w:r>
        <w:t>A still safer alternative: recessed trench conductor</w:t>
      </w:r>
    </w:p>
    <w:p w14:paraId="08770DB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You might go one step beyond your picture:</w:t>
      </w:r>
    </w:p>
    <w:p w14:paraId="5A5658DC"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ground level</w:t>
      </w:r>
    </w:p>
    <w:p w14:paraId="3D9BC3EB"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_______________________________</w:t>
      </w:r>
    </w:p>
    <w:p w14:paraId="1BB7D99A" w14:textId="77777777" w:rsidR="009C3A0E" w:rsidRDefault="009C3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p>
    <w:p w14:paraId="7723AA81"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narrow slot</w:t>
      </w:r>
    </w:p>
    <w:p w14:paraId="2E511498"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778FDD43"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r>
        <w:rPr>
          <w:rFonts w:ascii="Courier New" w:eastAsia="MS Gothic" w:hAnsi="Courier New" w:cs="Courier New"/>
          <w:color w:val="4F81BD" w:themeColor="accent1"/>
          <w:sz w:val="20"/>
          <w:szCs w:val="20"/>
        </w:rPr>
        <w:t>┴</w:t>
      </w:r>
      <w:r>
        <w:rPr>
          <w:rFonts w:ascii="Courier New" w:eastAsia="Times New Roman" w:hAnsi="Courier New" w:cs="Courier New"/>
          <w:color w:val="4F81BD" w:themeColor="accent1"/>
          <w:sz w:val="20"/>
          <w:szCs w:val="20"/>
        </w:rPr>
        <w:t>───┐</w:t>
      </w:r>
    </w:p>
    <w:p w14:paraId="65284F92"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w:t>
      </w:r>
    </w:p>
    <w:p w14:paraId="5681742C"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L1 L2 │</w:t>
      </w:r>
    </w:p>
    <w:p w14:paraId="3F52978C"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L3 PE │</w:t>
      </w:r>
    </w:p>
    <w:p w14:paraId="5E8CAE59"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       │</w:t>
      </w:r>
    </w:p>
    <w:p w14:paraId="56097A07"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w:t>
      </w:r>
    </w:p>
    <w:p w14:paraId="449B3563" w14:textId="77777777" w:rsidR="009C3A0E" w:rsidRDefault="0099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720"/>
        <w:rPr>
          <w:rFonts w:ascii="Courier New" w:eastAsia="Times New Roman" w:hAnsi="Courier New" w:cs="Courier New"/>
          <w:color w:val="4F81BD" w:themeColor="accent1"/>
          <w:sz w:val="20"/>
          <w:szCs w:val="20"/>
        </w:rPr>
      </w:pPr>
      <w:r>
        <w:rPr>
          <w:rFonts w:ascii="Courier New" w:eastAsia="Times New Roman" w:hAnsi="Courier New" w:cs="Courier New"/>
          <w:color w:val="4F81BD" w:themeColor="accent1"/>
          <w:sz w:val="20"/>
          <w:szCs w:val="20"/>
        </w:rPr>
        <w:t xml:space="preserve">       underground trough</w:t>
      </w:r>
    </w:p>
    <w:p w14:paraId="115BDE7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Now virtually the entire electrical system is </w:t>
      </w:r>
      <w:r>
        <w:rPr>
          <w:rFonts w:eastAsia="Times New Roman" w:cstheme="majorHAnsi"/>
          <w:b/>
          <w:bCs/>
          <w:szCs w:val="24"/>
        </w:rPr>
        <w:t>below grade</w:t>
      </w:r>
      <w:r>
        <w:rPr>
          <w:rFonts w:eastAsia="Times New Roman" w:cstheme="majorHAnsi"/>
          <w:szCs w:val="24"/>
        </w:rPr>
        <w:t>.</w:t>
      </w:r>
    </w:p>
    <w:p w14:paraId="0C71A03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collector descends through the slot.</w:t>
      </w:r>
    </w:p>
    <w:p w14:paraId="7E1B5D6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Advantages:</w:t>
      </w:r>
    </w:p>
    <w:p w14:paraId="7ADB1DF1" w14:textId="77777777" w:rsidR="009C3A0E" w:rsidRDefault="00994197" w:rsidP="00D81064">
      <w:pPr>
        <w:pStyle w:val="blistNo-Spacebullet"/>
        <w:rPr>
          <w:rFonts w:asciiTheme="majorHAnsi" w:hAnsiTheme="majorHAnsi"/>
        </w:rPr>
      </w:pPr>
      <w:r>
        <w:t xml:space="preserve">harder for workers to touch; </w:t>
      </w:r>
    </w:p>
    <w:p w14:paraId="4318AB8C" w14:textId="77777777" w:rsidR="009C3A0E" w:rsidRDefault="00994197" w:rsidP="00D81064">
      <w:pPr>
        <w:pStyle w:val="blistNo-Spacebullet"/>
        <w:rPr>
          <w:rFonts w:asciiTheme="majorHAnsi" w:hAnsiTheme="majorHAnsi"/>
        </w:rPr>
      </w:pPr>
      <w:r>
        <w:t xml:space="preserve">protected from vehicle collision; </w:t>
      </w:r>
    </w:p>
    <w:p w14:paraId="247A0396" w14:textId="77777777" w:rsidR="009C3A0E" w:rsidRDefault="00994197" w:rsidP="00D81064">
      <w:pPr>
        <w:pStyle w:val="blistNo-Spacebullet"/>
        <w:rPr>
          <w:rFonts w:asciiTheme="majorHAnsi" w:hAnsiTheme="majorHAnsi"/>
        </w:rPr>
      </w:pPr>
      <w:r>
        <w:t xml:space="preserve">doesn't consume surface space; </w:t>
      </w:r>
    </w:p>
    <w:p w14:paraId="77E85047" w14:textId="77777777" w:rsidR="009C3A0E" w:rsidRDefault="00994197" w:rsidP="00D81064">
      <w:pPr>
        <w:pStyle w:val="blistNo-Spacebullet"/>
        <w:rPr>
          <w:rFonts w:asciiTheme="majorHAnsi" w:hAnsiTheme="majorHAnsi"/>
        </w:rPr>
      </w:pPr>
      <w:r>
        <w:t xml:space="preserve">can be drained; </w:t>
      </w:r>
    </w:p>
    <w:p w14:paraId="265CBC3D" w14:textId="77777777" w:rsidR="009C3A0E" w:rsidRDefault="00994197" w:rsidP="00D81064">
      <w:pPr>
        <w:pStyle w:val="blistNo-Spacebullet"/>
        <w:rPr>
          <w:rFonts w:asciiTheme="majorHAnsi" w:hAnsiTheme="majorHAnsi"/>
        </w:rPr>
      </w:pPr>
      <w:r>
        <w:t xml:space="preserve">easier to place heavy protective concrete around it. </w:t>
      </w:r>
    </w:p>
    <w:p w14:paraId="4EAE412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Disadvantages:</w:t>
      </w:r>
    </w:p>
    <w:p w14:paraId="0E0682F0" w14:textId="77777777" w:rsidR="009C3A0E" w:rsidRDefault="00994197" w:rsidP="00D81064">
      <w:pPr>
        <w:pStyle w:val="blistNo-Spacebullet"/>
        <w:rPr>
          <w:rFonts w:asciiTheme="majorHAnsi" w:hAnsiTheme="majorHAnsi"/>
        </w:rPr>
      </w:pPr>
      <w:r>
        <w:t xml:space="preserve">drainage becomes critical; </w:t>
      </w:r>
    </w:p>
    <w:p w14:paraId="2AD9D7C7" w14:textId="77777777" w:rsidR="009C3A0E" w:rsidRDefault="00994197" w:rsidP="00D81064">
      <w:pPr>
        <w:pStyle w:val="blistNo-Spacebullet"/>
        <w:rPr>
          <w:rFonts w:asciiTheme="majorHAnsi" w:hAnsiTheme="majorHAnsi"/>
        </w:rPr>
      </w:pPr>
      <w:r>
        <w:t xml:space="preserve">more excavation; </w:t>
      </w:r>
    </w:p>
    <w:p w14:paraId="0237B5AE" w14:textId="77777777" w:rsidR="009C3A0E" w:rsidRDefault="00994197" w:rsidP="00D81064">
      <w:pPr>
        <w:pStyle w:val="blistNo-Spacebullet"/>
        <w:rPr>
          <w:rFonts w:asciiTheme="majorHAnsi" w:hAnsiTheme="majorHAnsi"/>
        </w:rPr>
      </w:pPr>
      <w:r>
        <w:t xml:space="preserve">harder maintenance; </w:t>
      </w:r>
    </w:p>
    <w:p w14:paraId="2E417328" w14:textId="77777777" w:rsidR="009C3A0E" w:rsidRDefault="00994197" w:rsidP="00D81064">
      <w:pPr>
        <w:pStyle w:val="blistNo-Spacebullet"/>
        <w:rPr>
          <w:rFonts w:asciiTheme="majorHAnsi" w:hAnsiTheme="majorHAnsi"/>
        </w:rPr>
      </w:pPr>
      <w:r>
        <w:t xml:space="preserve">debris can enter slot. </w:t>
      </w:r>
    </w:p>
    <w:p w14:paraId="1FEBA00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would prototype </w:t>
      </w:r>
      <w:r>
        <w:rPr>
          <w:rFonts w:eastAsia="Times New Roman" w:cstheme="majorHAnsi"/>
          <w:b/>
          <w:bCs/>
          <w:szCs w:val="24"/>
        </w:rPr>
        <w:t>both the above-ground enclosed rail from your drawing and a recessed version</w:t>
      </w:r>
      <w:r>
        <w:rPr>
          <w:rFonts w:eastAsia="Times New Roman" w:cstheme="majorHAnsi"/>
          <w:szCs w:val="24"/>
        </w:rPr>
        <w:t>.</w:t>
      </w:r>
    </w:p>
    <w:p w14:paraId="2D67C706" w14:textId="77777777" w:rsidR="009C3A0E" w:rsidRDefault="00994197">
      <w:pPr>
        <w:pStyle w:val="Heading2"/>
        <w:spacing w:before="280"/>
      </w:pPr>
      <w:r>
        <w:t>Another useful feature: machines could regenerate energy</w:t>
      </w:r>
    </w:p>
    <w:p w14:paraId="014B02C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This gets particularly interesting with enormous moving masses.</w:t>
      </w:r>
    </w:p>
    <w:p w14:paraId="35B65EB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Suppose your 12 × 96 m platform transporter is braking.</w:t>
      </w:r>
    </w:p>
    <w:p w14:paraId="305C64D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Its traction motors can operate as generators:</w:t>
      </w:r>
    </w:p>
    <w:p w14:paraId="6394EFDB" w14:textId="77777777" w:rsidR="009C3A0E" w:rsidRDefault="00994197" w:rsidP="00D81064">
      <w:pPr>
        <w:spacing w:before="280" w:after="280"/>
        <w:ind w:left="270"/>
        <w:rPr>
          <w:rFonts w:asciiTheme="majorHAnsi" w:eastAsia="Times New Roman" w:hAnsiTheme="majorHAnsi" w:cstheme="majorHAnsi"/>
          <w:color w:val="4F81BD" w:themeColor="accent1"/>
          <w:szCs w:val="24"/>
        </w:rPr>
      </w:pPr>
      <w:r>
        <w:rPr>
          <w:rFonts w:eastAsia="Times New Roman" w:cstheme="majorHAnsi"/>
          <w:color w:val="4F81BD" w:themeColor="accent1"/>
          <w:szCs w:val="24"/>
        </w:rPr>
        <w:t>moving platform → motors → conductor rail → site electrical bus.</w:t>
      </w:r>
    </w:p>
    <w:p w14:paraId="63C2926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Similarly:</w:t>
      </w:r>
    </w:p>
    <w:p w14:paraId="3A775E32" w14:textId="77777777" w:rsidR="009C3A0E" w:rsidRDefault="00994197" w:rsidP="00D81064">
      <w:pPr>
        <w:spacing w:before="280" w:after="280"/>
        <w:ind w:left="360"/>
        <w:rPr>
          <w:rFonts w:asciiTheme="majorHAnsi" w:eastAsia="Times New Roman" w:hAnsiTheme="majorHAnsi" w:cstheme="majorHAnsi"/>
          <w:color w:val="4F81BD" w:themeColor="accent1"/>
          <w:szCs w:val="24"/>
        </w:rPr>
      </w:pPr>
      <w:r>
        <w:rPr>
          <w:rFonts w:eastAsia="Times New Roman" w:cstheme="majorHAnsi"/>
          <w:color w:val="4F81BD" w:themeColor="accent1"/>
          <w:szCs w:val="24"/>
        </w:rPr>
        <w:t>crane lowering 1,000-ton equipment → regenerative drive → grid</w:t>
      </w:r>
    </w:p>
    <w:p w14:paraId="106589C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or:</w:t>
      </w:r>
    </w:p>
    <w:p w14:paraId="226309BC" w14:textId="77777777" w:rsidR="009C3A0E" w:rsidRDefault="00994197" w:rsidP="00D81064">
      <w:pPr>
        <w:spacing w:before="280" w:after="280"/>
        <w:ind w:left="360"/>
        <w:rPr>
          <w:rFonts w:asciiTheme="majorHAnsi" w:eastAsia="Times New Roman" w:hAnsiTheme="majorHAnsi" w:cstheme="majorHAnsi"/>
          <w:color w:val="4F81BD" w:themeColor="accent1"/>
          <w:szCs w:val="24"/>
        </w:rPr>
      </w:pPr>
      <w:r>
        <w:rPr>
          <w:rFonts w:eastAsia="Times New Roman" w:cstheme="majorHAnsi"/>
          <w:color w:val="4F81BD" w:themeColor="accent1"/>
          <w:szCs w:val="24"/>
        </w:rPr>
        <w:t>excavator lowering boom → regeneration.</w:t>
      </w:r>
    </w:p>
    <w:p w14:paraId="4C79297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isn't a revolutionary amount of energy relative to the nuclear plant, but it reduces braking heat and improves machine efficiency.</w:t>
      </w:r>
    </w:p>
    <w:p w14:paraId="5F39A974" w14:textId="77777777" w:rsidR="009C3A0E" w:rsidRDefault="00994197">
      <w:pPr>
        <w:pStyle w:val="Heading2"/>
        <w:spacing w:before="280"/>
      </w:pPr>
      <w:r>
        <w:t>It could eliminate very large onboard power systems</w:t>
      </w:r>
    </w:p>
    <w:p w14:paraId="4226A97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Think about an automated tank-building machine.</w:t>
      </w:r>
    </w:p>
    <w:p w14:paraId="603F603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Instead of putting:</w:t>
      </w:r>
    </w:p>
    <w:p w14:paraId="7A5BFE97" w14:textId="77777777" w:rsidR="009C3A0E" w:rsidRDefault="00994197" w:rsidP="00D81064">
      <w:pPr>
        <w:spacing w:before="280" w:after="280"/>
        <w:ind w:left="360"/>
        <w:rPr>
          <w:rFonts w:asciiTheme="majorHAnsi" w:eastAsia="Times New Roman" w:hAnsiTheme="majorHAnsi" w:cstheme="majorHAnsi"/>
          <w:color w:val="4F81BD" w:themeColor="accent1"/>
          <w:szCs w:val="24"/>
        </w:rPr>
      </w:pPr>
      <w:r>
        <w:rPr>
          <w:rFonts w:eastAsia="Times New Roman" w:cstheme="majorHAnsi"/>
          <w:color w:val="4F81BD" w:themeColor="accent1"/>
          <w:szCs w:val="24"/>
        </w:rPr>
        <w:t>diesel engine + generator + fuel tank</w:t>
      </w:r>
    </w:p>
    <w:p w14:paraId="3642DF6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on the railcar, you put:</w:t>
      </w:r>
    </w:p>
    <w:p w14:paraId="3E81C963" w14:textId="77777777" w:rsidR="009C3A0E" w:rsidRDefault="00994197" w:rsidP="00D81064">
      <w:pPr>
        <w:spacing w:before="280" w:after="280"/>
        <w:ind w:left="360"/>
        <w:rPr>
          <w:rFonts w:asciiTheme="majorHAnsi" w:eastAsia="Times New Roman" w:hAnsiTheme="majorHAnsi" w:cstheme="majorHAnsi"/>
          <w:color w:val="4F81BD" w:themeColor="accent1"/>
          <w:szCs w:val="24"/>
        </w:rPr>
      </w:pPr>
      <w:r>
        <w:rPr>
          <w:rFonts w:eastAsia="Times New Roman" w:cstheme="majorHAnsi"/>
          <w:color w:val="4F81BD" w:themeColor="accent1"/>
          <w:szCs w:val="24"/>
        </w:rPr>
        <w:t>6.6-kV collector</w:t>
      </w:r>
      <w:r>
        <w:rPr>
          <w:rFonts w:eastAsia="Times New Roman" w:cstheme="majorHAnsi"/>
          <w:color w:val="4F81BD" w:themeColor="accent1"/>
          <w:szCs w:val="24"/>
        </w:rPr>
        <w:br/>
        <w:t>→ transformer / converter</w:t>
      </w:r>
      <w:r>
        <w:rPr>
          <w:rFonts w:eastAsia="Times New Roman" w:cstheme="majorHAnsi"/>
          <w:color w:val="4F81BD" w:themeColor="accent1"/>
          <w:szCs w:val="24"/>
        </w:rPr>
        <w:br/>
        <w:t>→ DC bus</w:t>
      </w:r>
      <w:r>
        <w:rPr>
          <w:rFonts w:eastAsia="Times New Roman" w:cstheme="majorHAnsi"/>
          <w:color w:val="4F81BD" w:themeColor="accent1"/>
          <w:szCs w:val="24"/>
        </w:rPr>
        <w:br/>
        <w:t>→ motors</w:t>
      </w:r>
    </w:p>
    <w:p w14:paraId="1417B9A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equipment could then power:</w:t>
      </w:r>
    </w:p>
    <w:p w14:paraId="6D3AEC19" w14:textId="77777777" w:rsidR="009C3A0E" w:rsidRDefault="00994197" w:rsidP="00D81064">
      <w:pPr>
        <w:pStyle w:val="blistNo-Spacebullet"/>
        <w:rPr>
          <w:rFonts w:asciiTheme="majorHAnsi" w:hAnsiTheme="majorHAnsi"/>
        </w:rPr>
      </w:pPr>
      <w:r>
        <w:t xml:space="preserve">5-MW excavation systems; </w:t>
      </w:r>
    </w:p>
    <w:p w14:paraId="08807B83" w14:textId="77777777" w:rsidR="009C3A0E" w:rsidRDefault="00994197" w:rsidP="00D81064">
      <w:pPr>
        <w:pStyle w:val="blistNo-Spacebullet"/>
        <w:rPr>
          <w:rFonts w:asciiTheme="majorHAnsi" w:hAnsiTheme="majorHAnsi"/>
        </w:rPr>
      </w:pPr>
      <w:r>
        <w:t xml:space="preserve">2-MW concrete plants; </w:t>
      </w:r>
    </w:p>
    <w:p w14:paraId="440F10F4" w14:textId="77777777" w:rsidR="009C3A0E" w:rsidRDefault="00994197" w:rsidP="00D81064">
      <w:pPr>
        <w:pStyle w:val="blistNo-Spacebullet"/>
        <w:rPr>
          <w:rFonts w:asciiTheme="majorHAnsi" w:hAnsiTheme="majorHAnsi"/>
        </w:rPr>
      </w:pPr>
      <w:r>
        <w:t xml:space="preserve">giant pumps; </w:t>
      </w:r>
    </w:p>
    <w:p w14:paraId="110A3B9B" w14:textId="77777777" w:rsidR="009C3A0E" w:rsidRDefault="00994197" w:rsidP="00D81064">
      <w:pPr>
        <w:pStyle w:val="blistNo-Spacebullet"/>
        <w:rPr>
          <w:rFonts w:asciiTheme="majorHAnsi" w:hAnsiTheme="majorHAnsi"/>
        </w:rPr>
      </w:pPr>
      <w:r>
        <w:t xml:space="preserve">crushers; </w:t>
      </w:r>
    </w:p>
    <w:p w14:paraId="509D706A" w14:textId="77777777" w:rsidR="009C3A0E" w:rsidRDefault="00994197" w:rsidP="00D81064">
      <w:pPr>
        <w:pStyle w:val="blistNo-Spacebullet"/>
        <w:rPr>
          <w:rFonts w:asciiTheme="majorHAnsi" w:hAnsiTheme="majorHAnsi"/>
        </w:rPr>
      </w:pPr>
      <w:r>
        <w:t xml:space="preserve">tunnel-boring equipment; </w:t>
      </w:r>
    </w:p>
    <w:p w14:paraId="42EE7ACF" w14:textId="77777777" w:rsidR="009C3A0E" w:rsidRDefault="00994197" w:rsidP="00D81064">
      <w:pPr>
        <w:pStyle w:val="blistNo-Spacebullet"/>
        <w:rPr>
          <w:rFonts w:asciiTheme="majorHAnsi" w:hAnsiTheme="majorHAnsi"/>
        </w:rPr>
      </w:pPr>
      <w:r>
        <w:t xml:space="preserve">automated welding; </w:t>
      </w:r>
    </w:p>
    <w:p w14:paraId="51EA2B0B" w14:textId="77777777" w:rsidR="009C3A0E" w:rsidRDefault="00994197" w:rsidP="00D81064">
      <w:pPr>
        <w:pStyle w:val="blistNo-Spacebullet"/>
        <w:rPr>
          <w:rFonts w:asciiTheme="majorHAnsi" w:hAnsiTheme="majorHAnsi"/>
        </w:rPr>
      </w:pPr>
      <w:r>
        <w:t xml:space="preserve">large gantry cranes; </w:t>
      </w:r>
    </w:p>
    <w:p w14:paraId="1F8228A7" w14:textId="77777777" w:rsidR="009C3A0E" w:rsidRDefault="00994197" w:rsidP="00D81064">
      <w:pPr>
        <w:pStyle w:val="blistNo-Spacebullet"/>
        <w:rPr>
          <w:rFonts w:asciiTheme="majorHAnsi" w:hAnsiTheme="majorHAnsi"/>
        </w:rPr>
      </w:pPr>
      <w:r>
        <w:t xml:space="preserve">platform transporters. </w:t>
      </w:r>
    </w:p>
    <w:p w14:paraId="5F5E587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Because the nuclear construction site itself has </w:t>
      </w:r>
      <w:r>
        <w:rPr>
          <w:rFonts w:eastAsia="Times New Roman" w:cstheme="majorHAnsi"/>
          <w:b/>
          <w:bCs/>
          <w:szCs w:val="24"/>
        </w:rPr>
        <w:t>gigawatts of electrical infrastructure</w:t>
      </w:r>
      <w:r>
        <w:rPr>
          <w:rFonts w:eastAsia="Times New Roman" w:cstheme="majorHAnsi"/>
          <w:szCs w:val="24"/>
        </w:rPr>
        <w:t>, supplying 5 or 10 MW to a construction machine is relatively modest from the site's perspective.</w:t>
      </w:r>
    </w:p>
    <w:p w14:paraId="4174F093" w14:textId="77777777" w:rsidR="009C3A0E" w:rsidRDefault="00994197">
      <w:pPr>
        <w:pStyle w:val="Heading2"/>
        <w:spacing w:before="280"/>
      </w:pPr>
      <w:r>
        <w:t>This might become a common interface for every automated construction machine</w:t>
      </w:r>
    </w:p>
    <w:p w14:paraId="3E3E105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This is the part I like most.</w:t>
      </w:r>
    </w:p>
    <w:p w14:paraId="6E05CAB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You already have a proposed standard:</w:t>
      </w:r>
    </w:p>
    <w:p w14:paraId="6F3FE5DD" w14:textId="77777777" w:rsidR="009C3A0E" w:rsidRDefault="00994197">
      <w:pPr>
        <w:spacing w:before="280" w:after="280"/>
        <w:ind w:left="720"/>
        <w:rPr>
          <w:rFonts w:asciiTheme="majorHAnsi" w:eastAsia="Times New Roman" w:hAnsiTheme="majorHAnsi" w:cstheme="majorHAnsi"/>
          <w:color w:val="4F81BD" w:themeColor="accent1"/>
          <w:szCs w:val="24"/>
        </w:rPr>
      </w:pPr>
      <w:r>
        <w:rPr>
          <w:rFonts w:eastAsia="Times New Roman" w:cstheme="majorHAnsi"/>
          <w:color w:val="4F81BD" w:themeColor="accent1"/>
          <w:szCs w:val="24"/>
        </w:rPr>
        <w:t>12 m × 24 m double-width railcar.</w:t>
      </w:r>
    </w:p>
    <w:p w14:paraId="01623F7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Add an electrical standard:</w:t>
      </w:r>
    </w:p>
    <w:p w14:paraId="31291BD5" w14:textId="77777777" w:rsidR="009C3A0E" w:rsidRDefault="00994197">
      <w:pPr>
        <w:spacing w:before="280" w:after="280"/>
        <w:ind w:left="720"/>
        <w:rPr>
          <w:rFonts w:asciiTheme="majorHAnsi" w:eastAsia="Times New Roman" w:hAnsiTheme="majorHAnsi" w:cstheme="majorHAnsi"/>
          <w:color w:val="4F81BD" w:themeColor="accent1"/>
          <w:szCs w:val="24"/>
        </w:rPr>
      </w:pPr>
      <w:r>
        <w:rPr>
          <w:rFonts w:eastAsia="Times New Roman" w:cstheme="majorHAnsi"/>
          <w:color w:val="4F81BD" w:themeColor="accent1"/>
          <w:szCs w:val="24"/>
        </w:rPr>
        <w:t>Automated Construction Power Interface</w:t>
      </w:r>
    </w:p>
    <w:p w14:paraId="111D9A4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instance:</w:t>
      </w:r>
    </w:p>
    <w:p w14:paraId="37B4DB0B" w14:textId="77777777" w:rsidR="009C3A0E" w:rsidRDefault="00994197" w:rsidP="00D81064">
      <w:pPr>
        <w:tabs>
          <w:tab w:val="left" w:pos="3060"/>
        </w:tabs>
        <w:spacing w:before="280" w:after="280"/>
        <w:ind w:left="450"/>
        <w:rPr>
          <w:rFonts w:asciiTheme="majorHAnsi" w:eastAsia="Times New Roman" w:hAnsiTheme="majorHAnsi" w:cstheme="majorHAnsi"/>
          <w:szCs w:val="24"/>
        </w:rPr>
      </w:pPr>
      <w:r>
        <w:rPr>
          <w:rFonts w:eastAsia="Times New Roman" w:cstheme="majorHAnsi"/>
          <w:b/>
          <w:bCs/>
          <w:szCs w:val="24"/>
        </w:rPr>
        <w:t>Mechanical:</w:t>
      </w:r>
      <w:r>
        <w:rPr>
          <w:rFonts w:eastAsia="Times New Roman" w:cstheme="majorHAnsi"/>
          <w:szCs w:val="24"/>
        </w:rPr>
        <w:t xml:space="preserve"> </w:t>
      </w:r>
      <w:r>
        <w:rPr>
          <w:rFonts w:eastAsia="Times New Roman" w:cstheme="majorHAnsi"/>
          <w:szCs w:val="24"/>
        </w:rPr>
        <w:tab/>
        <w:t>four-rail / double-rail transporter geometry</w:t>
      </w:r>
      <w:r>
        <w:rPr>
          <w:rFonts w:eastAsia="Times New Roman" w:cstheme="majorHAnsi"/>
          <w:szCs w:val="24"/>
        </w:rPr>
        <w:br/>
      </w:r>
      <w:r>
        <w:rPr>
          <w:rFonts w:eastAsia="Times New Roman" w:cstheme="majorHAnsi"/>
          <w:b/>
          <w:bCs/>
          <w:szCs w:val="24"/>
        </w:rPr>
        <w:t>Large-power interface:</w:t>
      </w:r>
      <w:r>
        <w:rPr>
          <w:rFonts w:eastAsia="Times New Roman" w:cstheme="majorHAnsi"/>
          <w:szCs w:val="24"/>
        </w:rPr>
        <w:t xml:space="preserve"> </w:t>
      </w:r>
      <w:r>
        <w:rPr>
          <w:rFonts w:eastAsia="Times New Roman" w:cstheme="majorHAnsi"/>
          <w:szCs w:val="24"/>
        </w:rPr>
        <w:tab/>
        <w:t>6.6-kV 3-phase conductor rail</w:t>
      </w:r>
      <w:r>
        <w:rPr>
          <w:rFonts w:eastAsia="Times New Roman" w:cstheme="majorHAnsi"/>
          <w:szCs w:val="24"/>
        </w:rPr>
        <w:br/>
      </w:r>
      <w:r>
        <w:rPr>
          <w:rFonts w:eastAsia="Times New Roman" w:cstheme="majorHAnsi"/>
          <w:b/>
          <w:bCs/>
          <w:szCs w:val="24"/>
        </w:rPr>
        <w:t>Auxiliary power:</w:t>
      </w:r>
      <w:r>
        <w:rPr>
          <w:rFonts w:eastAsia="Times New Roman" w:cstheme="majorHAnsi"/>
          <w:szCs w:val="24"/>
        </w:rPr>
        <w:t xml:space="preserve"> </w:t>
      </w:r>
      <w:r>
        <w:rPr>
          <w:rFonts w:eastAsia="Times New Roman" w:cstheme="majorHAnsi"/>
          <w:szCs w:val="24"/>
        </w:rPr>
        <w:tab/>
        <w:t>690/400 V locally transformed</w:t>
      </w:r>
      <w:r>
        <w:rPr>
          <w:rFonts w:eastAsia="Times New Roman" w:cstheme="majorHAnsi"/>
          <w:szCs w:val="24"/>
        </w:rPr>
        <w:br/>
      </w:r>
      <w:r>
        <w:rPr>
          <w:rFonts w:eastAsia="Times New Roman" w:cstheme="majorHAnsi"/>
          <w:b/>
          <w:bCs/>
          <w:szCs w:val="24"/>
        </w:rPr>
        <w:t>Control:</w:t>
      </w:r>
      <w:r>
        <w:rPr>
          <w:rFonts w:eastAsia="Times New Roman" w:cstheme="majorHAnsi"/>
          <w:szCs w:val="24"/>
        </w:rPr>
        <w:t xml:space="preserve"> </w:t>
      </w:r>
      <w:r>
        <w:rPr>
          <w:rFonts w:eastAsia="Times New Roman" w:cstheme="majorHAnsi"/>
          <w:szCs w:val="24"/>
        </w:rPr>
        <w:tab/>
        <w:t>fiber + wireless network</w:t>
      </w:r>
      <w:r>
        <w:rPr>
          <w:rFonts w:eastAsia="Times New Roman" w:cstheme="majorHAnsi"/>
          <w:szCs w:val="24"/>
        </w:rPr>
        <w:br/>
      </w:r>
      <w:r>
        <w:rPr>
          <w:rFonts w:eastAsia="Times New Roman" w:cstheme="majorHAnsi"/>
          <w:b/>
          <w:bCs/>
          <w:szCs w:val="24"/>
        </w:rPr>
        <w:t>Safety:</w:t>
      </w:r>
      <w:r>
        <w:rPr>
          <w:rFonts w:eastAsia="Times New Roman" w:cstheme="majorHAnsi"/>
          <w:szCs w:val="24"/>
        </w:rPr>
        <w:t xml:space="preserve"> </w:t>
      </w:r>
      <w:r>
        <w:rPr>
          <w:rFonts w:eastAsia="Times New Roman" w:cstheme="majorHAnsi"/>
          <w:szCs w:val="24"/>
        </w:rPr>
        <w:tab/>
        <w:t>redundant segment-position interlock</w:t>
      </w:r>
      <w:r>
        <w:rPr>
          <w:rFonts w:eastAsia="Times New Roman" w:cstheme="majorHAnsi"/>
          <w:szCs w:val="24"/>
        </w:rPr>
        <w:br/>
      </w:r>
      <w:r>
        <w:rPr>
          <w:rFonts w:eastAsia="Times New Roman" w:cstheme="majorHAnsi"/>
          <w:b/>
          <w:bCs/>
          <w:szCs w:val="24"/>
        </w:rPr>
        <w:t>Data:</w:t>
      </w:r>
      <w:r>
        <w:rPr>
          <w:rFonts w:eastAsia="Times New Roman" w:cstheme="majorHAnsi"/>
          <w:szCs w:val="24"/>
        </w:rPr>
        <w:t xml:space="preserve"> </w:t>
      </w:r>
      <w:r>
        <w:rPr>
          <w:rFonts w:eastAsia="Times New Roman" w:cstheme="majorHAnsi"/>
          <w:szCs w:val="24"/>
        </w:rPr>
        <w:tab/>
      </w:r>
      <w:r>
        <w:rPr>
          <w:rFonts w:eastAsia="Times New Roman" w:cstheme="majorHAnsi"/>
          <w:szCs w:val="24"/>
        </w:rPr>
        <w:t>machine ID, permitted power, rail segment status</w:t>
      </w:r>
      <w:r>
        <w:rPr>
          <w:rFonts w:eastAsia="Times New Roman" w:cstheme="majorHAnsi"/>
          <w:szCs w:val="24"/>
        </w:rPr>
        <w:br/>
      </w:r>
      <w:r>
        <w:rPr>
          <w:rFonts w:eastAsia="Times New Roman" w:cstheme="majorHAnsi"/>
          <w:b/>
          <w:bCs/>
          <w:szCs w:val="24"/>
        </w:rPr>
        <w:t>Grounding:</w:t>
      </w:r>
      <w:r>
        <w:rPr>
          <w:rFonts w:eastAsia="Times New Roman" w:cstheme="majorHAnsi"/>
          <w:szCs w:val="24"/>
        </w:rPr>
        <w:t xml:space="preserve"> </w:t>
      </w:r>
      <w:r>
        <w:rPr>
          <w:rFonts w:eastAsia="Times New Roman" w:cstheme="majorHAnsi"/>
          <w:szCs w:val="24"/>
        </w:rPr>
        <w:tab/>
        <w:t>dedicated PE/bonding conductor</w:t>
      </w:r>
      <w:r>
        <w:rPr>
          <w:rFonts w:eastAsia="Times New Roman" w:cstheme="majorHAnsi"/>
          <w:szCs w:val="24"/>
        </w:rPr>
        <w:br/>
      </w:r>
      <w:r>
        <w:rPr>
          <w:rFonts w:eastAsia="Times New Roman" w:cstheme="majorHAnsi"/>
          <w:b/>
          <w:bCs/>
          <w:szCs w:val="24"/>
        </w:rPr>
        <w:t>Maximum unit power:</w:t>
      </w:r>
      <w:r>
        <w:rPr>
          <w:rFonts w:eastAsia="Times New Roman" w:cstheme="majorHAnsi"/>
          <w:szCs w:val="24"/>
        </w:rPr>
        <w:t xml:space="preserve"> </w:t>
      </w:r>
      <w:r>
        <w:rPr>
          <w:rFonts w:eastAsia="Times New Roman" w:cstheme="majorHAnsi"/>
          <w:szCs w:val="24"/>
        </w:rPr>
        <w:tab/>
        <w:t>perhaps 10 MW.</w:t>
      </w:r>
    </w:p>
    <w:p w14:paraId="3044022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Then every automated construction machine designed for the program has the same electrical pickup.</w:t>
      </w:r>
    </w:p>
    <w:p w14:paraId="3C12BF4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would mean the same rail system that moves a chemical-processing platform can power:</w:t>
      </w:r>
    </w:p>
    <w:p w14:paraId="3641A47F" w14:textId="77777777" w:rsidR="009C3A0E" w:rsidRDefault="00994197" w:rsidP="00D81064">
      <w:pPr>
        <w:pStyle w:val="bblueindent"/>
      </w:pPr>
      <w:r>
        <w:t>the transporter carrying it,</w:t>
      </w:r>
      <w:r>
        <w:br/>
        <w:t>the excavator preparing its bay,</w:t>
      </w:r>
      <w:r>
        <w:br/>
        <w:t>the concrete machine building its foundation,</w:t>
      </w:r>
      <w:r>
        <w:br/>
        <w:t>the crane placing it,</w:t>
      </w:r>
      <w:r>
        <w:br/>
        <w:t>the welding machines connecting it,</w:t>
      </w:r>
      <w:r>
        <w:br/>
      </w:r>
      <w:r>
        <w:t>and later the transporter removing it.</w:t>
      </w:r>
    </w:p>
    <w:p w14:paraId="0F506678" w14:textId="77777777" w:rsidR="009C3A0E" w:rsidRDefault="00994197">
      <w:pPr>
        <w:pStyle w:val="Heading3"/>
        <w:spacing w:before="280" w:after="280"/>
      </w:pPr>
      <w:r>
        <w:t>My main design change to your sketch</w:t>
      </w:r>
    </w:p>
    <w:p w14:paraId="1A77C44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So, I would retain about </w:t>
      </w:r>
      <w:r>
        <w:rPr>
          <w:rFonts w:eastAsia="Times New Roman" w:cstheme="majorHAnsi"/>
          <w:b/>
          <w:bCs/>
          <w:szCs w:val="24"/>
        </w:rPr>
        <w:t>80% of your concept</w:t>
      </w:r>
      <w:r>
        <w:rPr>
          <w:rFonts w:eastAsia="Times New Roman" w:cstheme="majorHAnsi"/>
          <w:szCs w:val="24"/>
        </w:rPr>
        <w:t>, but change the electrical detail from:</w:t>
      </w:r>
    </w:p>
    <w:p w14:paraId="7FB120CB" w14:textId="77777777" w:rsidR="009C3A0E" w:rsidRDefault="00994197" w:rsidP="00D81064">
      <w:pPr>
        <w:pStyle w:val="bblueindent"/>
      </w:pPr>
      <w:r>
        <w:t>one insulated red rail + one blue collector</w:t>
      </w:r>
    </w:p>
    <w:p w14:paraId="4943FF8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to:</w:t>
      </w:r>
    </w:p>
    <w:p w14:paraId="50AE107E" w14:textId="77777777" w:rsidR="009C3A0E" w:rsidRDefault="00994197" w:rsidP="00D81064">
      <w:pPr>
        <w:pStyle w:val="bblueindent"/>
      </w:pPr>
      <w:r>
        <w:t>an enclosed, segmented 3-phase conductor-bus system with a dedicated protective conductor, a retractable multi-contact collector, and medium-voltage sectional switchgear.</w:t>
      </w:r>
    </w:p>
    <w:p w14:paraId="40BB8BB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And for multi-megawatt construction machinery, I would make something around </w:t>
      </w:r>
      <w:r>
        <w:rPr>
          <w:rFonts w:eastAsia="Times New Roman" w:cstheme="majorHAnsi"/>
          <w:b/>
          <w:bCs/>
          <w:szCs w:val="24"/>
        </w:rPr>
        <w:t>6.6 kV</w:t>
      </w:r>
      <w:r>
        <w:rPr>
          <w:rFonts w:eastAsia="Times New Roman" w:cstheme="majorHAnsi"/>
          <w:szCs w:val="24"/>
        </w:rPr>
        <w:t xml:space="preserve"> the primary candidate rather than 440 V.</w:t>
      </w:r>
    </w:p>
    <w:p w14:paraId="75EAB79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Your proposed segmentation and illuminated energized-zone indication are both particularly good ideas. The segmentation means this doesn't need to behave like an ordinary railway third rail where kilometers may remain continuously live; it can behave more like </w:t>
      </w:r>
      <w:r>
        <w:rPr>
          <w:rFonts w:eastAsia="Times New Roman" w:cstheme="majorHAnsi"/>
          <w:b/>
          <w:bCs/>
          <w:szCs w:val="24"/>
        </w:rPr>
        <w:t>an automatically moving power socket that exists only underneath the machine that currently needs it</w:t>
      </w:r>
      <w:r>
        <w:rPr>
          <w:rFonts w:eastAsia="Times New Roman" w:cstheme="majorHAnsi"/>
          <w:szCs w:val="24"/>
        </w:rPr>
        <w:t>.</w:t>
      </w:r>
    </w:p>
    <w:p w14:paraId="48917E09" w14:textId="77777777" w:rsidR="009C3A0E" w:rsidRDefault="00994197">
      <w:pPr>
        <w:pStyle w:val="Heading1"/>
        <w:spacing w:before="280" w:after="280"/>
        <w:rPr>
          <w:rFonts w:cstheme="majorHAnsi"/>
        </w:rPr>
      </w:pPr>
      <w:bookmarkStart w:id="57" w:name="_Toc237471112"/>
      <w:bookmarkStart w:id="58" w:name="_Toc238129767"/>
      <w:bookmarkStart w:id="59" w:name="_Toc238205556"/>
      <w:r>
        <w:rPr>
          <w:rFonts w:cstheme="majorHAnsi"/>
        </w:rPr>
        <w:t>Different Ways to Make Ammonia</w:t>
      </w:r>
      <w:bookmarkEnd w:id="48"/>
      <w:bookmarkEnd w:id="57"/>
      <w:bookmarkEnd w:id="58"/>
      <w:bookmarkEnd w:id="59"/>
    </w:p>
    <w:p w14:paraId="109CEE06" w14:textId="77777777" w:rsidR="009C3A0E" w:rsidRDefault="00994197">
      <w:pPr>
        <w:pStyle w:val="cUserPromptText"/>
        <w:spacing w:before="280" w:after="280"/>
        <w:rPr>
          <w:rFonts w:asciiTheme="majorHAnsi" w:hAnsiTheme="majorHAnsi" w:cstheme="majorHAnsi"/>
        </w:rPr>
      </w:pPr>
      <w:r>
        <w:rPr>
          <w:rStyle w:val="UserPromptHeadingChar"/>
        </w:rPr>
        <w:t xml:space="preserve">Prompt to AI: </w:t>
      </w:r>
      <w:r>
        <w:rPr>
          <w:rFonts w:cstheme="majorHAnsi"/>
        </w:rPr>
        <w:t>What are the different methods for making liquid ammonia with heat and electricity from automated construction HTR-PM, and how much does each of these cost in units of $ per tonne of ammonia? Apply the same question to automated construction PWR. Assume: (a) we are looking for lowest cost approach with waste heat recovery, (b) heat pumps reduce cost, (c) we are in China, and (d) we are working with factory made platforms of equipment as noted in the “nuclear_power_industrial_processing_fund...” document. Al</w:t>
      </w:r>
      <w:r>
        <w:rPr>
          <w:rFonts w:cstheme="majorHAnsi"/>
        </w:rPr>
        <w:t xml:space="preserve">so, what is the current cost of making Ammonia in China using fossil fuel? Provide a summary table showing the different fossil fuel-based methods and the different green (less CO2 emissions) methods. Include: (a) cost per tonne of ammonia, (b) tonnes of CO2 emitted into atmosphere per tonne of ammonia. </w:t>
      </w:r>
    </w:p>
    <w:p w14:paraId="6F640BFB" w14:textId="77777777" w:rsidR="009C3A0E" w:rsidRDefault="00994197">
      <w:pPr>
        <w:spacing w:before="280" w:after="280"/>
      </w:pPr>
      <w:r>
        <w:rPr>
          <w:b/>
          <w:color w:val="4F81BD"/>
          <w:u w:val="single"/>
        </w:rPr>
        <w:t>Enclosed Documents</w:t>
      </w:r>
    </w:p>
    <w:p w14:paraId="6C2C980A" w14:textId="77777777" w:rsidR="009C3A0E" w:rsidRPr="00D7515C" w:rsidRDefault="00994197" w:rsidP="00AC17D8">
      <w:pPr>
        <w:pStyle w:val="blistNo-Spacebullet"/>
      </w:pPr>
      <w:r w:rsidRPr="00D7515C">
        <w:t>Discussion, Electricity and Ammonia Cost, v1a.docx</w:t>
      </w:r>
    </w:p>
    <w:p w14:paraId="05D19B37" w14:textId="77777777" w:rsidR="009C3A0E" w:rsidRPr="00D7515C" w:rsidRDefault="00994197" w:rsidP="00AC17D8">
      <w:pPr>
        <w:pStyle w:val="blistNo-Spacebullet"/>
      </w:pPr>
      <w:r w:rsidRPr="00D7515C">
        <w:t>nuclear_power_industrial_processing_fund, v1c(1).docx</w:t>
      </w:r>
    </w:p>
    <w:p w14:paraId="553C4FE4" w14:textId="77777777" w:rsidR="009C3A0E" w:rsidRPr="00D7515C" w:rsidRDefault="00994197" w:rsidP="00AC17D8">
      <w:pPr>
        <w:pStyle w:val="blistNo-Spacebullet"/>
      </w:pPr>
      <w:r w:rsidRPr="00D7515C">
        <w:t>cmp_fission_automate_site_construction,v2j.docx</w:t>
      </w:r>
    </w:p>
    <w:p w14:paraId="05D1BF8A" w14:textId="77777777" w:rsidR="009C3A0E" w:rsidRDefault="00994197">
      <w:pPr>
        <w:spacing w:before="280" w:after="280"/>
      </w:pPr>
      <w:r>
        <w:rPr>
          <w:b/>
          <w:color w:val="4F81BD"/>
          <w:u w:val="single"/>
        </w:rPr>
        <w:t>AI Conversation</w:t>
      </w:r>
    </w:p>
    <w:p w14:paraId="5AADBF36" w14:textId="77777777" w:rsidR="009C3A0E" w:rsidRPr="00D7515C" w:rsidRDefault="009C3A0E">
      <w:pPr>
        <w:pStyle w:val="bhyperlink"/>
        <w:spacing w:beforeAutospacing="0" w:afterAutospacing="0"/>
        <w:ind w:left="360"/>
        <w:rPr>
          <w:rFonts w:eastAsia="Times New Roman" w:cstheme="majorHAnsi"/>
          <w:sz w:val="18"/>
          <w:szCs w:val="18"/>
        </w:rPr>
      </w:pPr>
      <w:hyperlink r:id="rId39">
        <w:r w:rsidRPr="00D7515C">
          <w:rPr>
            <w:rStyle w:val="bhyperlinkChar"/>
            <w:rFonts w:eastAsia="Times New Roman" w:cstheme="majorHAnsi"/>
            <w:sz w:val="18"/>
            <w:szCs w:val="18"/>
          </w:rPr>
          <w:t>https://chatgpt.com/g/g-p-679d2bb5b304819198acec1a2830d008/c/6a77d5f8-2154-83ea-a07c-1323e47271de</w:t>
        </w:r>
      </w:hyperlink>
    </w:p>
    <w:p w14:paraId="568D6FA7" w14:textId="77777777" w:rsidR="009C3A0E" w:rsidRDefault="00994197">
      <w:pPr>
        <w:spacing w:before="280" w:after="280"/>
      </w:pPr>
      <w:r>
        <w:rPr>
          <w:b/>
          <w:color w:val="4F81BD"/>
          <w:u w:val="single"/>
        </w:rPr>
        <w:t>Response From AI:</w:t>
      </w:r>
    </w:p>
    <w:p w14:paraId="0B014F3C" w14:textId="77777777" w:rsidR="009C3A0E" w:rsidRDefault="00994197">
      <w:pPr>
        <w:spacing w:before="280" w:after="280"/>
        <w:rPr>
          <w:rFonts w:asciiTheme="majorHAnsi" w:eastAsia="Times New Roman" w:hAnsiTheme="majorHAnsi" w:cstheme="majorHAnsi"/>
          <w:szCs w:val="24"/>
        </w:rPr>
      </w:pPr>
      <w:r>
        <w:t>Using the assumptions in your three documents, and updating the earlier ammonia calculations to the new the current companion site-construction proposal electricity/heat costs, I get a somewhat different result from the older discussion:</w:t>
      </w:r>
    </w:p>
    <w:p w14:paraId="4C49640C" w14:textId="77777777" w:rsidR="009C3A0E" w:rsidRPr="00D7515C" w:rsidRDefault="00994197">
      <w:pPr>
        <w:spacing w:before="280" w:after="280"/>
        <w:rPr>
          <w:rFonts w:asciiTheme="majorHAnsi" w:eastAsia="Times New Roman" w:hAnsiTheme="majorHAnsi" w:cstheme="majorHAnsi"/>
          <w:szCs w:val="24"/>
        </w:rPr>
      </w:pPr>
      <w:r w:rsidRPr="00D7515C">
        <w:rPr>
          <w:rFonts w:eastAsia="Times New Roman" w:cstheme="majorHAnsi"/>
          <w:szCs w:val="24"/>
        </w:rPr>
        <w:t>The lowest-cost nuclear route is probably high-temperature steam electrolysis (HTSE/SOEC) + Haber–Bosch for both reactor types. For a mature Chinese factory-platform system, I would now use roughly $360–380/tonne of liquid NH₃ for the automated PWR and $400–420/tonne for the automated HTR-PM as central planning numbers. With particularly successful waste-heat recovery, industrial heat pumps, high utilization and repeated platform manufacture, the lower ends could be around $350/t for PWR and $390/t for HTR-</w:t>
      </w:r>
      <w:r w:rsidRPr="00D7515C">
        <w:rPr>
          <w:rFonts w:eastAsia="Times New Roman" w:cstheme="majorHAnsi"/>
          <w:szCs w:val="24"/>
        </w:rPr>
        <w:t>PM.</w:t>
      </w:r>
    </w:p>
    <w:p w14:paraId="3690037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puts the automated PWR surprisingly close to present Chinese coal-ammonia economics.</w:t>
      </w:r>
    </w:p>
    <w:p w14:paraId="4DE2B82A" w14:textId="77777777" w:rsidR="009C3A0E" w:rsidRDefault="00994197">
      <w:pPr>
        <w:pStyle w:val="cSubject"/>
        <w:spacing w:before="280" w:after="280"/>
      </w:pPr>
      <w:r>
        <w:t>Why the new estimates are lower</w:t>
      </w:r>
    </w:p>
    <w:p w14:paraId="0DBFF05D" w14:textId="77777777" w:rsidR="009C3A0E" w:rsidRDefault="00994197">
      <w:pPr>
        <w:spacing w:before="280" w:after="280"/>
        <w:rPr>
          <w:rFonts w:asciiTheme="majorHAnsi" w:eastAsia="Times New Roman" w:hAnsiTheme="majorHAnsi" w:cstheme="majorHAnsi"/>
          <w:szCs w:val="24"/>
        </w:rPr>
      </w:pPr>
      <w:r>
        <w:t xml:space="preserve">The the current companion site-construction proposal nuclear document now uses approximately $37/MWh-electric + $15/MWh-thermal for automated HTR-PM, versus $31/MWh-electric + $10/MWh-thermal for automated PWR. </w:t>
      </w:r>
    </w:p>
    <w:p w14:paraId="1774CFBE" w14:textId="77777777" w:rsidR="009C3A0E" w:rsidRPr="00D7515C" w:rsidRDefault="00994197">
      <w:pPr>
        <w:spacing w:before="280" w:after="280"/>
        <w:rPr>
          <w:rFonts w:asciiTheme="majorHAnsi" w:eastAsia="Times New Roman" w:hAnsiTheme="majorHAnsi" w:cstheme="majorHAnsi"/>
          <w:szCs w:val="24"/>
        </w:rPr>
      </w:pPr>
      <w:r w:rsidRPr="00D7515C">
        <w:rPr>
          <w:rFonts w:eastAsia="Times New Roman" w:cstheme="majorHAnsi"/>
          <w:szCs w:val="24"/>
        </w:rPr>
        <w:t>The ammonia discussion gives an LWR-integrated HTSE requirement of approximately 6.84 MWh-electric plus 1.13 MWh-thermal per tonne of NH₃, including the major downstream electricity requirement. That means the nuclear-energy contribution alone becomes:</w:t>
      </w:r>
    </w:p>
    <w:p w14:paraId="77526916" w14:textId="77777777" w:rsidR="009C3A0E" w:rsidRDefault="00994197" w:rsidP="006D7F87">
      <w:pPr>
        <w:tabs>
          <w:tab w:val="left" w:pos="1620"/>
          <w:tab w:val="left" w:pos="5940"/>
        </w:tabs>
        <w:spacing w:before="160" w:beforeAutospacing="0" w:after="160" w:afterAutospacing="0"/>
        <w:ind w:left="360"/>
        <w:rPr>
          <w:rFonts w:asciiTheme="majorHAnsi" w:eastAsia="Times New Roman" w:hAnsiTheme="majorHAnsi" w:cstheme="majorHAnsi"/>
          <w:color w:val="4F81BD" w:themeColor="accent1"/>
          <w:szCs w:val="24"/>
        </w:rPr>
      </w:pPr>
      <w:r>
        <w:rPr>
          <w:rFonts w:eastAsia="Times New Roman" w:cstheme="majorHAnsi"/>
          <w:b/>
          <w:bCs/>
          <w:color w:val="4F81BD" w:themeColor="accent1"/>
          <w:szCs w:val="24"/>
        </w:rPr>
        <w:t>HTR-PM:</w:t>
      </w:r>
      <w:r>
        <w:rPr>
          <w:rFonts w:eastAsia="Times New Roman" w:cstheme="majorHAnsi"/>
          <w:color w:val="4F81BD" w:themeColor="accent1"/>
          <w:szCs w:val="24"/>
        </w:rPr>
        <w:tab/>
        <w:t xml:space="preserve">6.84 × $37 + 1.13 × $15 ≈ </w:t>
      </w:r>
      <w:r>
        <w:rPr>
          <w:rFonts w:eastAsia="Times New Roman" w:cstheme="majorHAnsi"/>
          <w:b/>
          <w:bCs/>
          <w:color w:val="4F81BD" w:themeColor="accent1"/>
          <w:szCs w:val="24"/>
        </w:rPr>
        <w:t>$270/t NH₃</w:t>
      </w:r>
      <w:r>
        <w:rPr>
          <w:rFonts w:eastAsia="Times New Roman" w:cstheme="majorHAnsi"/>
          <w:color w:val="4F81BD" w:themeColor="accent1"/>
          <w:szCs w:val="24"/>
        </w:rPr>
        <w:t xml:space="preserve"> </w:t>
      </w:r>
      <w:r>
        <w:rPr>
          <w:rFonts w:eastAsia="Times New Roman" w:cstheme="majorHAnsi"/>
          <w:color w:val="4F81BD" w:themeColor="accent1"/>
          <w:szCs w:val="24"/>
        </w:rPr>
        <w:tab/>
        <w:t>(heat and electricity cost only)</w:t>
      </w:r>
    </w:p>
    <w:p w14:paraId="2F96729F" w14:textId="77777777" w:rsidR="009C3A0E" w:rsidRDefault="00994197" w:rsidP="006D7F87">
      <w:pPr>
        <w:tabs>
          <w:tab w:val="left" w:pos="1620"/>
          <w:tab w:val="left" w:pos="5940"/>
        </w:tabs>
        <w:spacing w:before="160" w:beforeAutospacing="0" w:after="160" w:afterAutospacing="0"/>
        <w:ind w:left="360"/>
        <w:rPr>
          <w:rFonts w:asciiTheme="majorHAnsi" w:eastAsia="Times New Roman" w:hAnsiTheme="majorHAnsi" w:cstheme="majorHAnsi"/>
          <w:color w:val="4F81BD" w:themeColor="accent1"/>
          <w:szCs w:val="24"/>
        </w:rPr>
      </w:pPr>
      <w:r>
        <w:rPr>
          <w:rFonts w:eastAsia="Times New Roman" w:cstheme="majorHAnsi"/>
          <w:b/>
          <w:bCs/>
          <w:color w:val="4F81BD" w:themeColor="accent1"/>
          <w:szCs w:val="24"/>
        </w:rPr>
        <w:t>PWR:</w:t>
      </w:r>
      <w:r>
        <w:rPr>
          <w:rFonts w:eastAsia="Times New Roman" w:cstheme="majorHAnsi"/>
          <w:color w:val="4F81BD" w:themeColor="accent1"/>
          <w:szCs w:val="24"/>
        </w:rPr>
        <w:tab/>
        <w:t xml:space="preserve">6.84 × $31 + 1.13 × $10 ≈ </w:t>
      </w:r>
      <w:r>
        <w:rPr>
          <w:rFonts w:eastAsia="Times New Roman" w:cstheme="majorHAnsi"/>
          <w:b/>
          <w:bCs/>
          <w:color w:val="4F81BD" w:themeColor="accent1"/>
          <w:szCs w:val="24"/>
        </w:rPr>
        <w:t>$223/t NH₃</w:t>
      </w:r>
      <w:r>
        <w:rPr>
          <w:rFonts w:eastAsia="Times New Roman" w:cstheme="majorHAnsi"/>
          <w:color w:val="4F81BD" w:themeColor="accent1"/>
          <w:szCs w:val="24"/>
        </w:rPr>
        <w:tab/>
        <w:t>(heat and electricity cost only)</w:t>
      </w:r>
    </w:p>
    <w:p w14:paraId="39B7FA8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remainder is electrolyzer capital and stack replacement, air separation, compression, Haber–Bosch, refrigeration, water treatment, storage, maintenance and financing. Your earlier HTR-PM model put those non-energy items at roughly $120–190/t; the detailed PWR model put them at roughly $130–175/t. </w:t>
      </w:r>
    </w:p>
    <w:p w14:paraId="6212F2C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factory-platform concept is particularly relevant here because it explicitly proposes repetitive factory manufacture of hydrogen and ammonia modules, shared utilities, air separation, refrigeration/storage and standardized nuclear interfaces rather than designing each chemical plant individually. The ammonia work package also explicitly calls for </w:t>
      </w:r>
      <w:r>
        <w:rPr>
          <w:rFonts w:eastAsia="Times New Roman" w:cstheme="majorHAnsi"/>
          <w:b/>
          <w:bCs/>
          <w:szCs w:val="24"/>
        </w:rPr>
        <w:t>Haber–Bosch heat recovery and recycle</w:t>
      </w:r>
      <w:r>
        <w:rPr>
          <w:rFonts w:eastAsia="Times New Roman" w:cstheme="majorHAnsi"/>
          <w:szCs w:val="24"/>
        </w:rPr>
        <w:t xml:space="preserve">. </w:t>
      </w:r>
    </w:p>
    <w:p w14:paraId="0BF94937" w14:textId="77777777" w:rsidR="009C3A0E" w:rsidRDefault="00994197">
      <w:pPr>
        <w:pStyle w:val="Heading2"/>
        <w:spacing w:before="280"/>
      </w:pPr>
      <w:r>
        <w:t>Nuclear ammonia pathways</w:t>
      </w:r>
    </w:p>
    <w:p w14:paraId="757A72EF" w14:textId="77777777" w:rsidR="009C3A0E" w:rsidRDefault="00994197">
      <w:pPr>
        <w:rPr>
          <w:rFonts w:asciiTheme="majorHAnsi" w:eastAsia="Times New Roman" w:hAnsiTheme="majorHAnsi" w:cstheme="majorHAnsi"/>
          <w:szCs w:val="24"/>
        </w:rPr>
      </w:pPr>
      <w:r>
        <w:rPr>
          <w:rFonts w:eastAsia="Times New Roman" w:cstheme="majorHAnsi"/>
          <w:szCs w:val="24"/>
        </w:rPr>
        <w:t>Here are the pathways I think are worth carrying in the economic model.</w:t>
      </w:r>
    </w:p>
    <w:tbl>
      <w:tblPr>
        <w:tblStyle w:val="gswTableStyle"/>
        <w:tblW w:w="10836" w:type="dxa"/>
        <w:tblLayout w:type="fixed"/>
        <w:tblLook w:val="04A0" w:firstRow="1" w:lastRow="0" w:firstColumn="1" w:lastColumn="0" w:noHBand="0" w:noVBand="1"/>
      </w:tblPr>
      <w:tblGrid>
        <w:gridCol w:w="1353"/>
        <w:gridCol w:w="2400"/>
        <w:gridCol w:w="2095"/>
        <w:gridCol w:w="1493"/>
        <w:gridCol w:w="3495"/>
      </w:tblGrid>
      <w:tr w:rsidR="009C3A0E" w14:paraId="5CEE89FB" w14:textId="77777777" w:rsidTr="009C3A0E">
        <w:trPr>
          <w:cnfStyle w:val="100000000000" w:firstRow="1" w:lastRow="0" w:firstColumn="0" w:lastColumn="0" w:oddVBand="0" w:evenVBand="0" w:oddHBand="0" w:evenHBand="0" w:firstRowFirstColumn="0" w:firstRowLastColumn="0" w:lastRowFirstColumn="0" w:lastRowLastColumn="0"/>
          <w:tblHeader/>
        </w:trPr>
        <w:tc>
          <w:tcPr>
            <w:tcW w:w="1353" w:type="dxa"/>
          </w:tcPr>
          <w:p w14:paraId="75981E40" w14:textId="77777777" w:rsidR="009C3A0E" w:rsidRDefault="00994197">
            <w:pPr>
              <w:pStyle w:val="cTableHeader"/>
              <w:keepNext/>
              <w:spacing w:before="0" w:after="0"/>
            </w:pPr>
            <w:r>
              <w:t>Category / reactor</w:t>
            </w:r>
          </w:p>
        </w:tc>
        <w:tc>
          <w:tcPr>
            <w:tcW w:w="2400" w:type="dxa"/>
          </w:tcPr>
          <w:p w14:paraId="67CD7EF3" w14:textId="77777777" w:rsidR="009C3A0E" w:rsidRDefault="00994197">
            <w:pPr>
              <w:pStyle w:val="cTableHeader"/>
              <w:keepNext/>
              <w:spacing w:before="0" w:after="0"/>
            </w:pPr>
            <w:r>
              <w:t>Hydrogen pathway → NH₃</w:t>
            </w:r>
          </w:p>
        </w:tc>
        <w:tc>
          <w:tcPr>
            <w:tcW w:w="2095" w:type="dxa"/>
          </w:tcPr>
          <w:p w14:paraId="518C1A4D" w14:textId="77777777" w:rsidR="009C3A0E" w:rsidRDefault="00994197">
            <w:pPr>
              <w:pStyle w:val="cTableHeader"/>
              <w:keepNext/>
              <w:spacing w:before="0" w:after="0"/>
            </w:pPr>
            <w:r>
              <w:t>Estimated liquid NH₃ cost, China ($/t)</w:t>
            </w:r>
          </w:p>
        </w:tc>
        <w:tc>
          <w:tcPr>
            <w:tcW w:w="1493" w:type="dxa"/>
          </w:tcPr>
          <w:p w14:paraId="06D9D6A4" w14:textId="77777777" w:rsidR="009C3A0E" w:rsidRDefault="00994197">
            <w:pPr>
              <w:pStyle w:val="cTableHeader"/>
              <w:keepNext/>
              <w:spacing w:before="0" w:after="0"/>
            </w:pPr>
            <w:r>
              <w:t>Direct CO₂ emitted (t CO₂/t NH₃)</w:t>
            </w:r>
          </w:p>
        </w:tc>
        <w:tc>
          <w:tcPr>
            <w:tcW w:w="3495" w:type="dxa"/>
          </w:tcPr>
          <w:p w14:paraId="6E0BFCCF" w14:textId="77777777" w:rsidR="009C3A0E" w:rsidRDefault="00994197">
            <w:pPr>
              <w:pStyle w:val="cTableHeader"/>
              <w:keepNext/>
              <w:spacing w:before="0" w:after="0"/>
            </w:pPr>
            <w:r>
              <w:t>Assessment</w:t>
            </w:r>
          </w:p>
        </w:tc>
      </w:tr>
      <w:tr w:rsidR="009C3A0E" w14:paraId="1ABF9C17" w14:textId="77777777" w:rsidTr="009C3A0E">
        <w:tc>
          <w:tcPr>
            <w:tcW w:w="1353" w:type="dxa"/>
          </w:tcPr>
          <w:p w14:paraId="46305AE5" w14:textId="77777777" w:rsidR="009C3A0E" w:rsidRDefault="00994197">
            <w:pPr>
              <w:pStyle w:val="cTableBody"/>
              <w:keepNext/>
              <w:spacing w:before="0" w:beforeAutospacing="0" w:afterAutospacing="0"/>
            </w:pPr>
            <w:r>
              <w:t>Fossil — China coal</w:t>
            </w:r>
          </w:p>
        </w:tc>
        <w:tc>
          <w:tcPr>
            <w:tcW w:w="2400" w:type="dxa"/>
          </w:tcPr>
          <w:p w14:paraId="481BCE92" w14:textId="77777777" w:rsidR="009C3A0E" w:rsidRDefault="00994197">
            <w:pPr>
              <w:pStyle w:val="cTableBody"/>
              <w:keepNext/>
              <w:spacing w:before="0" w:beforeAutospacing="0" w:afterAutospacing="0"/>
            </w:pPr>
            <w:r>
              <w:t>Coal gasification → H₂ → Haber–Bosch</w:t>
            </w:r>
          </w:p>
        </w:tc>
        <w:tc>
          <w:tcPr>
            <w:tcW w:w="2095" w:type="dxa"/>
          </w:tcPr>
          <w:p w14:paraId="6DD08689" w14:textId="77777777" w:rsidR="009C3A0E" w:rsidRDefault="00994197">
            <w:pPr>
              <w:pStyle w:val="cTableBody"/>
              <w:keepNext/>
              <w:spacing w:before="0" w:beforeAutospacing="0" w:afterAutospacing="0"/>
            </w:pPr>
            <w:r>
              <w:t>$325–370</w:t>
            </w:r>
          </w:p>
        </w:tc>
        <w:tc>
          <w:tcPr>
            <w:tcW w:w="1493" w:type="dxa"/>
          </w:tcPr>
          <w:p w14:paraId="73C62B41" w14:textId="77777777" w:rsidR="009C3A0E" w:rsidRDefault="00994197" w:rsidP="00BB6F7D">
            <w:pPr>
              <w:pStyle w:val="cTableBody"/>
              <w:keepNext/>
              <w:spacing w:before="0" w:beforeAutospacing="0" w:afterAutospacing="0"/>
              <w:jc w:val="center"/>
            </w:pPr>
            <w:r>
              <w:t>~4.0–4.8</w:t>
            </w:r>
          </w:p>
        </w:tc>
        <w:tc>
          <w:tcPr>
            <w:tcW w:w="3495" w:type="dxa"/>
          </w:tcPr>
          <w:p w14:paraId="147655A0" w14:textId="77777777" w:rsidR="009C3A0E" w:rsidRDefault="00994197">
            <w:pPr>
              <w:pStyle w:val="cTableBody"/>
              <w:keepNext/>
              <w:spacing w:before="0" w:beforeAutospacing="0" w:afterAutospacing="0"/>
            </w:pPr>
            <w:r>
              <w:t>Current Chinese incumbent; cheapest benchmark</w:t>
            </w:r>
          </w:p>
        </w:tc>
      </w:tr>
      <w:tr w:rsidR="009C3A0E" w14:paraId="44FE3116" w14:textId="77777777" w:rsidTr="009C3A0E">
        <w:tc>
          <w:tcPr>
            <w:tcW w:w="1353" w:type="dxa"/>
          </w:tcPr>
          <w:p w14:paraId="43D3E457" w14:textId="77777777" w:rsidR="009C3A0E" w:rsidRDefault="00994197">
            <w:pPr>
              <w:pStyle w:val="cTableBody"/>
              <w:keepNext/>
              <w:spacing w:before="0" w:beforeAutospacing="0" w:afterAutospacing="0"/>
            </w:pPr>
            <w:r>
              <w:t>Fossil — natural gas</w:t>
            </w:r>
          </w:p>
        </w:tc>
        <w:tc>
          <w:tcPr>
            <w:tcW w:w="2400" w:type="dxa"/>
          </w:tcPr>
          <w:p w14:paraId="32EBAA1C" w14:textId="77777777" w:rsidR="009C3A0E" w:rsidRDefault="00994197">
            <w:pPr>
              <w:pStyle w:val="cTableBody"/>
              <w:keepNext/>
              <w:spacing w:before="0" w:beforeAutospacing="0" w:afterAutospacing="0"/>
            </w:pPr>
            <w:r>
              <w:t>SMR → H₂ → Haber–Bosch</w:t>
            </w:r>
          </w:p>
        </w:tc>
        <w:tc>
          <w:tcPr>
            <w:tcW w:w="2095" w:type="dxa"/>
          </w:tcPr>
          <w:p w14:paraId="15E9B91C" w14:textId="77777777" w:rsidR="009C3A0E" w:rsidRDefault="00994197">
            <w:pPr>
              <w:pStyle w:val="cTableBody"/>
              <w:keepNext/>
              <w:spacing w:before="0" w:beforeAutospacing="0" w:afterAutospacing="0"/>
            </w:pPr>
            <w:r>
              <w:t>~$350–500*</w:t>
            </w:r>
          </w:p>
        </w:tc>
        <w:tc>
          <w:tcPr>
            <w:tcW w:w="1493" w:type="dxa"/>
          </w:tcPr>
          <w:p w14:paraId="426F1ED8" w14:textId="77777777" w:rsidR="009C3A0E" w:rsidRDefault="00994197" w:rsidP="00BB6F7D">
            <w:pPr>
              <w:pStyle w:val="cTableBody"/>
              <w:keepNext/>
              <w:spacing w:before="0" w:beforeAutospacing="0" w:afterAutospacing="0"/>
              <w:jc w:val="center"/>
            </w:pPr>
            <w:r>
              <w:t>~1.8–2.6</w:t>
            </w:r>
          </w:p>
        </w:tc>
        <w:tc>
          <w:tcPr>
            <w:tcW w:w="3495" w:type="dxa"/>
          </w:tcPr>
          <w:p w14:paraId="3BFF1CBC" w14:textId="77777777" w:rsidR="009C3A0E" w:rsidRDefault="00994197">
            <w:pPr>
              <w:pStyle w:val="cTableBody"/>
              <w:keepNext/>
              <w:spacing w:before="0" w:beforeAutospacing="0" w:afterAutospacing="0"/>
            </w:pPr>
            <w:r>
              <w:t>Lower emissions than coal, but gas is generally less attractive in China</w:t>
            </w:r>
          </w:p>
        </w:tc>
      </w:tr>
      <w:tr w:rsidR="009C3A0E" w14:paraId="266EDB81" w14:textId="77777777" w:rsidTr="009C3A0E">
        <w:tc>
          <w:tcPr>
            <w:tcW w:w="1353" w:type="dxa"/>
          </w:tcPr>
          <w:p w14:paraId="66ADFC32" w14:textId="77777777" w:rsidR="009C3A0E" w:rsidRDefault="00994197">
            <w:pPr>
              <w:pStyle w:val="cTableBody"/>
              <w:keepNext/>
              <w:spacing w:before="0" w:beforeAutospacing="0" w:afterAutospacing="0"/>
            </w:pPr>
            <w:r>
              <w:t>Renewable electricity</w:t>
            </w:r>
          </w:p>
        </w:tc>
        <w:tc>
          <w:tcPr>
            <w:tcW w:w="2400" w:type="dxa"/>
          </w:tcPr>
          <w:p w14:paraId="3BB0F6E3" w14:textId="22ABB629" w:rsidR="009C3A0E" w:rsidRDefault="00994197">
            <w:pPr>
              <w:pStyle w:val="cTableBody"/>
              <w:keepNext/>
              <w:spacing w:before="0" w:beforeAutospacing="0" w:afterAutospacing="0"/>
            </w:pPr>
            <w:r>
              <w:t>Wind/solar → alkaline</w:t>
            </w:r>
            <w:r w:rsidR="00C51FB6">
              <w:t xml:space="preserve"> </w:t>
            </w:r>
            <w:r>
              <w:t>/</w:t>
            </w:r>
            <w:r w:rsidR="00C51FB6">
              <w:t xml:space="preserve"> </w:t>
            </w:r>
            <w:r>
              <w:t>PEM → Haber–Bosch</w:t>
            </w:r>
          </w:p>
        </w:tc>
        <w:tc>
          <w:tcPr>
            <w:tcW w:w="2095" w:type="dxa"/>
          </w:tcPr>
          <w:p w14:paraId="0EFC2B73" w14:textId="77777777" w:rsidR="009C3A0E" w:rsidRDefault="00994197">
            <w:pPr>
              <w:pStyle w:val="cTableBody"/>
              <w:keepNext/>
              <w:spacing w:before="0" w:beforeAutospacing="0" w:afterAutospacing="0"/>
            </w:pPr>
            <w:r>
              <w:t>~$400–820; RMI current representative ≈ $705</w:t>
            </w:r>
          </w:p>
        </w:tc>
        <w:tc>
          <w:tcPr>
            <w:tcW w:w="1493" w:type="dxa"/>
          </w:tcPr>
          <w:p w14:paraId="7B1B8B1A" w14:textId="77777777" w:rsidR="009C3A0E" w:rsidRDefault="00994197" w:rsidP="00BB6F7D">
            <w:pPr>
              <w:pStyle w:val="cTableBody"/>
              <w:keepNext/>
              <w:spacing w:before="0" w:beforeAutospacing="0" w:afterAutospacing="0"/>
              <w:jc w:val="center"/>
            </w:pPr>
            <w:r>
              <w:t>≈0 direct</w:t>
            </w:r>
            <w:r w:rsidR="00BB6F7D">
              <w:br/>
              <w:t>“green”</w:t>
            </w:r>
          </w:p>
        </w:tc>
        <w:tc>
          <w:tcPr>
            <w:tcW w:w="3495" w:type="dxa"/>
          </w:tcPr>
          <w:p w14:paraId="6AB46AB7" w14:textId="77777777" w:rsidR="009C3A0E" w:rsidRDefault="00994197">
            <w:pPr>
              <w:pStyle w:val="cTableBody"/>
              <w:keepNext/>
              <w:spacing w:before="0" w:beforeAutospacing="0" w:afterAutospacing="0"/>
            </w:pPr>
            <w:r>
              <w:t>Commercial technology; cost dominated by electricity, utilization and storage</w:t>
            </w:r>
          </w:p>
        </w:tc>
      </w:tr>
      <w:tr w:rsidR="009C3A0E" w14:paraId="6EC15FCB" w14:textId="77777777" w:rsidTr="009C3A0E">
        <w:tc>
          <w:tcPr>
            <w:tcW w:w="1353" w:type="dxa"/>
          </w:tcPr>
          <w:p w14:paraId="05E7A25B" w14:textId="77777777" w:rsidR="009C3A0E" w:rsidRDefault="00994197">
            <w:pPr>
              <w:pStyle w:val="cTableBody"/>
              <w:keepNext/>
              <w:spacing w:before="0" w:beforeAutospacing="0" w:afterAutospacing="0"/>
            </w:pPr>
            <w:r>
              <w:t>Automated HTR-PM</w:t>
            </w:r>
          </w:p>
        </w:tc>
        <w:tc>
          <w:tcPr>
            <w:tcW w:w="2400" w:type="dxa"/>
          </w:tcPr>
          <w:p w14:paraId="224C4345" w14:textId="77777777" w:rsidR="009C3A0E" w:rsidRDefault="00994197">
            <w:pPr>
              <w:pStyle w:val="cTableBody"/>
              <w:keepNext/>
              <w:spacing w:before="0" w:beforeAutospacing="0" w:afterAutospacing="0"/>
            </w:pPr>
            <w:r>
              <w:t>HTSE/SOEC → Haber–Bosch, optimized heat recovery</w:t>
            </w:r>
          </w:p>
        </w:tc>
        <w:tc>
          <w:tcPr>
            <w:tcW w:w="2095" w:type="dxa"/>
          </w:tcPr>
          <w:p w14:paraId="62BD691C" w14:textId="30780103" w:rsidR="009C3A0E" w:rsidRDefault="00994197">
            <w:pPr>
              <w:pStyle w:val="cTableBody"/>
              <w:keepNext/>
              <w:spacing w:before="0" w:beforeAutospacing="0" w:afterAutospacing="0"/>
            </w:pPr>
            <w:r>
              <w:t xml:space="preserve">$390–430; </w:t>
            </w:r>
            <w:r w:rsidR="00C51FB6">
              <w:br/>
            </w:r>
            <w:r>
              <w:t>central ≈ $405</w:t>
            </w:r>
          </w:p>
        </w:tc>
        <w:tc>
          <w:tcPr>
            <w:tcW w:w="1493" w:type="dxa"/>
          </w:tcPr>
          <w:p w14:paraId="1776361C" w14:textId="77777777" w:rsidR="009C3A0E" w:rsidRDefault="00BB6F7D" w:rsidP="00BB6F7D">
            <w:pPr>
              <w:pStyle w:val="cTableBody"/>
              <w:keepNext/>
              <w:spacing w:before="0" w:beforeAutospacing="0" w:afterAutospacing="0"/>
              <w:jc w:val="center"/>
            </w:pPr>
            <w:r>
              <w:t>≈0 direct</w:t>
            </w:r>
            <w:r>
              <w:br/>
              <w:t>“green”</w:t>
            </w:r>
          </w:p>
        </w:tc>
        <w:tc>
          <w:tcPr>
            <w:tcW w:w="3495" w:type="dxa"/>
          </w:tcPr>
          <w:p w14:paraId="2D0688F8" w14:textId="77777777" w:rsidR="009C3A0E" w:rsidRDefault="00994197">
            <w:pPr>
              <w:pStyle w:val="cTableBody"/>
              <w:keepNext/>
              <w:spacing w:before="0" w:beforeAutospacing="0" w:afterAutospacing="0"/>
            </w:pPr>
            <w:r>
              <w:t>Best HTR-PM route</w:t>
            </w:r>
          </w:p>
        </w:tc>
      </w:tr>
      <w:tr w:rsidR="009C3A0E" w14:paraId="4BE4A1DC" w14:textId="77777777" w:rsidTr="009C3A0E">
        <w:tc>
          <w:tcPr>
            <w:tcW w:w="1353" w:type="dxa"/>
          </w:tcPr>
          <w:p w14:paraId="0B84D673" w14:textId="77777777" w:rsidR="009C3A0E" w:rsidRDefault="00994197">
            <w:pPr>
              <w:pStyle w:val="cTableBody"/>
              <w:keepNext/>
              <w:spacing w:before="0" w:beforeAutospacing="0" w:afterAutospacing="0"/>
            </w:pPr>
            <w:r>
              <w:t>Automated HTR-PM</w:t>
            </w:r>
          </w:p>
        </w:tc>
        <w:tc>
          <w:tcPr>
            <w:tcW w:w="2400" w:type="dxa"/>
          </w:tcPr>
          <w:p w14:paraId="0223BC3E" w14:textId="77777777" w:rsidR="009C3A0E" w:rsidRDefault="00994197">
            <w:pPr>
              <w:pStyle w:val="cTableBody"/>
              <w:keepNext/>
              <w:spacing w:before="0" w:beforeAutospacing="0" w:afterAutospacing="0"/>
            </w:pPr>
            <w:r>
              <w:t>Alkaline electrolysis → Haber–Bosch</w:t>
            </w:r>
          </w:p>
        </w:tc>
        <w:tc>
          <w:tcPr>
            <w:tcW w:w="2095" w:type="dxa"/>
          </w:tcPr>
          <w:p w14:paraId="2FF94E6C" w14:textId="77777777" w:rsidR="009C3A0E" w:rsidRDefault="00994197">
            <w:pPr>
              <w:pStyle w:val="cTableBody"/>
              <w:keepNext/>
              <w:spacing w:before="0" w:beforeAutospacing="0" w:afterAutospacing="0"/>
            </w:pPr>
            <w:r>
              <w:t>~$550–600</w:t>
            </w:r>
          </w:p>
        </w:tc>
        <w:tc>
          <w:tcPr>
            <w:tcW w:w="1493" w:type="dxa"/>
          </w:tcPr>
          <w:p w14:paraId="0A424C0C" w14:textId="77777777" w:rsidR="009C3A0E" w:rsidRDefault="00BB6F7D" w:rsidP="00BB6F7D">
            <w:pPr>
              <w:pStyle w:val="cTableBody"/>
              <w:keepNext/>
              <w:spacing w:before="0" w:beforeAutospacing="0" w:afterAutospacing="0"/>
              <w:jc w:val="center"/>
            </w:pPr>
            <w:r>
              <w:t>≈0 direct</w:t>
            </w:r>
            <w:r>
              <w:br/>
              <w:t>“green”</w:t>
            </w:r>
          </w:p>
        </w:tc>
        <w:tc>
          <w:tcPr>
            <w:tcW w:w="3495" w:type="dxa"/>
          </w:tcPr>
          <w:p w14:paraId="2C6C256D" w14:textId="77777777" w:rsidR="009C3A0E" w:rsidRDefault="00994197">
            <w:pPr>
              <w:pStyle w:val="cTableBody"/>
              <w:keepNext/>
              <w:spacing w:before="0" w:beforeAutospacing="0" w:afterAutospacing="0"/>
            </w:pPr>
            <w:r>
              <w:t>Simpler/mature electrolyzer, but much more electricity</w:t>
            </w:r>
          </w:p>
        </w:tc>
      </w:tr>
      <w:tr w:rsidR="009C3A0E" w14:paraId="143BF61F" w14:textId="77777777" w:rsidTr="009C3A0E">
        <w:tc>
          <w:tcPr>
            <w:tcW w:w="1353" w:type="dxa"/>
          </w:tcPr>
          <w:p w14:paraId="1D2257E8" w14:textId="77777777" w:rsidR="009C3A0E" w:rsidRDefault="00994197">
            <w:pPr>
              <w:pStyle w:val="cTableBody"/>
              <w:keepNext/>
              <w:spacing w:before="0" w:beforeAutospacing="0" w:afterAutospacing="0"/>
            </w:pPr>
            <w:r>
              <w:t>Automated HTR-PM</w:t>
            </w:r>
          </w:p>
        </w:tc>
        <w:tc>
          <w:tcPr>
            <w:tcW w:w="2400" w:type="dxa"/>
          </w:tcPr>
          <w:p w14:paraId="499310BC" w14:textId="77777777" w:rsidR="009C3A0E" w:rsidRDefault="00994197">
            <w:pPr>
              <w:pStyle w:val="cTableBody"/>
              <w:keepNext/>
              <w:spacing w:before="0" w:beforeAutospacing="0" w:afterAutospacing="0"/>
            </w:pPr>
            <w:r>
              <w:t>PEM electrolysis → Haber–Bosch</w:t>
            </w:r>
          </w:p>
        </w:tc>
        <w:tc>
          <w:tcPr>
            <w:tcW w:w="2095" w:type="dxa"/>
          </w:tcPr>
          <w:p w14:paraId="29F5D1A4" w14:textId="77777777" w:rsidR="009C3A0E" w:rsidRDefault="00994197">
            <w:pPr>
              <w:pStyle w:val="cTableBody"/>
              <w:keepNext/>
              <w:spacing w:before="0" w:beforeAutospacing="0" w:afterAutospacing="0"/>
            </w:pPr>
            <w:r>
              <w:t>~$580–630</w:t>
            </w:r>
          </w:p>
        </w:tc>
        <w:tc>
          <w:tcPr>
            <w:tcW w:w="1493" w:type="dxa"/>
          </w:tcPr>
          <w:p w14:paraId="56785625" w14:textId="77777777" w:rsidR="009C3A0E" w:rsidRDefault="00BB6F7D" w:rsidP="00BB6F7D">
            <w:pPr>
              <w:pStyle w:val="cTableBody"/>
              <w:keepNext/>
              <w:spacing w:before="0" w:beforeAutospacing="0" w:afterAutospacing="0"/>
              <w:jc w:val="center"/>
            </w:pPr>
            <w:r>
              <w:t>≈0 direct</w:t>
            </w:r>
            <w:r>
              <w:br/>
              <w:t>“green”</w:t>
            </w:r>
          </w:p>
        </w:tc>
        <w:tc>
          <w:tcPr>
            <w:tcW w:w="3495" w:type="dxa"/>
          </w:tcPr>
          <w:p w14:paraId="618DB3EA" w14:textId="77777777" w:rsidR="009C3A0E" w:rsidRDefault="00994197">
            <w:pPr>
              <w:pStyle w:val="cTableBody"/>
              <w:keepNext/>
              <w:spacing w:before="0" w:beforeAutospacing="0" w:afterAutospacing="0"/>
            </w:pPr>
            <w:r>
              <w:t>Flexible, but generally higher electrolyzer cost</w:t>
            </w:r>
          </w:p>
        </w:tc>
      </w:tr>
      <w:tr w:rsidR="009C3A0E" w14:paraId="5389BF3D" w14:textId="77777777" w:rsidTr="009C3A0E">
        <w:tc>
          <w:tcPr>
            <w:tcW w:w="1353" w:type="dxa"/>
          </w:tcPr>
          <w:p w14:paraId="5B5DBC22" w14:textId="77777777" w:rsidR="009C3A0E" w:rsidRDefault="00994197">
            <w:pPr>
              <w:pStyle w:val="cTableBody"/>
              <w:keepNext/>
              <w:spacing w:before="0" w:beforeAutospacing="0" w:afterAutospacing="0"/>
            </w:pPr>
            <w:r>
              <w:t>Automated HTR-PM</w:t>
            </w:r>
          </w:p>
        </w:tc>
        <w:tc>
          <w:tcPr>
            <w:tcW w:w="2400" w:type="dxa"/>
          </w:tcPr>
          <w:p w14:paraId="36073905" w14:textId="77777777" w:rsidR="009C3A0E" w:rsidRDefault="00994197">
            <w:pPr>
              <w:pStyle w:val="cTableBody"/>
              <w:keepNext/>
              <w:spacing w:before="0" w:beforeAutospacing="0" w:afterAutospacing="0"/>
            </w:pPr>
            <w:r>
              <w:t>Sulfur–iodine, 38%-class cycle + electric topping → Haber–Bosch</w:t>
            </w:r>
          </w:p>
        </w:tc>
        <w:tc>
          <w:tcPr>
            <w:tcW w:w="2095" w:type="dxa"/>
          </w:tcPr>
          <w:p w14:paraId="4E235865" w14:textId="77777777" w:rsidR="009C3A0E" w:rsidRDefault="00994197">
            <w:pPr>
              <w:pStyle w:val="cTableBody"/>
              <w:keepNext/>
              <w:spacing w:before="0" w:beforeAutospacing="0" w:afterAutospacing="0"/>
            </w:pPr>
            <w:r>
              <w:t>~$500–620</w:t>
            </w:r>
          </w:p>
        </w:tc>
        <w:tc>
          <w:tcPr>
            <w:tcW w:w="1493" w:type="dxa"/>
          </w:tcPr>
          <w:p w14:paraId="3D0303E4" w14:textId="77777777" w:rsidR="009C3A0E" w:rsidRDefault="00BB6F7D" w:rsidP="00BB6F7D">
            <w:pPr>
              <w:pStyle w:val="cTableBody"/>
              <w:keepNext/>
              <w:spacing w:before="0" w:beforeAutospacing="0" w:afterAutospacing="0"/>
              <w:jc w:val="center"/>
            </w:pPr>
            <w:r>
              <w:t>≈0 direct</w:t>
            </w:r>
            <w:r>
              <w:br/>
              <w:t>“green”</w:t>
            </w:r>
          </w:p>
        </w:tc>
        <w:tc>
          <w:tcPr>
            <w:tcW w:w="3495" w:type="dxa"/>
          </w:tcPr>
          <w:p w14:paraId="37B91C91" w14:textId="77777777" w:rsidR="009C3A0E" w:rsidRDefault="00994197">
            <w:pPr>
              <w:pStyle w:val="cTableBody"/>
              <w:keepNext/>
              <w:spacing w:before="0" w:beforeAutospacing="0" w:afterAutospacing="0"/>
            </w:pPr>
            <w:r>
              <w:t>Technically possible; too complex to beat HTSE in present HTR-PM</w:t>
            </w:r>
          </w:p>
        </w:tc>
      </w:tr>
      <w:tr w:rsidR="009C3A0E" w14:paraId="48E55283" w14:textId="77777777" w:rsidTr="009C3A0E">
        <w:tc>
          <w:tcPr>
            <w:tcW w:w="1353" w:type="dxa"/>
          </w:tcPr>
          <w:p w14:paraId="667A7BD2" w14:textId="77777777" w:rsidR="009C3A0E" w:rsidRDefault="00994197">
            <w:pPr>
              <w:pStyle w:val="cTableBody"/>
              <w:keepNext/>
              <w:spacing w:before="0" w:beforeAutospacing="0" w:afterAutospacing="0"/>
            </w:pPr>
            <w:r>
              <w:t>Automated HTR-PM</w:t>
            </w:r>
          </w:p>
        </w:tc>
        <w:tc>
          <w:tcPr>
            <w:tcW w:w="2400" w:type="dxa"/>
          </w:tcPr>
          <w:p w14:paraId="03ED2061" w14:textId="77777777" w:rsidR="009C3A0E" w:rsidRDefault="00994197">
            <w:pPr>
              <w:pStyle w:val="cTableBody"/>
              <w:keepNext/>
              <w:spacing w:before="0" w:beforeAutospacing="0" w:afterAutospacing="0"/>
            </w:pPr>
            <w:r>
              <w:t>Advanced ~50% sulfur–iodine + strong recuperation/topping</w:t>
            </w:r>
          </w:p>
        </w:tc>
        <w:tc>
          <w:tcPr>
            <w:tcW w:w="2095" w:type="dxa"/>
          </w:tcPr>
          <w:p w14:paraId="3AFFCABB" w14:textId="77777777" w:rsidR="009C3A0E" w:rsidRDefault="00994197">
            <w:pPr>
              <w:pStyle w:val="cTableBody"/>
              <w:keepNext/>
              <w:spacing w:before="0" w:beforeAutospacing="0" w:afterAutospacing="0"/>
            </w:pPr>
            <w:r>
              <w:t>~$450–550</w:t>
            </w:r>
          </w:p>
        </w:tc>
        <w:tc>
          <w:tcPr>
            <w:tcW w:w="1493" w:type="dxa"/>
          </w:tcPr>
          <w:p w14:paraId="02114932" w14:textId="77777777" w:rsidR="009C3A0E" w:rsidRDefault="00BB6F7D" w:rsidP="00BB6F7D">
            <w:pPr>
              <w:pStyle w:val="cTableBody"/>
              <w:keepNext/>
              <w:spacing w:before="0" w:beforeAutospacing="0" w:afterAutospacing="0"/>
              <w:jc w:val="center"/>
            </w:pPr>
            <w:r>
              <w:t>≈0 direct</w:t>
            </w:r>
            <w:r>
              <w:br/>
              <w:t>“green”</w:t>
            </w:r>
          </w:p>
        </w:tc>
        <w:tc>
          <w:tcPr>
            <w:tcW w:w="3495" w:type="dxa"/>
          </w:tcPr>
          <w:p w14:paraId="6C31ADCC" w14:textId="77777777" w:rsidR="009C3A0E" w:rsidRDefault="00994197">
            <w:pPr>
              <w:pStyle w:val="cTableBody"/>
              <w:keepNext/>
              <w:spacing w:before="0" w:beforeAutospacing="0" w:afterAutospacing="0"/>
            </w:pPr>
            <w:r>
              <w:t>Interesting R&amp;D target, not commercially demonstrated</w:t>
            </w:r>
          </w:p>
        </w:tc>
      </w:tr>
      <w:tr w:rsidR="009C3A0E" w14:paraId="2AE8CB4E" w14:textId="77777777" w:rsidTr="009C3A0E">
        <w:tc>
          <w:tcPr>
            <w:tcW w:w="1353" w:type="dxa"/>
          </w:tcPr>
          <w:p w14:paraId="209B4F9F" w14:textId="77777777" w:rsidR="009C3A0E" w:rsidRDefault="00994197">
            <w:pPr>
              <w:pStyle w:val="cTableBody"/>
              <w:keepNext/>
              <w:spacing w:before="0" w:beforeAutospacing="0" w:afterAutospacing="0"/>
            </w:pPr>
            <w:r>
              <w:t>Automated PWR</w:t>
            </w:r>
          </w:p>
        </w:tc>
        <w:tc>
          <w:tcPr>
            <w:tcW w:w="2400" w:type="dxa"/>
          </w:tcPr>
          <w:p w14:paraId="014A4D0C" w14:textId="77777777" w:rsidR="009C3A0E" w:rsidRDefault="00994197">
            <w:pPr>
              <w:pStyle w:val="cTableBody"/>
              <w:keepNext/>
              <w:spacing w:before="0" w:beforeAutospacing="0" w:afterAutospacing="0"/>
            </w:pPr>
            <w:r>
              <w:t>HTSE/SOEC → Haber–Bosch, optimized heat recovery</w:t>
            </w:r>
          </w:p>
        </w:tc>
        <w:tc>
          <w:tcPr>
            <w:tcW w:w="2095" w:type="dxa"/>
          </w:tcPr>
          <w:p w14:paraId="1A7A8760" w14:textId="77777777" w:rsidR="009C3A0E" w:rsidRDefault="00994197">
            <w:pPr>
              <w:pStyle w:val="cTableBody"/>
              <w:keepNext/>
              <w:spacing w:before="0" w:beforeAutospacing="0" w:afterAutospacing="0"/>
            </w:pPr>
            <w:r>
              <w:t>$350–390; central ≈ $365–375</w:t>
            </w:r>
          </w:p>
        </w:tc>
        <w:tc>
          <w:tcPr>
            <w:tcW w:w="1493" w:type="dxa"/>
          </w:tcPr>
          <w:p w14:paraId="69A82253" w14:textId="77777777" w:rsidR="009C3A0E" w:rsidRDefault="00BB6F7D" w:rsidP="00BB6F7D">
            <w:pPr>
              <w:pStyle w:val="cTableBody"/>
              <w:keepNext/>
              <w:spacing w:before="0" w:beforeAutospacing="0" w:afterAutospacing="0"/>
              <w:jc w:val="center"/>
            </w:pPr>
            <w:r>
              <w:t>≈0 direct</w:t>
            </w:r>
            <w:r>
              <w:br/>
              <w:t>“green”</w:t>
            </w:r>
          </w:p>
        </w:tc>
        <w:tc>
          <w:tcPr>
            <w:tcW w:w="3495" w:type="dxa"/>
          </w:tcPr>
          <w:p w14:paraId="7239B52F" w14:textId="77777777" w:rsidR="009C3A0E" w:rsidRDefault="00994197">
            <w:pPr>
              <w:pStyle w:val="cTableBody"/>
              <w:keepNext/>
              <w:spacing w:before="0" w:beforeAutospacing="0" w:afterAutospacing="0"/>
            </w:pPr>
            <w:r>
              <w:t>Lowest-cost nuclear route</w:t>
            </w:r>
          </w:p>
        </w:tc>
      </w:tr>
      <w:tr w:rsidR="009C3A0E" w14:paraId="082A6EFD" w14:textId="77777777" w:rsidTr="009C3A0E">
        <w:tc>
          <w:tcPr>
            <w:tcW w:w="1353" w:type="dxa"/>
          </w:tcPr>
          <w:p w14:paraId="3FCC334C" w14:textId="77777777" w:rsidR="009C3A0E" w:rsidRDefault="00994197">
            <w:pPr>
              <w:pStyle w:val="cTableBody"/>
              <w:keepNext/>
              <w:spacing w:before="0" w:beforeAutospacing="0" w:afterAutospacing="0"/>
            </w:pPr>
            <w:r>
              <w:t>Automated PWR</w:t>
            </w:r>
          </w:p>
        </w:tc>
        <w:tc>
          <w:tcPr>
            <w:tcW w:w="2400" w:type="dxa"/>
          </w:tcPr>
          <w:p w14:paraId="17D8BAC9" w14:textId="77777777" w:rsidR="009C3A0E" w:rsidRDefault="00994197">
            <w:pPr>
              <w:pStyle w:val="cTableBody"/>
              <w:keepNext/>
              <w:spacing w:before="0" w:beforeAutospacing="0" w:afterAutospacing="0"/>
            </w:pPr>
            <w:r>
              <w:t>Alkaline electrolysis → Haber–Bosch</w:t>
            </w:r>
          </w:p>
        </w:tc>
        <w:tc>
          <w:tcPr>
            <w:tcW w:w="2095" w:type="dxa"/>
          </w:tcPr>
          <w:p w14:paraId="70827221" w14:textId="77777777" w:rsidR="009C3A0E" w:rsidRDefault="00994197">
            <w:pPr>
              <w:pStyle w:val="cTableBody"/>
              <w:keepNext/>
              <w:spacing w:before="0" w:beforeAutospacing="0" w:afterAutospacing="0"/>
            </w:pPr>
            <w:r>
              <w:t>~$490–530</w:t>
            </w:r>
          </w:p>
        </w:tc>
        <w:tc>
          <w:tcPr>
            <w:tcW w:w="1493" w:type="dxa"/>
          </w:tcPr>
          <w:p w14:paraId="57615645" w14:textId="77777777" w:rsidR="009C3A0E" w:rsidRDefault="00BB6F7D" w:rsidP="00BB6F7D">
            <w:pPr>
              <w:pStyle w:val="cTableBody"/>
              <w:keepNext/>
              <w:spacing w:before="0" w:beforeAutospacing="0" w:afterAutospacing="0"/>
              <w:jc w:val="center"/>
            </w:pPr>
            <w:r>
              <w:t>≈0 direct</w:t>
            </w:r>
            <w:r>
              <w:br/>
              <w:t>“green”</w:t>
            </w:r>
          </w:p>
        </w:tc>
        <w:tc>
          <w:tcPr>
            <w:tcW w:w="3495" w:type="dxa"/>
          </w:tcPr>
          <w:p w14:paraId="4C377FB0" w14:textId="77777777" w:rsidR="009C3A0E" w:rsidRDefault="00994197">
            <w:pPr>
              <w:pStyle w:val="cTableBody"/>
              <w:keepNext/>
              <w:spacing w:before="0" w:beforeAutospacing="0" w:afterAutospacing="0"/>
            </w:pPr>
            <w:r>
              <w:t>Technically straightforward but electricity-intensive</w:t>
            </w:r>
          </w:p>
        </w:tc>
      </w:tr>
      <w:tr w:rsidR="009C3A0E" w14:paraId="7F6D2D35" w14:textId="77777777" w:rsidTr="009C3A0E">
        <w:tc>
          <w:tcPr>
            <w:tcW w:w="1353" w:type="dxa"/>
          </w:tcPr>
          <w:p w14:paraId="5EF09089" w14:textId="77777777" w:rsidR="009C3A0E" w:rsidRDefault="00994197">
            <w:pPr>
              <w:pStyle w:val="cTableBody"/>
              <w:keepNext/>
              <w:spacing w:before="0" w:beforeAutospacing="0" w:afterAutospacing="0"/>
            </w:pPr>
            <w:r>
              <w:t>Automated PWR</w:t>
            </w:r>
          </w:p>
        </w:tc>
        <w:tc>
          <w:tcPr>
            <w:tcW w:w="2400" w:type="dxa"/>
          </w:tcPr>
          <w:p w14:paraId="4DE5D38D" w14:textId="77777777" w:rsidR="009C3A0E" w:rsidRDefault="00994197">
            <w:pPr>
              <w:pStyle w:val="cTableBody"/>
              <w:keepNext/>
              <w:spacing w:before="0" w:beforeAutospacing="0" w:afterAutospacing="0"/>
            </w:pPr>
            <w:r>
              <w:t>PEM electrolysis → Haber–Bosch</w:t>
            </w:r>
          </w:p>
        </w:tc>
        <w:tc>
          <w:tcPr>
            <w:tcW w:w="2095" w:type="dxa"/>
          </w:tcPr>
          <w:p w14:paraId="04F1A4C3" w14:textId="77777777" w:rsidR="009C3A0E" w:rsidRDefault="00994197">
            <w:pPr>
              <w:pStyle w:val="cTableBody"/>
              <w:keepNext/>
              <w:spacing w:before="0" w:beforeAutospacing="0" w:afterAutospacing="0"/>
            </w:pPr>
            <w:r>
              <w:t>~$520–570</w:t>
            </w:r>
          </w:p>
        </w:tc>
        <w:tc>
          <w:tcPr>
            <w:tcW w:w="1493" w:type="dxa"/>
          </w:tcPr>
          <w:p w14:paraId="454A8CD4" w14:textId="77777777" w:rsidR="009C3A0E" w:rsidRDefault="00BB6F7D" w:rsidP="00BB6F7D">
            <w:pPr>
              <w:pStyle w:val="cTableBody"/>
              <w:keepNext/>
              <w:spacing w:before="0" w:beforeAutospacing="0" w:afterAutospacing="0"/>
              <w:jc w:val="center"/>
            </w:pPr>
            <w:r>
              <w:t>≈0 direct</w:t>
            </w:r>
            <w:r>
              <w:br/>
              <w:t>“green”</w:t>
            </w:r>
          </w:p>
        </w:tc>
        <w:tc>
          <w:tcPr>
            <w:tcW w:w="3495" w:type="dxa"/>
          </w:tcPr>
          <w:p w14:paraId="58097F80" w14:textId="77777777" w:rsidR="009C3A0E" w:rsidRDefault="00994197">
            <w:pPr>
              <w:pStyle w:val="cTableBody"/>
              <w:keepNext/>
              <w:spacing w:before="0" w:beforeAutospacing="0" w:afterAutospacing="0"/>
            </w:pPr>
            <w:r>
              <w:t>Similar issue; little reason to prefer it for baseload NH₃</w:t>
            </w:r>
          </w:p>
        </w:tc>
      </w:tr>
      <w:tr w:rsidR="009C3A0E" w14:paraId="348D8EF9" w14:textId="77777777" w:rsidTr="009C3A0E">
        <w:tc>
          <w:tcPr>
            <w:tcW w:w="1353" w:type="dxa"/>
          </w:tcPr>
          <w:p w14:paraId="1A6C570C" w14:textId="77777777" w:rsidR="009C3A0E" w:rsidRDefault="00994197">
            <w:pPr>
              <w:pStyle w:val="cTableBody"/>
              <w:spacing w:before="0"/>
            </w:pPr>
            <w:r>
              <w:t>Automated PWR</w:t>
            </w:r>
          </w:p>
        </w:tc>
        <w:tc>
          <w:tcPr>
            <w:tcW w:w="2400" w:type="dxa"/>
          </w:tcPr>
          <w:p w14:paraId="49542686" w14:textId="77777777" w:rsidR="009C3A0E" w:rsidRDefault="00994197">
            <w:pPr>
              <w:pStyle w:val="cTableBody"/>
              <w:spacing w:before="0"/>
            </w:pPr>
            <w:r>
              <w:t>Sulfur–iodine + massive electric topping</w:t>
            </w:r>
          </w:p>
        </w:tc>
        <w:tc>
          <w:tcPr>
            <w:tcW w:w="2095" w:type="dxa"/>
          </w:tcPr>
          <w:p w14:paraId="3C56C13D" w14:textId="77777777" w:rsidR="009C3A0E" w:rsidRDefault="00994197">
            <w:pPr>
              <w:pStyle w:val="cTableBody"/>
              <w:spacing w:before="0"/>
            </w:pPr>
            <w:r>
              <w:t>Probably &gt;$600</w:t>
            </w:r>
          </w:p>
        </w:tc>
        <w:tc>
          <w:tcPr>
            <w:tcW w:w="1493" w:type="dxa"/>
          </w:tcPr>
          <w:p w14:paraId="674023D7" w14:textId="77777777" w:rsidR="009C3A0E" w:rsidRDefault="00BB6F7D" w:rsidP="00BB6F7D">
            <w:pPr>
              <w:pStyle w:val="cTableBody"/>
              <w:spacing w:before="0"/>
              <w:jc w:val="center"/>
            </w:pPr>
            <w:r>
              <w:t>≈0 direct</w:t>
            </w:r>
            <w:r>
              <w:br/>
              <w:t>“green”</w:t>
            </w:r>
          </w:p>
        </w:tc>
        <w:tc>
          <w:tcPr>
            <w:tcW w:w="3495" w:type="dxa"/>
          </w:tcPr>
          <w:p w14:paraId="22ABD16A" w14:textId="77777777" w:rsidR="009C3A0E" w:rsidRDefault="00994197">
            <w:pPr>
              <w:pStyle w:val="cTableBody"/>
              <w:spacing w:before="0"/>
            </w:pPr>
            <w:r>
              <w:t>Not economically sensible; PWR temperature is far too low</w:t>
            </w:r>
          </w:p>
        </w:tc>
      </w:tr>
    </w:tbl>
    <w:p w14:paraId="35B2BA87" w14:textId="77777777" w:rsidR="009C3A0E" w:rsidRDefault="00994197">
      <w:pPr>
        <w:rPr>
          <w:rFonts w:asciiTheme="majorHAnsi" w:eastAsia="Times New Roman" w:hAnsiTheme="majorHAnsi" w:cstheme="majorHAnsi"/>
          <w:szCs w:val="24"/>
        </w:rPr>
      </w:pPr>
      <w:r>
        <w:rPr>
          <w:rFonts w:eastAsia="Times New Roman" w:cstheme="majorHAnsi"/>
          <w:szCs w:val="24"/>
        </w:rPr>
        <w:t xml:space="preserve">*The natural-gas number is a rough China planning range rather than a current Chinese plant quotation. Published international natural-gas ammonia production estimates are commonly around $250–450/t; China's relatively expensive gas generally pushes the economics toward the high end. </w:t>
      </w:r>
    </w:p>
    <w:p w14:paraId="24AA9F3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w:t>
      </w:r>
      <w:r>
        <w:rPr>
          <w:rFonts w:eastAsia="Times New Roman" w:cstheme="majorHAnsi"/>
          <w:b/>
          <w:bCs/>
          <w:szCs w:val="24"/>
        </w:rPr>
        <w:t>CO₂ column is direct/process CO₂ emitted at the ammonia plant</w:t>
      </w:r>
      <w:r>
        <w:rPr>
          <w:rFonts w:eastAsia="Times New Roman" w:cstheme="majorHAnsi"/>
          <w:szCs w:val="24"/>
        </w:rPr>
        <w:t xml:space="preserve">, not full lifecycle CO₂-equivalent. Nuclear and renewable routes have essentially no direct carbon-containing feedstock or fuel combustion in this configuration, so direct CO₂ is near zero; their lifecycle emissions are small but nonzero and should be calculated separately. Your industrial-platform proposal appropriately says that nuclear ammonia should not simply be labeled “green” without publishing lifecycle boundaries. A Chinese study likewise treats fully renewable electrolysis ammonia as zero direct </w:t>
      </w:r>
      <w:r>
        <w:rPr>
          <w:rFonts w:eastAsia="Times New Roman" w:cstheme="majorHAnsi"/>
          <w:szCs w:val="24"/>
        </w:rPr>
        <w:t xml:space="preserve">production-process CO₂ when the full energy chain is green. </w:t>
      </w:r>
    </w:p>
    <w:p w14:paraId="40ABCAF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For fossil ammonia, recent assessments emphasize just how important the feedstock is. China remains overwhelmingly coal-oriented in ammonia production; a Columbia analysis cites about </w:t>
      </w:r>
      <w:r>
        <w:rPr>
          <w:rFonts w:eastAsia="Times New Roman" w:cstheme="majorHAnsi"/>
          <w:b/>
          <w:bCs/>
          <w:szCs w:val="24"/>
        </w:rPr>
        <w:t>3.5–4.5 t CO₂/t NH₃ for coal ammonia</w:t>
      </w:r>
      <w:r>
        <w:rPr>
          <w:rFonts w:eastAsia="Times New Roman" w:cstheme="majorHAnsi"/>
          <w:szCs w:val="24"/>
        </w:rPr>
        <w:t xml:space="preserve">, versus roughly </w:t>
      </w:r>
      <w:r>
        <w:rPr>
          <w:rFonts w:eastAsia="Times New Roman" w:cstheme="majorHAnsi"/>
          <w:b/>
          <w:bCs/>
          <w:szCs w:val="24"/>
        </w:rPr>
        <w:t>1.8–2.6 t/t for natural-gas ammonia</w:t>
      </w:r>
      <w:r>
        <w:rPr>
          <w:rFonts w:eastAsia="Times New Roman" w:cstheme="majorHAnsi"/>
          <w:szCs w:val="24"/>
        </w:rPr>
        <w:t xml:space="preserve">. Your own discussion used about </w:t>
      </w:r>
      <w:r>
        <w:rPr>
          <w:rFonts w:eastAsia="Times New Roman" w:cstheme="majorHAnsi"/>
          <w:b/>
          <w:bCs/>
          <w:szCs w:val="24"/>
        </w:rPr>
        <w:t>4.6 t CO₂/t NH₃</w:t>
      </w:r>
      <w:r>
        <w:rPr>
          <w:rFonts w:eastAsia="Times New Roman" w:cstheme="majorHAnsi"/>
          <w:szCs w:val="24"/>
        </w:rPr>
        <w:t xml:space="preserve"> as the representative Chinese coal number, so I would use </w:t>
      </w:r>
      <w:r>
        <w:rPr>
          <w:rFonts w:eastAsia="Times New Roman" w:cstheme="majorHAnsi"/>
          <w:b/>
          <w:bCs/>
          <w:szCs w:val="24"/>
        </w:rPr>
        <w:t>4.6 t/t centrally</w:t>
      </w:r>
      <w:r>
        <w:rPr>
          <w:rFonts w:eastAsia="Times New Roman" w:cstheme="majorHAnsi"/>
          <w:szCs w:val="24"/>
        </w:rPr>
        <w:t xml:space="preserve"> in your business-plan calculations. </w:t>
      </w:r>
    </w:p>
    <w:p w14:paraId="19963D79" w14:textId="77777777" w:rsidR="009C3A0E" w:rsidRDefault="00994197">
      <w:pPr>
        <w:pStyle w:val="Heading2"/>
        <w:spacing w:before="280"/>
      </w:pPr>
      <w:r>
        <w:t>Why HTSE is the winner for both reactors</w:t>
      </w:r>
    </w:p>
    <w:p w14:paraId="33C1195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Your industrial-processing document already identifies the right competition: HTSE versus alkaline and PEM electrolysis. Low-temperature alkaline/PEM requires roughly </w:t>
      </w:r>
      <w:r>
        <w:rPr>
          <w:rFonts w:eastAsia="Times New Roman" w:cstheme="majorHAnsi"/>
          <w:b/>
          <w:bCs/>
          <w:szCs w:val="24"/>
        </w:rPr>
        <w:t>10 MWh-electricity per tonne of NH₃</w:t>
      </w:r>
      <w:r>
        <w:rPr>
          <w:rFonts w:eastAsia="Times New Roman" w:cstheme="majorHAnsi"/>
          <w:szCs w:val="24"/>
        </w:rPr>
        <w:t xml:space="preserve">, while nuclear HTSE needs roughly 6.8–7.0 MWh-electric plus about 1.1 MWh-thermal. </w:t>
      </w:r>
    </w:p>
    <w:p w14:paraId="11F5AB9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At $37/MWh HTR-PM electricity, 10 MWh alone costs roughly </w:t>
      </w:r>
      <w:r>
        <w:rPr>
          <w:rFonts w:eastAsia="Times New Roman" w:cstheme="majorHAnsi"/>
          <w:b/>
          <w:bCs/>
          <w:szCs w:val="24"/>
        </w:rPr>
        <w:t>$370/t</w:t>
      </w:r>
      <w:r>
        <w:rPr>
          <w:rFonts w:eastAsia="Times New Roman" w:cstheme="majorHAnsi"/>
          <w:szCs w:val="24"/>
        </w:rPr>
        <w:t xml:space="preserve"> before buying the electrolyzers, air separation, Haber–Bosch plant, refrigeration and storage. For the PWR it is about </w:t>
      </w:r>
      <w:r>
        <w:rPr>
          <w:rFonts w:eastAsia="Times New Roman" w:cstheme="majorHAnsi"/>
          <w:b/>
          <w:bCs/>
          <w:szCs w:val="24"/>
        </w:rPr>
        <w:t>$310/t</w:t>
      </w:r>
      <w:r>
        <w:rPr>
          <w:rFonts w:eastAsia="Times New Roman" w:cstheme="majorHAnsi"/>
          <w:szCs w:val="24"/>
        </w:rPr>
        <w:t>. That is why alkaline/PEM do not beat HTSE even though their technology maturity is attractive.</w:t>
      </w:r>
    </w:p>
    <w:p w14:paraId="18C3C3C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more interesting result is that </w:t>
      </w:r>
      <w:r>
        <w:rPr>
          <w:rFonts w:eastAsia="Times New Roman" w:cstheme="majorHAnsi"/>
          <w:b/>
          <w:bCs/>
          <w:szCs w:val="24"/>
        </w:rPr>
        <w:t>PWR HTSE beats HTR-PM HTSE even though HTR-PM supplies much hotter heat</w:t>
      </w:r>
      <w:r>
        <w:rPr>
          <w:rFonts w:eastAsia="Times New Roman" w:cstheme="majorHAnsi"/>
          <w:szCs w:val="24"/>
        </w:rPr>
        <w:t>. Most of the monetary input to HTSE ammonia is still electricity. The INL configuration discussed in your file was actually developed for a light-water reactor: PWR steam around 250°C makes and preheats steam and electrical topping raises it to SOEC temperature. Consequently, saving about $6/MWh on electricity with the PWR is worth substantially more than the HTR-PM's superior heat quality for this particular product.</w:t>
      </w:r>
    </w:p>
    <w:p w14:paraId="293A6490" w14:textId="77777777" w:rsidR="009C3A0E" w:rsidRDefault="00994197">
      <w:pPr>
        <w:spacing w:before="280" w:after="280"/>
        <w:rPr>
          <w:rFonts w:asciiTheme="majorHAnsi" w:eastAsia="Times New Roman" w:hAnsiTheme="majorHAnsi" w:cstheme="majorHAnsi"/>
          <w:szCs w:val="24"/>
        </w:rPr>
      </w:pPr>
      <w:r>
        <w:t xml:space="preserve">That does not make the HTR-PM inferior generally. It remains much more attractive for chemical processes that actually consume large quantities of 300–500+°C process heat. The distinction in the current companion site-construction proposal—approximately 520°C-class HTR-PM steam versus sub-300°C PWR steam—is important for those industries. </w:t>
      </w:r>
    </w:p>
    <w:p w14:paraId="4030B5CA" w14:textId="77777777" w:rsidR="009C3A0E" w:rsidRDefault="00994197">
      <w:pPr>
        <w:pStyle w:val="Heading2"/>
        <w:spacing w:before="280"/>
      </w:pPr>
      <w:r>
        <w:t>What waste-heat recovery and heat pumps should do</w:t>
      </w:r>
    </w:p>
    <w:p w14:paraId="27BAD92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would design both ammonia plants around aggressive heat integration, but I would </w:t>
      </w:r>
      <w:r>
        <w:rPr>
          <w:rFonts w:eastAsia="Times New Roman" w:cstheme="majorHAnsi"/>
          <w:b/>
          <w:bCs/>
          <w:szCs w:val="24"/>
        </w:rPr>
        <w:t>not</w:t>
      </w:r>
      <w:r>
        <w:rPr>
          <w:rFonts w:eastAsia="Times New Roman" w:cstheme="majorHAnsi"/>
          <w:szCs w:val="24"/>
        </w:rPr>
        <w:t xml:space="preserve"> assume that a heat pump magically supplies the 800°C SOEC or 900°C sulfur–iodine requirement.</w:t>
      </w:r>
    </w:p>
    <w:p w14:paraId="462A888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valuable opportunities are lower-temperature ones: recover Haber–Bosch reaction heat to make steam; recover compressor/intercooler and ammonia-condenser heat; use mechanical-vapor recompression or industrial heat pumps to turn perhaps 60–100°C waste heat into 120–200°C process heat; preheat electrolysis water and steam; drive evaporators and water treatment; and reduce refrigeration and auxiliary-steam loads. Your discussion specifically identifies these uses and cautions against trying to raise low-gra</w:t>
      </w:r>
      <w:r>
        <w:rPr>
          <w:rFonts w:eastAsia="Times New Roman" w:cstheme="majorHAnsi"/>
          <w:szCs w:val="24"/>
        </w:rPr>
        <w:t xml:space="preserve">de waste heat all the way to electrolysis temperature. </w:t>
      </w:r>
    </w:p>
    <w:p w14:paraId="68C4CCE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Some of that heat recovery is </w:t>
      </w:r>
      <w:r>
        <w:rPr>
          <w:rFonts w:eastAsia="Times New Roman" w:cstheme="majorHAnsi"/>
          <w:b/>
          <w:bCs/>
          <w:szCs w:val="24"/>
        </w:rPr>
        <w:t>already embedded in the underlying HTSE and ammonia cost assumptions</w:t>
      </w:r>
      <w:r>
        <w:rPr>
          <w:rFonts w:eastAsia="Times New Roman" w:cstheme="majorHAnsi"/>
          <w:szCs w:val="24"/>
        </w:rPr>
        <w:t xml:space="preserve">, so I would not subtract another huge amount. I would treat optimized waste-heat recovery, heat pumps, common utilities and repeated factory construction as what moves the PWR from roughly </w:t>
      </w:r>
      <w:r>
        <w:rPr>
          <w:rFonts w:eastAsia="Times New Roman" w:cstheme="majorHAnsi"/>
          <w:b/>
          <w:bCs/>
          <w:szCs w:val="24"/>
        </w:rPr>
        <w:t>$375–400/t toward $350–370/t</w:t>
      </w:r>
      <w:r>
        <w:rPr>
          <w:rFonts w:eastAsia="Times New Roman" w:cstheme="majorHAnsi"/>
          <w:szCs w:val="24"/>
        </w:rPr>
        <w:t xml:space="preserve">, and the HTR-PM from roughly </w:t>
      </w:r>
      <w:r>
        <w:rPr>
          <w:rFonts w:eastAsia="Times New Roman" w:cstheme="majorHAnsi"/>
          <w:b/>
          <w:bCs/>
          <w:szCs w:val="24"/>
        </w:rPr>
        <w:t>$420/t toward $390–410/t</w:t>
      </w:r>
      <w:r>
        <w:rPr>
          <w:rFonts w:eastAsia="Times New Roman" w:cstheme="majorHAnsi"/>
          <w:szCs w:val="24"/>
        </w:rPr>
        <w:t>.</w:t>
      </w:r>
    </w:p>
    <w:p w14:paraId="60F5B1A7" w14:textId="77777777" w:rsidR="009C3A0E" w:rsidRDefault="00994197">
      <w:pPr>
        <w:pStyle w:val="Heading2"/>
        <w:spacing w:before="280"/>
      </w:pPr>
      <w:r>
        <w:t>Why sulfur–iodine probably does not win</w:t>
      </w:r>
    </w:p>
    <w:p w14:paraId="4CAD378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For the existing HTR-PM, sulfur–iodine has a temperature mismatch. HTR-PM reactor outlet temperature is around 750°C and useful steam is roughly 500°C, whereas sulfuric-acid decomposition in the S–I cycle needs roughly </w:t>
      </w:r>
      <w:r>
        <w:rPr>
          <w:rFonts w:eastAsia="Times New Roman" w:cstheme="majorHAnsi"/>
          <w:b/>
          <w:bCs/>
          <w:szCs w:val="24"/>
        </w:rPr>
        <w:t>850–900°C</w:t>
      </w:r>
      <w:r>
        <w:rPr>
          <w:rFonts w:eastAsia="Times New Roman" w:cstheme="majorHAnsi"/>
          <w:szCs w:val="24"/>
        </w:rPr>
        <w:t xml:space="preserve">. It therefore requires electrical topping or a future hotter reactor. </w:t>
      </w:r>
    </w:p>
    <w:p w14:paraId="2C38D49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38.1%-efficient S–I reference case also consumes roughly 18.2 MWh-thermal per tonne of ammonia just to produce the necessary hydrogen. At $15/MWh HTR-PM heat that is about </w:t>
      </w:r>
      <w:r>
        <w:rPr>
          <w:rFonts w:eastAsia="Times New Roman" w:cstheme="majorHAnsi"/>
          <w:b/>
          <w:bCs/>
          <w:szCs w:val="24"/>
        </w:rPr>
        <w:t>$274/t for reactor heat alone</w:t>
      </w:r>
      <w:r>
        <w:rPr>
          <w:rFonts w:eastAsia="Times New Roman" w:cstheme="majorHAnsi"/>
          <w:szCs w:val="24"/>
        </w:rPr>
        <w:t xml:space="preserve">, before the very substantial acid/iodine plant, high-temperature heat exchangers, nitrogen separation, Haber–Bosch, refrigeration and storage. Strong internal recuperation helps, but the plant is much more complicated than an SOEC platform. Hence my </w:t>
      </w:r>
      <w:r>
        <w:rPr>
          <w:rFonts w:eastAsia="Times New Roman" w:cstheme="majorHAnsi"/>
          <w:b/>
          <w:bCs/>
          <w:szCs w:val="24"/>
        </w:rPr>
        <w:t>~$500–620/t</w:t>
      </w:r>
      <w:r>
        <w:rPr>
          <w:rFonts w:eastAsia="Times New Roman" w:cstheme="majorHAnsi"/>
          <w:szCs w:val="24"/>
        </w:rPr>
        <w:t xml:space="preserve"> present-HTR-PM estimate.</w:t>
      </w:r>
    </w:p>
    <w:p w14:paraId="1B3FAF4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 50%-efficient future S–I cycle could lower that materially, potentially toward </w:t>
      </w:r>
      <w:r>
        <w:rPr>
          <w:rFonts w:eastAsia="Times New Roman" w:cstheme="majorHAnsi"/>
          <w:b/>
          <w:bCs/>
          <w:szCs w:val="24"/>
        </w:rPr>
        <w:t>$450–550/t</w:t>
      </w:r>
      <w:r>
        <w:rPr>
          <w:rFonts w:eastAsia="Times New Roman" w:cstheme="majorHAnsi"/>
          <w:szCs w:val="24"/>
        </w:rPr>
        <w:t>, but that is an R&amp;D outcome rather than something I would put into the central economic case.</w:t>
      </w:r>
    </w:p>
    <w:p w14:paraId="7534AA4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a PWR, sulfur–iodine makes even less sense because the reactor cannot directly provide the high-temperature heat. The PWR should simply use HTSE.</w:t>
      </w:r>
    </w:p>
    <w:p w14:paraId="00767F48" w14:textId="77777777" w:rsidR="009C3A0E" w:rsidRDefault="00994197">
      <w:pPr>
        <w:pStyle w:val="Heading2"/>
        <w:spacing w:before="280"/>
      </w:pPr>
      <w:r>
        <w:t>What does fossil ammonia actually cost in China today?</w:t>
      </w:r>
    </w:p>
    <w:p w14:paraId="5CFD93E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There is an important distinction between </w:t>
      </w:r>
      <w:r>
        <w:rPr>
          <w:rFonts w:eastAsia="Times New Roman" w:cstheme="majorHAnsi"/>
          <w:b/>
          <w:bCs/>
          <w:szCs w:val="24"/>
        </w:rPr>
        <w:t>production cost</w:t>
      </w:r>
      <w:r>
        <w:rPr>
          <w:rFonts w:eastAsia="Times New Roman" w:cstheme="majorHAnsi"/>
          <w:szCs w:val="24"/>
        </w:rPr>
        <w:t xml:space="preserve"> and </w:t>
      </w:r>
      <w:r>
        <w:rPr>
          <w:rFonts w:eastAsia="Times New Roman" w:cstheme="majorHAnsi"/>
          <w:b/>
          <w:bCs/>
          <w:szCs w:val="24"/>
        </w:rPr>
        <w:t>market price</w:t>
      </w:r>
      <w:r>
        <w:rPr>
          <w:rFonts w:eastAsia="Times New Roman" w:cstheme="majorHAnsi"/>
          <w:szCs w:val="24"/>
        </w:rPr>
        <w:t>.</w:t>
      </w:r>
    </w:p>
    <w:p w14:paraId="071F8E8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RMI's detailed China ammonia analysis uses </w:t>
      </w:r>
      <w:r>
        <w:rPr>
          <w:rFonts w:eastAsia="Times New Roman" w:cstheme="majorHAnsi"/>
          <w:b/>
          <w:bCs/>
          <w:szCs w:val="24"/>
        </w:rPr>
        <w:t>RMB 2,200–2,500/t</w:t>
      </w:r>
      <w:r>
        <w:rPr>
          <w:rFonts w:eastAsia="Times New Roman" w:cstheme="majorHAnsi"/>
          <w:szCs w:val="24"/>
        </w:rPr>
        <w:t xml:space="preserve"> as the conventional coal-ammonia cost range and </w:t>
      </w:r>
      <w:r>
        <w:rPr>
          <w:rFonts w:eastAsia="Times New Roman" w:cstheme="majorHAnsi"/>
          <w:b/>
          <w:bCs/>
          <w:szCs w:val="24"/>
        </w:rPr>
        <w:t>RMB 2,350/t</w:t>
      </w:r>
      <w:r>
        <w:rPr>
          <w:rFonts w:eastAsia="Times New Roman" w:cstheme="majorHAnsi"/>
          <w:szCs w:val="24"/>
        </w:rPr>
        <w:t xml:space="preserve"> as its central benchmark. At the August 8, 2026 exchange rate of roughly RMB 6.75/$, that corresponds to approximately </w:t>
      </w:r>
      <w:r>
        <w:rPr>
          <w:rFonts w:eastAsia="Times New Roman" w:cstheme="majorHAnsi"/>
          <w:b/>
          <w:bCs/>
          <w:szCs w:val="24"/>
        </w:rPr>
        <w:t>$326–371/t</w:t>
      </w:r>
      <w:r>
        <w:rPr>
          <w:rFonts w:eastAsia="Times New Roman" w:cstheme="majorHAnsi"/>
          <w:szCs w:val="24"/>
        </w:rPr>
        <w:t xml:space="preserve">, with a central value of about </w:t>
      </w:r>
      <w:r>
        <w:rPr>
          <w:rFonts w:eastAsia="Times New Roman" w:cstheme="majorHAnsi"/>
          <w:b/>
          <w:bCs/>
          <w:szCs w:val="24"/>
        </w:rPr>
        <w:t>$348/t</w:t>
      </w:r>
      <w:r>
        <w:rPr>
          <w:rFonts w:eastAsia="Times New Roman" w:cstheme="majorHAnsi"/>
          <w:szCs w:val="24"/>
        </w:rPr>
        <w:t xml:space="preserve">. </w:t>
      </w:r>
    </w:p>
    <w:p w14:paraId="60AB001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actual market is currently slightly lower. On August 7, 2026, the reported Chinese liquid-ammonia domestic spot price was about </w:t>
      </w:r>
      <w:r>
        <w:rPr>
          <w:rFonts w:eastAsia="Times New Roman" w:cstheme="majorHAnsi"/>
          <w:b/>
          <w:bCs/>
          <w:szCs w:val="24"/>
        </w:rPr>
        <w:t>RMB 2,203/t</w:t>
      </w:r>
      <w:r>
        <w:rPr>
          <w:rFonts w:eastAsia="Times New Roman" w:cstheme="majorHAnsi"/>
          <w:szCs w:val="24"/>
        </w:rPr>
        <w:t xml:space="preserve">, or roughly </w:t>
      </w:r>
      <w:r>
        <w:rPr>
          <w:rFonts w:eastAsia="Times New Roman" w:cstheme="majorHAnsi"/>
          <w:b/>
          <w:bCs/>
          <w:szCs w:val="24"/>
        </w:rPr>
        <w:t>$327/t</w:t>
      </w:r>
      <w:r>
        <w:rPr>
          <w:rFonts w:eastAsia="Times New Roman" w:cstheme="majorHAnsi"/>
          <w:szCs w:val="24"/>
        </w:rPr>
        <w:t xml:space="preserve">. A separate June 2026 China FOB benchmark was </w:t>
      </w:r>
      <w:r>
        <w:rPr>
          <w:rFonts w:eastAsia="Times New Roman" w:cstheme="majorHAnsi"/>
          <w:b/>
          <w:bCs/>
          <w:szCs w:val="24"/>
        </w:rPr>
        <w:t>$339/t</w:t>
      </w:r>
      <w:r>
        <w:rPr>
          <w:rFonts w:eastAsia="Times New Roman" w:cstheme="majorHAnsi"/>
          <w:szCs w:val="24"/>
        </w:rPr>
        <w:t xml:space="preserve">. </w:t>
      </w:r>
    </w:p>
    <w:p w14:paraId="1B30788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So, for your documents, I would use:</w:t>
      </w:r>
    </w:p>
    <w:p w14:paraId="2D8BE580" w14:textId="77777777" w:rsidR="009C3A0E" w:rsidRDefault="00994197" w:rsidP="006D7F87">
      <w:pPr>
        <w:spacing w:before="160" w:beforeAutospacing="0" w:after="160" w:afterAutospacing="0"/>
        <w:ind w:left="446"/>
        <w:rPr>
          <w:rFonts w:asciiTheme="majorHAnsi" w:eastAsia="Times New Roman" w:hAnsiTheme="majorHAnsi" w:cstheme="majorHAnsi"/>
          <w:color w:val="4F81BD" w:themeColor="accent1"/>
          <w:szCs w:val="24"/>
        </w:rPr>
      </w:pPr>
      <w:r>
        <w:rPr>
          <w:rFonts w:eastAsia="Times New Roman" w:cstheme="majorHAnsi"/>
          <w:color w:val="4F81BD" w:themeColor="accent1"/>
          <w:szCs w:val="24"/>
        </w:rPr>
        <w:t>Current Chinese coal ammonia production cost: ≈ $350/t, with a reasonable $325–370/t range.</w:t>
      </w:r>
    </w:p>
    <w:p w14:paraId="6AF023E8" w14:textId="77777777" w:rsidR="009C3A0E" w:rsidRDefault="00994197" w:rsidP="006D7F87">
      <w:pPr>
        <w:spacing w:before="160" w:beforeAutospacing="0" w:after="160" w:afterAutospacing="0"/>
        <w:ind w:left="446"/>
        <w:rPr>
          <w:rFonts w:asciiTheme="majorHAnsi" w:eastAsia="Times New Roman" w:hAnsiTheme="majorHAnsi" w:cstheme="majorHAnsi"/>
          <w:color w:val="4F81BD" w:themeColor="accent1"/>
          <w:szCs w:val="24"/>
        </w:rPr>
      </w:pPr>
      <w:r>
        <w:rPr>
          <w:rFonts w:eastAsia="Times New Roman" w:cstheme="majorHAnsi"/>
          <w:color w:val="4F81BD" w:themeColor="accent1"/>
          <w:szCs w:val="24"/>
        </w:rPr>
        <w:t>Current Chinese ammonia market price: ≈ $325–340/t.</w:t>
      </w:r>
    </w:p>
    <w:p w14:paraId="199E7544" w14:textId="77777777" w:rsidR="009C3A0E" w:rsidRDefault="00994197">
      <w:pPr>
        <w:pStyle w:val="Heading2"/>
        <w:spacing w:before="280"/>
      </w:pPr>
      <w:r>
        <w:t>The main result</w:t>
      </w:r>
    </w:p>
    <w:p w14:paraId="6F05807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comparison I would carry forward in the Climate Moonshot work is therefore:</w:t>
      </w:r>
    </w:p>
    <w:p w14:paraId="411DB84F" w14:textId="77777777" w:rsidR="009C3A0E" w:rsidRDefault="00994197" w:rsidP="00D7515C">
      <w:pPr>
        <w:spacing w:before="160" w:beforeAutospacing="0" w:after="160" w:afterAutospacing="0"/>
        <w:ind w:left="360"/>
        <w:rPr>
          <w:rFonts w:asciiTheme="majorHAnsi" w:eastAsia="Times New Roman" w:hAnsiTheme="majorHAnsi" w:cstheme="majorHAnsi"/>
          <w:color w:val="4F81BD" w:themeColor="accent1"/>
          <w:szCs w:val="24"/>
        </w:rPr>
      </w:pPr>
      <w:r>
        <w:rPr>
          <w:rFonts w:eastAsia="Times New Roman" w:cstheme="majorHAnsi"/>
          <w:color w:val="4F81BD" w:themeColor="accent1"/>
          <w:szCs w:val="24"/>
        </w:rPr>
        <w:t>Coal incumbent: ~$350/t and ~4.6 t CO₂/t NH₃.</w:t>
      </w:r>
    </w:p>
    <w:p w14:paraId="2C348458" w14:textId="77777777" w:rsidR="009C3A0E" w:rsidRDefault="00994197" w:rsidP="00D7515C">
      <w:pPr>
        <w:spacing w:before="160" w:beforeAutospacing="0" w:after="160" w:afterAutospacing="0"/>
        <w:ind w:left="360"/>
        <w:rPr>
          <w:rFonts w:asciiTheme="majorHAnsi" w:eastAsia="Times New Roman" w:hAnsiTheme="majorHAnsi" w:cstheme="majorHAnsi"/>
          <w:color w:val="4F81BD" w:themeColor="accent1"/>
          <w:szCs w:val="24"/>
        </w:rPr>
      </w:pPr>
      <w:r>
        <w:rPr>
          <w:rFonts w:eastAsia="Times New Roman" w:cstheme="majorHAnsi"/>
          <w:color w:val="4F81BD" w:themeColor="accent1"/>
          <w:szCs w:val="24"/>
        </w:rPr>
        <w:t>Automated PWR + factory-platform HTSE: ~$365/t and ≈0 direct CO₂/t.</w:t>
      </w:r>
    </w:p>
    <w:p w14:paraId="75C5EF0B" w14:textId="77777777" w:rsidR="009C3A0E" w:rsidRDefault="00994197" w:rsidP="00D7515C">
      <w:pPr>
        <w:spacing w:before="160" w:beforeAutospacing="0" w:after="160" w:afterAutospacing="0"/>
        <w:ind w:left="360"/>
        <w:rPr>
          <w:rFonts w:asciiTheme="majorHAnsi" w:eastAsia="Times New Roman" w:hAnsiTheme="majorHAnsi" w:cstheme="majorHAnsi"/>
          <w:color w:val="4F81BD" w:themeColor="accent1"/>
          <w:szCs w:val="24"/>
        </w:rPr>
      </w:pPr>
      <w:r>
        <w:rPr>
          <w:rFonts w:eastAsia="Times New Roman" w:cstheme="majorHAnsi"/>
          <w:color w:val="4F81BD" w:themeColor="accent1"/>
          <w:szCs w:val="24"/>
        </w:rPr>
        <w:t>Automated HTR-PM + factory-platform HTSE: ~$405/t and ≈0 direct CO₂/t.</w:t>
      </w:r>
    </w:p>
    <w:p w14:paraId="45707959" w14:textId="77777777" w:rsidR="009C3A0E" w:rsidRDefault="00994197">
      <w:pPr>
        <w:spacing w:before="280" w:after="280"/>
        <w:rPr>
          <w:rFonts w:asciiTheme="majorHAnsi" w:eastAsia="Times New Roman" w:hAnsiTheme="majorHAnsi" w:cstheme="majorHAnsi"/>
          <w:szCs w:val="24"/>
        </w:rPr>
      </w:pPr>
      <w:r>
        <w:t>That is substantially more interesting than the older $450 HTR-PM / $400 PWR comparison in the Discussion document, because the current companion site-construction proposal has lowered the assumed automated-reactor LCOEs to $37 and $31/MWh respectively. The implication is that an optimized automated-PWR/HTSE/ammonia super-site could conceivably get within a few tens of dollars per tonne of today's Chinese coal ammonia without a carbon price. It would not necessarily beat the cash marginal cost of an already</w:t>
      </w:r>
      <w:r>
        <w:t xml:space="preserve">-built coal-ammonia plant, but it could become very competitive for new ammonia capacity while eliminating roughly 4–5 tonnes of direct CO₂ for every tonne of ammonia produced. </w:t>
      </w:r>
    </w:p>
    <w:p w14:paraId="06EC2B0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biggest technical/economic number to validate in the proposed $1B platform fund is therefore not sulfur–iodine efficiency. It is whether repeated Chinese factory-made </w:t>
      </w:r>
      <w:r>
        <w:rPr>
          <w:rFonts w:eastAsia="Times New Roman" w:cstheme="majorHAnsi"/>
          <w:b/>
          <w:bCs/>
          <w:szCs w:val="24"/>
        </w:rPr>
        <w:t>HTSE + air-separation + Haber–Bosch + heat-recovery platforms can actually achieve roughly $130–160/t of non-energy cost at very high utilization</w:t>
      </w:r>
      <w:r>
        <w:rPr>
          <w:rFonts w:eastAsia="Times New Roman" w:cstheme="majorHAnsi"/>
          <w:szCs w:val="24"/>
        </w:rPr>
        <w:t>. If they can, the automated-PWR case becomes particularly compelling.</w:t>
      </w:r>
    </w:p>
    <w:p w14:paraId="2D3B1092" w14:textId="77777777" w:rsidR="009C3A0E" w:rsidRDefault="00994197">
      <w:pPr>
        <w:pStyle w:val="Heading1"/>
        <w:spacing w:before="280" w:after="280"/>
        <w:rPr>
          <w:rFonts w:cstheme="majorHAnsi"/>
        </w:rPr>
      </w:pPr>
      <w:bookmarkStart w:id="60" w:name="_Toc237345531"/>
      <w:bookmarkStart w:id="61" w:name="_Toc237471113"/>
      <w:bookmarkStart w:id="62" w:name="_Toc238129768"/>
      <w:bookmarkStart w:id="63" w:name="_Toc238205557"/>
      <w:r>
        <w:rPr>
          <w:rFonts w:cstheme="majorHAnsi"/>
        </w:rPr>
        <w:t>Ships Powered by Ammonia</w:t>
      </w:r>
      <w:bookmarkEnd w:id="60"/>
      <w:bookmarkEnd w:id="61"/>
      <w:bookmarkEnd w:id="62"/>
      <w:bookmarkEnd w:id="63"/>
    </w:p>
    <w:p w14:paraId="4DF77BE4" w14:textId="77777777" w:rsidR="009C3A0E" w:rsidRDefault="00994197">
      <w:pPr>
        <w:pStyle w:val="cUserPromptText"/>
        <w:spacing w:beforeAutospacing="0" w:afterAutospacing="0"/>
        <w:rPr>
          <w:rFonts w:asciiTheme="majorHAnsi" w:eastAsia="Times New Roman" w:hAnsiTheme="majorHAnsi" w:cstheme="majorHAnsi"/>
          <w:szCs w:val="24"/>
        </w:rPr>
      </w:pPr>
      <w:r>
        <w:rPr>
          <w:rStyle w:val="UserPromptHeadingChar"/>
        </w:rPr>
        <w:t xml:space="preserve">Prompt to AI: </w:t>
      </w:r>
      <w:r>
        <w:rPr>
          <w:rStyle w:val="UserPromptTextChar"/>
        </w:rPr>
        <w:t xml:space="preserve">What are the different ways to power large ships with liquid ammonia? Assume we use high temperature fuel cells on ships to convert ammonia to electricity, to power electric motors. What is the temperature of the fuel cell with each method? What are the advantages and disadvantages of each method? Assume: (a) we do what we can to lower cost, (b) we do waste heat recovery, (c) we use heat pumps to lower cost if we can, and (d) we filter/scrub the exhaust as needed to keep pollutants at an acceptable level. </w:t>
      </w:r>
    </w:p>
    <w:p w14:paraId="2A58C547" w14:textId="77777777" w:rsidR="009C3A0E" w:rsidRDefault="00994197">
      <w:pPr>
        <w:spacing w:before="280" w:after="280"/>
      </w:pPr>
      <w:r>
        <w:rPr>
          <w:b/>
          <w:color w:val="4F81BD"/>
          <w:u w:val="single"/>
        </w:rPr>
        <w:t>Response From AI:</w:t>
      </w:r>
    </w:p>
    <w:p w14:paraId="2A94FA6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Yes. If the design constraint is </w:t>
      </w:r>
      <w:r>
        <w:rPr>
          <w:rFonts w:eastAsia="Times New Roman" w:cstheme="majorHAnsi"/>
          <w:b/>
          <w:bCs/>
          <w:szCs w:val="24"/>
        </w:rPr>
        <w:t>liquid ammonia → high-temperature fuel cell → electricity → electric propulsion motors</w:t>
      </w:r>
      <w:r>
        <w:rPr>
          <w:rFonts w:eastAsia="Times New Roman" w:cstheme="majorHAnsi"/>
          <w:szCs w:val="24"/>
        </w:rPr>
        <w:t xml:space="preserve">, there are several distinct architectures. For a very large ship, I would concentrate on </w:t>
      </w:r>
      <w:r>
        <w:rPr>
          <w:rFonts w:eastAsia="Times New Roman" w:cstheme="majorHAnsi"/>
          <w:b/>
          <w:bCs/>
          <w:szCs w:val="24"/>
        </w:rPr>
        <w:t>SOFCs</w:t>
      </w:r>
      <w:r>
        <w:rPr>
          <w:rFonts w:eastAsia="Times New Roman" w:cstheme="majorHAnsi"/>
          <w:szCs w:val="24"/>
        </w:rPr>
        <w:t xml:space="preserve"> today and keep </w:t>
      </w:r>
      <w:r>
        <w:rPr>
          <w:rFonts w:eastAsia="Times New Roman" w:cstheme="majorHAnsi"/>
          <w:b/>
          <w:bCs/>
          <w:szCs w:val="24"/>
        </w:rPr>
        <w:t>protonic ceramic fuel cells (PCFCs)</w:t>
      </w:r>
      <w:r>
        <w:rPr>
          <w:rFonts w:eastAsia="Times New Roman" w:cstheme="majorHAnsi"/>
          <w:szCs w:val="24"/>
        </w:rPr>
        <w:t xml:space="preserve"> as a potentially lower-cost next-generation option. Conventional oxide-ion SOFCs generally operate around 500–1,000°C, while proton-conducting ceramic cells operate roughly 400–700°C. </w:t>
      </w:r>
    </w:p>
    <w:p w14:paraId="30571171" w14:textId="77777777" w:rsidR="009C3A0E" w:rsidRDefault="00994197">
      <w:pPr>
        <w:pStyle w:val="cSubject"/>
      </w:pPr>
      <w:r>
        <w:t>Main ammonia-to-electricity options for a large ship</w:t>
      </w:r>
    </w:p>
    <w:tbl>
      <w:tblPr>
        <w:tblStyle w:val="gswTableStyle"/>
        <w:tblW w:w="10152" w:type="dxa"/>
        <w:tblLayout w:type="fixed"/>
        <w:tblLook w:val="04A0" w:firstRow="1" w:lastRow="0" w:firstColumn="1" w:lastColumn="0" w:noHBand="0" w:noVBand="1"/>
      </w:tblPr>
      <w:tblGrid>
        <w:gridCol w:w="324"/>
        <w:gridCol w:w="2625"/>
        <w:gridCol w:w="1763"/>
        <w:gridCol w:w="3029"/>
        <w:gridCol w:w="2411"/>
      </w:tblGrid>
      <w:tr w:rsidR="009C3A0E" w14:paraId="7025FD88" w14:textId="77777777" w:rsidTr="00D7515C">
        <w:trPr>
          <w:cnfStyle w:val="100000000000" w:firstRow="1" w:lastRow="0" w:firstColumn="0" w:lastColumn="0" w:oddVBand="0" w:evenVBand="0" w:oddHBand="0" w:evenHBand="0" w:firstRowFirstColumn="0" w:firstRowLastColumn="0" w:lastRowFirstColumn="0" w:lastRowLastColumn="0"/>
          <w:tblHeader/>
        </w:trPr>
        <w:tc>
          <w:tcPr>
            <w:tcW w:w="324" w:type="dxa"/>
          </w:tcPr>
          <w:p w14:paraId="1744F598" w14:textId="77777777" w:rsidR="009C3A0E" w:rsidRDefault="00994197">
            <w:pPr>
              <w:pStyle w:val="cTableHeader"/>
              <w:spacing w:before="0" w:after="0"/>
            </w:pPr>
            <w:r>
              <w:t>#</w:t>
            </w:r>
          </w:p>
        </w:tc>
        <w:tc>
          <w:tcPr>
            <w:tcW w:w="2625" w:type="dxa"/>
          </w:tcPr>
          <w:p w14:paraId="4B8E7E04" w14:textId="77777777" w:rsidR="009C3A0E" w:rsidRDefault="00994197">
            <w:pPr>
              <w:pStyle w:val="cTableHeader"/>
              <w:spacing w:before="0" w:after="0"/>
            </w:pPr>
            <w:r>
              <w:t>Architecture</w:t>
            </w:r>
          </w:p>
        </w:tc>
        <w:tc>
          <w:tcPr>
            <w:tcW w:w="1763" w:type="dxa"/>
          </w:tcPr>
          <w:p w14:paraId="34854954" w14:textId="77777777" w:rsidR="009C3A0E" w:rsidRDefault="00994197">
            <w:pPr>
              <w:pStyle w:val="cTableHeader"/>
              <w:spacing w:before="0" w:after="0"/>
            </w:pPr>
            <w:r>
              <w:t>Fuel-cell temperature</w:t>
            </w:r>
          </w:p>
        </w:tc>
        <w:tc>
          <w:tcPr>
            <w:tcW w:w="3029" w:type="dxa"/>
          </w:tcPr>
          <w:p w14:paraId="785AE83D" w14:textId="77777777" w:rsidR="009C3A0E" w:rsidRDefault="00994197">
            <w:pPr>
              <w:pStyle w:val="cTableHeader"/>
              <w:spacing w:before="0" w:after="0"/>
            </w:pPr>
            <w:r>
              <w:t>What happens to NH₃</w:t>
            </w:r>
          </w:p>
        </w:tc>
        <w:tc>
          <w:tcPr>
            <w:tcW w:w="2411" w:type="dxa"/>
          </w:tcPr>
          <w:p w14:paraId="528C6C5D" w14:textId="77777777" w:rsidR="009C3A0E" w:rsidRDefault="00994197">
            <w:pPr>
              <w:pStyle w:val="cTableHeader"/>
              <w:spacing w:before="0" w:after="0"/>
            </w:pPr>
            <w:r>
              <w:t>Relative attractiveness</w:t>
            </w:r>
          </w:p>
        </w:tc>
      </w:tr>
      <w:tr w:rsidR="009C3A0E" w14:paraId="140E42E0" w14:textId="77777777" w:rsidTr="00D7515C">
        <w:tc>
          <w:tcPr>
            <w:tcW w:w="324" w:type="dxa"/>
          </w:tcPr>
          <w:p w14:paraId="7C7C2AC3" w14:textId="77777777" w:rsidR="009C3A0E" w:rsidRDefault="00994197">
            <w:pPr>
              <w:pStyle w:val="cTableBody"/>
              <w:spacing w:before="0"/>
            </w:pPr>
            <w:r>
              <w:t>1</w:t>
            </w:r>
          </w:p>
        </w:tc>
        <w:tc>
          <w:tcPr>
            <w:tcW w:w="2625" w:type="dxa"/>
          </w:tcPr>
          <w:p w14:paraId="42816B75" w14:textId="77777777" w:rsidR="009C3A0E" w:rsidRDefault="00994197">
            <w:pPr>
              <w:pStyle w:val="cTableBody"/>
              <w:spacing w:before="0"/>
            </w:pPr>
            <w:r>
              <w:t>Direct-ammonia SOFC, internal cracking</w:t>
            </w:r>
          </w:p>
        </w:tc>
        <w:tc>
          <w:tcPr>
            <w:tcW w:w="1763" w:type="dxa"/>
          </w:tcPr>
          <w:p w14:paraId="7A0441A4" w14:textId="77777777" w:rsidR="009C3A0E" w:rsidRDefault="00994197">
            <w:pPr>
              <w:pStyle w:val="cTableBody"/>
              <w:spacing w:before="0"/>
            </w:pPr>
            <w:r>
              <w:t>~700–850°C</w:t>
            </w:r>
          </w:p>
        </w:tc>
        <w:tc>
          <w:tcPr>
            <w:tcW w:w="3029" w:type="dxa"/>
          </w:tcPr>
          <w:p w14:paraId="10571E20" w14:textId="77777777" w:rsidR="009C3A0E" w:rsidRDefault="00994197">
            <w:pPr>
              <w:pStyle w:val="cTableBody"/>
              <w:spacing w:before="0"/>
            </w:pPr>
            <w:r>
              <w:t>NH₃ enters SOFC and cracks to H₂ + N₂ inside/near anode</w:t>
            </w:r>
          </w:p>
        </w:tc>
        <w:tc>
          <w:tcPr>
            <w:tcW w:w="2411" w:type="dxa"/>
          </w:tcPr>
          <w:p w14:paraId="792B7AAD" w14:textId="77777777" w:rsidR="009C3A0E" w:rsidRDefault="00994197">
            <w:pPr>
              <w:pStyle w:val="cTableBody"/>
              <w:spacing w:before="0"/>
            </w:pPr>
            <w:r>
              <w:t>Potential lowest CAPEX / simplest</w:t>
            </w:r>
          </w:p>
        </w:tc>
      </w:tr>
      <w:tr w:rsidR="009C3A0E" w14:paraId="26956A83" w14:textId="77777777" w:rsidTr="00D7515C">
        <w:tc>
          <w:tcPr>
            <w:tcW w:w="324" w:type="dxa"/>
          </w:tcPr>
          <w:p w14:paraId="022840F4" w14:textId="77777777" w:rsidR="009C3A0E" w:rsidRDefault="00994197">
            <w:pPr>
              <w:pStyle w:val="cTableBody"/>
              <w:spacing w:before="0"/>
            </w:pPr>
            <w:r>
              <w:t>2</w:t>
            </w:r>
          </w:p>
        </w:tc>
        <w:tc>
          <w:tcPr>
            <w:tcW w:w="2625" w:type="dxa"/>
          </w:tcPr>
          <w:p w14:paraId="5D507F3F" w14:textId="77777777" w:rsidR="009C3A0E" w:rsidRDefault="00994197">
            <w:pPr>
              <w:pStyle w:val="cTableBody"/>
              <w:spacing w:before="0"/>
            </w:pPr>
            <w:r>
              <w:t>Partial external cracker + SOFC</w:t>
            </w:r>
          </w:p>
        </w:tc>
        <w:tc>
          <w:tcPr>
            <w:tcW w:w="1763" w:type="dxa"/>
          </w:tcPr>
          <w:p w14:paraId="742E6CFA" w14:textId="77777777" w:rsidR="009C3A0E" w:rsidRDefault="00994197">
            <w:pPr>
              <w:pStyle w:val="cTableBody"/>
              <w:spacing w:before="0"/>
            </w:pPr>
            <w:r>
              <w:t>~650–800°C</w:t>
            </w:r>
          </w:p>
        </w:tc>
        <w:tc>
          <w:tcPr>
            <w:tcW w:w="3029" w:type="dxa"/>
          </w:tcPr>
          <w:p w14:paraId="3417A28A" w14:textId="77777777" w:rsidR="009C3A0E" w:rsidRDefault="00994197">
            <w:pPr>
              <w:pStyle w:val="cTableBody"/>
              <w:spacing w:before="0"/>
            </w:pPr>
            <w:r>
              <w:t>Some NH₃ cracked upstream; rest internally cracked</w:t>
            </w:r>
          </w:p>
        </w:tc>
        <w:tc>
          <w:tcPr>
            <w:tcW w:w="2411" w:type="dxa"/>
          </w:tcPr>
          <w:p w14:paraId="09C35B62" w14:textId="77777777" w:rsidR="009C3A0E" w:rsidRDefault="00994197">
            <w:pPr>
              <w:pStyle w:val="cTableBody"/>
              <w:spacing w:before="0"/>
            </w:pPr>
            <w:r>
              <w:t>My preferred near-term design</w:t>
            </w:r>
          </w:p>
        </w:tc>
      </w:tr>
      <w:tr w:rsidR="009C3A0E" w14:paraId="709611F3" w14:textId="77777777" w:rsidTr="00D7515C">
        <w:tc>
          <w:tcPr>
            <w:tcW w:w="324" w:type="dxa"/>
          </w:tcPr>
          <w:p w14:paraId="4D23E800" w14:textId="77777777" w:rsidR="009C3A0E" w:rsidRDefault="00994197">
            <w:pPr>
              <w:pStyle w:val="cTableBody"/>
              <w:spacing w:before="0"/>
            </w:pPr>
            <w:r>
              <w:t>3</w:t>
            </w:r>
          </w:p>
        </w:tc>
        <w:tc>
          <w:tcPr>
            <w:tcW w:w="2625" w:type="dxa"/>
          </w:tcPr>
          <w:p w14:paraId="75881B9E" w14:textId="77777777" w:rsidR="009C3A0E" w:rsidRDefault="00994197">
            <w:pPr>
              <w:pStyle w:val="cTableBody"/>
              <w:spacing w:before="0"/>
            </w:pPr>
            <w:r>
              <w:t>Full external cracker + SOFC</w:t>
            </w:r>
          </w:p>
        </w:tc>
        <w:tc>
          <w:tcPr>
            <w:tcW w:w="1763" w:type="dxa"/>
          </w:tcPr>
          <w:p w14:paraId="01987184" w14:textId="77777777" w:rsidR="009C3A0E" w:rsidRDefault="00994197">
            <w:pPr>
              <w:pStyle w:val="cTableBody"/>
              <w:spacing w:before="0"/>
            </w:pPr>
            <w:r>
              <w:t>~650–800°C</w:t>
            </w:r>
          </w:p>
        </w:tc>
        <w:tc>
          <w:tcPr>
            <w:tcW w:w="3029" w:type="dxa"/>
          </w:tcPr>
          <w:p w14:paraId="504784D5" w14:textId="77777777" w:rsidR="009C3A0E" w:rsidRDefault="00994197">
            <w:pPr>
              <w:pStyle w:val="cTableBody"/>
              <w:spacing w:before="0"/>
            </w:pPr>
            <w:r>
              <w:t>Nearly all NH₃ → H₂ + N₂ before SOFC</w:t>
            </w:r>
          </w:p>
        </w:tc>
        <w:tc>
          <w:tcPr>
            <w:tcW w:w="2411" w:type="dxa"/>
          </w:tcPr>
          <w:p w14:paraId="62BFBBD7" w14:textId="77777777" w:rsidR="009C3A0E" w:rsidRDefault="00994197">
            <w:pPr>
              <w:pStyle w:val="cTableBody"/>
              <w:spacing w:before="0"/>
            </w:pPr>
            <w:r>
              <w:t>Very robust, somewhat higher CAPEX</w:t>
            </w:r>
          </w:p>
        </w:tc>
      </w:tr>
      <w:tr w:rsidR="009C3A0E" w14:paraId="0AFEFA76" w14:textId="77777777" w:rsidTr="00D7515C">
        <w:tc>
          <w:tcPr>
            <w:tcW w:w="324" w:type="dxa"/>
          </w:tcPr>
          <w:p w14:paraId="483B983B" w14:textId="77777777" w:rsidR="009C3A0E" w:rsidRDefault="00994197">
            <w:pPr>
              <w:pStyle w:val="cTableBody"/>
              <w:spacing w:before="0"/>
            </w:pPr>
            <w:r>
              <w:t>4</w:t>
            </w:r>
          </w:p>
        </w:tc>
        <w:tc>
          <w:tcPr>
            <w:tcW w:w="2625" w:type="dxa"/>
          </w:tcPr>
          <w:p w14:paraId="314BDA23" w14:textId="77777777" w:rsidR="009C3A0E" w:rsidRDefault="00994197">
            <w:pPr>
              <w:pStyle w:val="cTableBody"/>
              <w:spacing w:before="0"/>
            </w:pPr>
            <w:r>
              <w:t>External cracker + PCFC</w:t>
            </w:r>
          </w:p>
        </w:tc>
        <w:tc>
          <w:tcPr>
            <w:tcW w:w="1763" w:type="dxa"/>
          </w:tcPr>
          <w:p w14:paraId="45FC4E3A" w14:textId="77777777" w:rsidR="009C3A0E" w:rsidRDefault="00994197">
            <w:pPr>
              <w:pStyle w:val="cTableBody"/>
              <w:spacing w:before="0"/>
            </w:pPr>
            <w:r>
              <w:t>~500–650°C</w:t>
            </w:r>
          </w:p>
        </w:tc>
        <w:tc>
          <w:tcPr>
            <w:tcW w:w="3029" w:type="dxa"/>
          </w:tcPr>
          <w:p w14:paraId="7B51D4EB" w14:textId="77777777" w:rsidR="009C3A0E" w:rsidRDefault="00994197">
            <w:pPr>
              <w:pStyle w:val="cTableBody"/>
              <w:spacing w:before="0"/>
            </w:pPr>
            <w:r>
              <w:t>NH₃ cracked first; H₂/N₂ feeds protonic cell</w:t>
            </w:r>
          </w:p>
        </w:tc>
        <w:tc>
          <w:tcPr>
            <w:tcW w:w="2411" w:type="dxa"/>
          </w:tcPr>
          <w:p w14:paraId="0D623103" w14:textId="77777777" w:rsidR="009C3A0E" w:rsidRDefault="00994197">
            <w:pPr>
              <w:pStyle w:val="cTableBody"/>
              <w:spacing w:before="0"/>
            </w:pPr>
            <w:r>
              <w:t>Very promising future low-cost design</w:t>
            </w:r>
          </w:p>
        </w:tc>
      </w:tr>
      <w:tr w:rsidR="009C3A0E" w14:paraId="39B4FFD2" w14:textId="77777777" w:rsidTr="00D7515C">
        <w:tc>
          <w:tcPr>
            <w:tcW w:w="324" w:type="dxa"/>
          </w:tcPr>
          <w:p w14:paraId="72DB4772" w14:textId="77777777" w:rsidR="009C3A0E" w:rsidRDefault="00994197">
            <w:pPr>
              <w:pStyle w:val="cTableBody"/>
              <w:spacing w:before="0"/>
            </w:pPr>
            <w:r>
              <w:t>5</w:t>
            </w:r>
          </w:p>
        </w:tc>
        <w:tc>
          <w:tcPr>
            <w:tcW w:w="2625" w:type="dxa"/>
          </w:tcPr>
          <w:p w14:paraId="6150E4A9" w14:textId="77777777" w:rsidR="009C3A0E" w:rsidRDefault="00994197">
            <w:pPr>
              <w:pStyle w:val="cTableBody"/>
              <w:spacing w:before="0"/>
            </w:pPr>
            <w:r>
              <w:t>Direct/integrated ammonia PCFC</w:t>
            </w:r>
          </w:p>
        </w:tc>
        <w:tc>
          <w:tcPr>
            <w:tcW w:w="1763" w:type="dxa"/>
          </w:tcPr>
          <w:p w14:paraId="77611829" w14:textId="77777777" w:rsidR="009C3A0E" w:rsidRDefault="00994197">
            <w:pPr>
              <w:pStyle w:val="cTableBody"/>
              <w:spacing w:before="0"/>
            </w:pPr>
            <w:r>
              <w:t>~550–650°C</w:t>
            </w:r>
          </w:p>
        </w:tc>
        <w:tc>
          <w:tcPr>
            <w:tcW w:w="3029" w:type="dxa"/>
          </w:tcPr>
          <w:p w14:paraId="62E8C4E5" w14:textId="77777777" w:rsidR="009C3A0E" w:rsidRDefault="00994197">
            <w:pPr>
              <w:pStyle w:val="cTableBody"/>
              <w:spacing w:before="0"/>
            </w:pPr>
            <w:r>
              <w:t>Cracking catalyst integrated tightly with fuel-cell module</w:t>
            </w:r>
          </w:p>
        </w:tc>
        <w:tc>
          <w:tcPr>
            <w:tcW w:w="2411" w:type="dxa"/>
          </w:tcPr>
          <w:p w14:paraId="16D66387" w14:textId="77777777" w:rsidR="009C3A0E" w:rsidRDefault="00994197">
            <w:pPr>
              <w:pStyle w:val="cTableBody"/>
              <w:spacing w:before="0"/>
            </w:pPr>
            <w:r>
              <w:t>Potentially excellent, but immature</w:t>
            </w:r>
          </w:p>
        </w:tc>
      </w:tr>
      <w:tr w:rsidR="009C3A0E" w14:paraId="4485F873" w14:textId="77777777" w:rsidTr="00D7515C">
        <w:tc>
          <w:tcPr>
            <w:tcW w:w="324" w:type="dxa"/>
          </w:tcPr>
          <w:p w14:paraId="6FC6E398" w14:textId="77777777" w:rsidR="009C3A0E" w:rsidRDefault="00994197">
            <w:pPr>
              <w:pStyle w:val="cTableBody"/>
              <w:spacing w:before="0"/>
            </w:pPr>
            <w:r>
              <w:t>6</w:t>
            </w:r>
          </w:p>
        </w:tc>
        <w:tc>
          <w:tcPr>
            <w:tcW w:w="2625" w:type="dxa"/>
          </w:tcPr>
          <w:p w14:paraId="3C1622EC" w14:textId="77777777" w:rsidR="009C3A0E" w:rsidRDefault="00994197">
            <w:pPr>
              <w:pStyle w:val="cTableBody"/>
              <w:spacing w:before="0"/>
            </w:pPr>
            <w:r>
              <w:t>Cracked NH₃ + molten-carbonate fuel cell</w:t>
            </w:r>
          </w:p>
        </w:tc>
        <w:tc>
          <w:tcPr>
            <w:tcW w:w="1763" w:type="dxa"/>
          </w:tcPr>
          <w:p w14:paraId="3846965F" w14:textId="77777777" w:rsidR="009C3A0E" w:rsidRDefault="00994197">
            <w:pPr>
              <w:pStyle w:val="cTableBody"/>
              <w:spacing w:before="0"/>
            </w:pPr>
            <w:r>
              <w:t>~600–700°C</w:t>
            </w:r>
          </w:p>
        </w:tc>
        <w:tc>
          <w:tcPr>
            <w:tcW w:w="3029" w:type="dxa"/>
          </w:tcPr>
          <w:p w14:paraId="07037DCD" w14:textId="77777777" w:rsidR="009C3A0E" w:rsidRDefault="00994197">
            <w:pPr>
              <w:pStyle w:val="cTableBody"/>
              <w:spacing w:before="0"/>
            </w:pPr>
            <w:r>
              <w:t>NH₃ cracked to H₂; MCFC converts H₂</w:t>
            </w:r>
          </w:p>
        </w:tc>
        <w:tc>
          <w:tcPr>
            <w:tcW w:w="2411" w:type="dxa"/>
          </w:tcPr>
          <w:p w14:paraId="2BFDD94C" w14:textId="77777777" w:rsidR="009C3A0E" w:rsidRDefault="00994197">
            <w:pPr>
              <w:pStyle w:val="cTableBody"/>
              <w:spacing w:before="0"/>
            </w:pPr>
            <w:r>
              <w:t>Technically possible, not my choice</w:t>
            </w:r>
          </w:p>
        </w:tc>
      </w:tr>
    </w:tbl>
    <w:p w14:paraId="62992453" w14:textId="77777777" w:rsidR="009C3A0E" w:rsidRDefault="00994197">
      <w:pPr>
        <w:rPr>
          <w:rFonts w:asciiTheme="majorHAnsi" w:eastAsia="Times New Roman" w:hAnsiTheme="majorHAnsi" w:cstheme="majorHAnsi"/>
          <w:szCs w:val="24"/>
        </w:rPr>
      </w:pPr>
      <w:r>
        <w:rPr>
          <w:rFonts w:eastAsia="Times New Roman" w:cstheme="majorHAnsi"/>
          <w:szCs w:val="24"/>
        </w:rPr>
        <w:t xml:space="preserve">DOE gives representative temperature ranges of 500–1,000°C for oxide-ion solid-oxide cells, 400–700°C for proton-conducting ceramic cells, and 600–700°C for molten-carbonate cells. For ammonia specifically, experiments and models increasingly focus on SOFC operation around 650–800°C because ammonia decomposition becomes much easier as temperature rises; studies report significant degradation/performance penalties below about 700°C in some direct-ammonia SOFC designs. </w:t>
      </w:r>
    </w:p>
    <w:p w14:paraId="2813681C" w14:textId="77777777" w:rsidR="009C3A0E" w:rsidRDefault="00994197">
      <w:pPr>
        <w:pStyle w:val="Heading2"/>
        <w:spacing w:before="280"/>
      </w:pPr>
      <w:r>
        <w:t>1. Direct-ammonia SOFC: probably the simplest system</w:t>
      </w:r>
    </w:p>
    <w:p w14:paraId="0B8DB97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liquid NH₃ is pumped, vaporized and preheated. Instead of building a separate hydrogen-production plant aboard ship, gaseous NH₃ goes essentially straight into the hot SOFC fuel side:</w:t>
      </w:r>
    </w:p>
    <w:p w14:paraId="5711B68B" w14:textId="77777777" w:rsidR="009C3A0E" w:rsidRDefault="00994197" w:rsidP="00D7515C">
      <w:pPr>
        <w:pStyle w:val="bblueindent"/>
      </w:pPr>
      <w:r>
        <w:t>Liquid NH₃ → vaporizer → recuperator → SOFC → DC electricity → inverter → motor</w:t>
      </w:r>
    </w:p>
    <w:p w14:paraId="5D94CCE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At roughly </w:t>
      </w:r>
      <w:r>
        <w:rPr>
          <w:rFonts w:eastAsia="Times New Roman" w:cstheme="majorHAnsi"/>
          <w:b/>
          <w:bCs/>
          <w:szCs w:val="24"/>
        </w:rPr>
        <w:t>700–850°C</w:t>
      </w:r>
      <w:r>
        <w:rPr>
          <w:rFonts w:eastAsia="Times New Roman" w:cstheme="majorHAnsi"/>
          <w:szCs w:val="24"/>
        </w:rPr>
        <w:t>, ammonia readily decomposes:</w:t>
      </w:r>
    </w:p>
    <w:p w14:paraId="3086CFE1" w14:textId="77777777" w:rsidR="009C3A0E" w:rsidRDefault="00994197" w:rsidP="00D7515C">
      <w:pPr>
        <w:pStyle w:val="bblueindent"/>
      </w:pPr>
      <w:r>
        <w:t>2 NH₃ → N₂ + 3 H₂</w:t>
      </w:r>
    </w:p>
    <w:p w14:paraId="3EE1C98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hydrogen is then electrochemically consumed in the SOFC. Research on direct-ammonia SOFCs commonly operates in approximately the 600–800°C region, and performance becomes much more attractive around 700°C and above. </w:t>
      </w:r>
    </w:p>
    <w:p w14:paraId="76FCEAE6" w14:textId="77777777" w:rsidR="009C3A0E" w:rsidRDefault="00994197">
      <w:pPr>
        <w:spacing w:before="280" w:after="280"/>
        <w:rPr>
          <w:rFonts w:asciiTheme="majorHAnsi" w:eastAsia="Times New Roman" w:hAnsiTheme="majorHAnsi" w:cstheme="majorHAnsi"/>
          <w:szCs w:val="24"/>
        </w:rPr>
      </w:pPr>
      <w:r>
        <w:rPr>
          <w:rFonts w:eastAsia="Times New Roman" w:cstheme="majorHAnsi"/>
          <w:b/>
          <w:bCs/>
          <w:szCs w:val="24"/>
        </w:rPr>
        <w:t>Advantages:</w:t>
      </w:r>
      <w:r>
        <w:rPr>
          <w:rFonts w:eastAsia="Times New Roman" w:cstheme="majorHAnsi"/>
          <w:szCs w:val="24"/>
        </w:rPr>
        <w:t xml:space="preserve"> It eliminates a large standalone ammonia cracker and potentially eliminates hydrogen purification, storage and compression. The cracking reaction is endothermic, so internal ammonia decomposition actually absorbs heat inside the hot fuel-cell system, which can help thermal management. There are no carbon atoms in the fuel, so the conversion itself produces no CO₂.</w:t>
      </w:r>
    </w:p>
    <w:p w14:paraId="5FCC75DC" w14:textId="77777777" w:rsidR="009C3A0E" w:rsidRDefault="00994197">
      <w:pPr>
        <w:spacing w:before="280" w:after="280"/>
        <w:rPr>
          <w:rFonts w:asciiTheme="majorHAnsi" w:eastAsia="Times New Roman" w:hAnsiTheme="majorHAnsi" w:cstheme="majorHAnsi"/>
          <w:szCs w:val="24"/>
        </w:rPr>
      </w:pPr>
      <w:r>
        <w:rPr>
          <w:rFonts w:eastAsia="Times New Roman" w:cstheme="majorHAnsi"/>
          <w:b/>
          <w:bCs/>
          <w:szCs w:val="24"/>
        </w:rPr>
        <w:t>Disadvantages:</w:t>
      </w:r>
      <w:r>
        <w:rPr>
          <w:rFonts w:eastAsia="Times New Roman" w:cstheme="majorHAnsi"/>
          <w:szCs w:val="24"/>
        </w:rPr>
        <w:t xml:space="preserve"> The fuel-cell stack becomes both an electrochemical device and part of the ammonia cracker. That complicates temperature control. Too much ammonia cracking at one location can create cold spots and thermal gradients. Direct NH₃ exposure can also affect conventional nickel-containing anodes and accelerate degradation. Research specifically continues on catalysts and anode materials to improve direct-ammonia SOFC durability. </w:t>
      </w:r>
    </w:p>
    <w:p w14:paraId="41D25FF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This could eventually be the </w:t>
      </w:r>
      <w:r>
        <w:rPr>
          <w:rFonts w:eastAsia="Times New Roman" w:cstheme="majorHAnsi"/>
          <w:b/>
          <w:bCs/>
          <w:szCs w:val="24"/>
        </w:rPr>
        <w:t>lowest-equipment-cost solution</w:t>
      </w:r>
      <w:r>
        <w:rPr>
          <w:rFonts w:eastAsia="Times New Roman" w:cstheme="majorHAnsi"/>
          <w:szCs w:val="24"/>
        </w:rPr>
        <w:t>, but I would be reluctant to make the first 50–100 MW ship propulsion system depend entirely upon internal cracking.</w:t>
      </w:r>
    </w:p>
    <w:p w14:paraId="3EB7BDC0" w14:textId="77777777" w:rsidR="009C3A0E" w:rsidRDefault="00994197">
      <w:pPr>
        <w:pStyle w:val="Heading2"/>
        <w:spacing w:before="280"/>
      </w:pPr>
      <w:r>
        <w:t>2. Partial external cracking + SOFC: my preferred architecture</w:t>
      </w:r>
    </w:p>
    <w:p w14:paraId="29F74BB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 think this is the most interesting configuration for the kind of cost-minimized system you are envisioning.</w:t>
      </w:r>
    </w:p>
    <w:p w14:paraId="0F21551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Instead of choosing between "all cracking outside" and "all cracking inside," split the job:</w:t>
      </w:r>
    </w:p>
    <w:p w14:paraId="0CCA65D8" w14:textId="77777777" w:rsidR="009C3A0E" w:rsidRDefault="00994197" w:rsidP="00075713">
      <w:pPr>
        <w:pStyle w:val="bblueindent"/>
        <w:ind w:right="1008"/>
      </w:pPr>
      <w:r>
        <w:t>Liquid NH₃ → vaporizer → waste-heat-heated cracker → partially cracked NH₃/H₂/N₂ → SOFC → electric motor</w:t>
      </w:r>
    </w:p>
    <w:p w14:paraId="4BB1C71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cracker could operate around </w:t>
      </w:r>
      <w:r>
        <w:rPr>
          <w:rFonts w:eastAsia="Times New Roman" w:cstheme="majorHAnsi"/>
          <w:b/>
          <w:bCs/>
          <w:szCs w:val="24"/>
        </w:rPr>
        <w:t>550–700°C</w:t>
      </w:r>
      <w:r>
        <w:rPr>
          <w:rFonts w:eastAsia="Times New Roman" w:cstheme="majorHAnsi"/>
          <w:szCs w:val="24"/>
        </w:rPr>
        <w:t xml:space="preserve">, while the SOFC might operate around </w:t>
      </w:r>
      <w:r>
        <w:rPr>
          <w:rFonts w:eastAsia="Times New Roman" w:cstheme="majorHAnsi"/>
          <w:b/>
          <w:bCs/>
          <w:szCs w:val="24"/>
        </w:rPr>
        <w:t>700–800°C</w:t>
      </w:r>
      <w:r>
        <w:rPr>
          <w:rFonts w:eastAsia="Times New Roman" w:cstheme="majorHAnsi"/>
          <w:szCs w:val="24"/>
        </w:rPr>
        <w:t>.</w:t>
      </w:r>
    </w:p>
    <w:p w14:paraId="7E2EA87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You deliberately </w:t>
      </w:r>
      <w:r>
        <w:rPr>
          <w:rFonts w:eastAsia="Times New Roman" w:cstheme="majorHAnsi"/>
          <w:b/>
          <w:bCs/>
          <w:szCs w:val="24"/>
        </w:rPr>
        <w:t>do not need to manufacture pure hydrogen</w:t>
      </w:r>
      <w:r>
        <w:rPr>
          <w:rFonts w:eastAsia="Times New Roman" w:cstheme="majorHAnsi"/>
          <w:szCs w:val="24"/>
        </w:rPr>
        <w:t>. The SOFC can consume hydrogen mixed with nitrogen, and residual ammonia can finish decomposing in the hot fuel-cell module.</w:t>
      </w:r>
    </w:p>
    <w:p w14:paraId="5F0206D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eliminates hydrogen separation and purification equipment.</w:t>
      </w:r>
    </w:p>
    <w:p w14:paraId="6BCE557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big advantage is thermal management. You can adjust the external cracker so that, say, enough ammonia has been cracked to prevent excessive cooling or ammonia exposure inside the SOFC, while allowing some internal cracking to absorb surplus stack heat.</w:t>
      </w:r>
    </w:p>
    <w:p w14:paraId="65B2199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 modeling study comparing direct feed with external cracking found the performances become quite similar at sufficiently high SOFC inlet temperatures, illustrating why there may be little reason to pay for complete external conversion if the stack itself is already hot enough to finish the job. </w:t>
      </w:r>
    </w:p>
    <w:p w14:paraId="7C8B870B" w14:textId="77777777" w:rsidR="009C3A0E" w:rsidRDefault="00994197">
      <w:pPr>
        <w:spacing w:before="280" w:after="280"/>
        <w:rPr>
          <w:rFonts w:asciiTheme="majorHAnsi" w:eastAsia="Times New Roman" w:hAnsiTheme="majorHAnsi" w:cstheme="majorHAnsi"/>
          <w:szCs w:val="24"/>
        </w:rPr>
      </w:pPr>
      <w:r>
        <w:rPr>
          <w:rFonts w:eastAsia="Times New Roman" w:cstheme="majorHAnsi"/>
          <w:b/>
          <w:bCs/>
          <w:szCs w:val="24"/>
        </w:rPr>
        <w:t>Advantages:</w:t>
      </w:r>
      <w:r>
        <w:rPr>
          <w:rFonts w:eastAsia="Times New Roman" w:cstheme="majorHAnsi"/>
          <w:szCs w:val="24"/>
        </w:rPr>
        <w:t xml:space="preserve"> Less expensive than a complete hydrogen plant; better SOFC temperature uniformity than pure internal cracking; lower direct ammonia exposure of the anode; no hydrogen purification; extremely good integration with waste heat; relatively easy to divide into standardized modules.</w:t>
      </w:r>
    </w:p>
    <w:p w14:paraId="0FC8BA1E" w14:textId="77777777" w:rsidR="009C3A0E" w:rsidRDefault="00994197">
      <w:pPr>
        <w:spacing w:before="280" w:after="280"/>
        <w:rPr>
          <w:rFonts w:asciiTheme="majorHAnsi" w:eastAsia="Times New Roman" w:hAnsiTheme="majorHAnsi" w:cstheme="majorHAnsi"/>
          <w:szCs w:val="24"/>
        </w:rPr>
      </w:pPr>
      <w:r>
        <w:rPr>
          <w:rFonts w:eastAsia="Times New Roman" w:cstheme="majorHAnsi"/>
          <w:b/>
          <w:bCs/>
          <w:szCs w:val="24"/>
        </w:rPr>
        <w:t>Disadvantages:</w:t>
      </w:r>
      <w:r>
        <w:rPr>
          <w:rFonts w:eastAsia="Times New Roman" w:cstheme="majorHAnsi"/>
          <w:szCs w:val="24"/>
        </w:rPr>
        <w:t xml:space="preserve"> You add cracker catalyst beds, heat exchangers, valves and pressure drop. There is still some interaction between ammonia cracking and stack thermal behavior.</w:t>
      </w:r>
    </w:p>
    <w:p w14:paraId="2298D3F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For a large standardized ship, </w:t>
      </w:r>
      <w:r>
        <w:rPr>
          <w:rFonts w:eastAsia="Times New Roman" w:cstheme="majorHAnsi"/>
          <w:b/>
          <w:bCs/>
          <w:szCs w:val="24"/>
        </w:rPr>
        <w:t>this is the architecture I would develop first.</w:t>
      </w:r>
    </w:p>
    <w:p w14:paraId="5C084DA5" w14:textId="77777777" w:rsidR="009C3A0E" w:rsidRDefault="00994197">
      <w:pPr>
        <w:pStyle w:val="Heading2"/>
        <w:spacing w:before="280"/>
      </w:pPr>
      <w:r>
        <w:t>3. Completely crack ammonia before the SOFC</w:t>
      </w:r>
    </w:p>
    <w:p w14:paraId="4597A58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conservative alternative is:</w:t>
      </w:r>
    </w:p>
    <w:p w14:paraId="65B53BA6" w14:textId="77777777" w:rsidR="009C3A0E" w:rsidRDefault="00994197" w:rsidP="00D7515C">
      <w:pPr>
        <w:pStyle w:val="bblueindent"/>
      </w:pPr>
      <w:r>
        <w:t>NH₃ → external catalytic cracker → H₂ + N₂ → SOFC</w:t>
      </w:r>
    </w:p>
    <w:p w14:paraId="74BE3DD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SOFC remains around </w:t>
      </w:r>
      <w:r>
        <w:rPr>
          <w:rFonts w:eastAsia="Times New Roman" w:cstheme="majorHAnsi"/>
          <w:b/>
          <w:bCs/>
          <w:szCs w:val="24"/>
        </w:rPr>
        <w:t>650–800°C</w:t>
      </w:r>
      <w:r>
        <w:rPr>
          <w:rFonts w:eastAsia="Times New Roman" w:cstheme="majorHAnsi"/>
          <w:szCs w:val="24"/>
        </w:rPr>
        <w:t xml:space="preserve">, while the ammonia cracker could operate around </w:t>
      </w:r>
      <w:r>
        <w:rPr>
          <w:rFonts w:eastAsia="Times New Roman" w:cstheme="majorHAnsi"/>
          <w:b/>
          <w:bCs/>
          <w:szCs w:val="24"/>
        </w:rPr>
        <w:t>600–700°C</w:t>
      </w:r>
      <w:r>
        <w:rPr>
          <w:rFonts w:eastAsia="Times New Roman" w:cstheme="majorHAnsi"/>
          <w:szCs w:val="24"/>
        </w:rPr>
        <w:t xml:space="preserve"> with an inexpensive nickel-based catalyst system. Higher-performance catalysts can permit lower cracking temperatures, but cost and catalyst lifetime become important.</w:t>
      </w:r>
    </w:p>
    <w:p w14:paraId="41569E6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There is usually </w:t>
      </w:r>
      <w:r>
        <w:rPr>
          <w:rFonts w:eastAsia="Times New Roman" w:cstheme="majorHAnsi"/>
          <w:b/>
          <w:bCs/>
          <w:szCs w:val="24"/>
        </w:rPr>
        <w:t>no reason to separate the nitrogen from the hydrogen</w:t>
      </w:r>
      <w:r>
        <w:rPr>
          <w:rFonts w:eastAsia="Times New Roman" w:cstheme="majorHAnsi"/>
          <w:szCs w:val="24"/>
        </w:rPr>
        <w:t>. Feed the cracked H₂/N₂ mixture directly to the SOFC.</w:t>
      </w:r>
    </w:p>
    <w:p w14:paraId="330855E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is important economically: you are building an ammonia cracker, not a complete ammonia-to-pure-hydrogen plant.</w:t>
      </w:r>
    </w:p>
    <w:p w14:paraId="61D42907" w14:textId="77777777" w:rsidR="009C3A0E" w:rsidRDefault="00994197" w:rsidP="00D7515C">
      <w:pPr>
        <w:spacing w:before="280" w:after="280"/>
        <w:ind w:left="2160" w:hanging="1800"/>
        <w:rPr>
          <w:rFonts w:asciiTheme="majorHAnsi" w:eastAsia="Times New Roman" w:hAnsiTheme="majorHAnsi" w:cstheme="majorHAnsi"/>
          <w:szCs w:val="24"/>
        </w:rPr>
      </w:pPr>
      <w:r>
        <w:rPr>
          <w:rFonts w:eastAsia="Times New Roman" w:cstheme="majorHAnsi"/>
          <w:b/>
          <w:bCs/>
          <w:szCs w:val="24"/>
        </w:rPr>
        <w:t>Advantages:</w:t>
      </w:r>
      <w:r>
        <w:rPr>
          <w:rFonts w:eastAsia="Times New Roman" w:cstheme="majorHAnsi"/>
          <w:szCs w:val="24"/>
        </w:rPr>
        <w:t xml:space="preserve"> </w:t>
      </w:r>
      <w:r w:rsidR="00D7515C">
        <w:rPr>
          <w:rFonts w:eastAsia="Times New Roman" w:cstheme="majorHAnsi"/>
          <w:szCs w:val="24"/>
        </w:rPr>
        <w:tab/>
      </w:r>
      <w:r>
        <w:rPr>
          <w:rFonts w:eastAsia="Times New Roman" w:cstheme="majorHAnsi"/>
          <w:szCs w:val="24"/>
        </w:rPr>
        <w:t>The stack sees little residual NH₃, making stack materials and controls easier. Cracker conditions can be optimized independently. SOFC thermal gradients are reduced. Fuel quality becomes predictable. Replacement of cracker catalyst is much easier than replacement of damaged fuel-cell stacks.</w:t>
      </w:r>
    </w:p>
    <w:p w14:paraId="2336CE88" w14:textId="77777777" w:rsidR="009C3A0E" w:rsidRDefault="00994197" w:rsidP="00D7515C">
      <w:pPr>
        <w:spacing w:before="280" w:after="280"/>
        <w:ind w:left="2160" w:hanging="1800"/>
        <w:rPr>
          <w:rFonts w:asciiTheme="majorHAnsi" w:eastAsia="Times New Roman" w:hAnsiTheme="majorHAnsi" w:cstheme="majorHAnsi"/>
          <w:szCs w:val="24"/>
        </w:rPr>
      </w:pPr>
      <w:r>
        <w:rPr>
          <w:rFonts w:eastAsia="Times New Roman" w:cstheme="majorHAnsi"/>
          <w:b/>
          <w:bCs/>
          <w:szCs w:val="24"/>
        </w:rPr>
        <w:t>Disadvantages:</w:t>
      </w:r>
      <w:r>
        <w:rPr>
          <w:rFonts w:eastAsia="Times New Roman" w:cstheme="majorHAnsi"/>
          <w:szCs w:val="24"/>
        </w:rPr>
        <w:t xml:space="preserve"> </w:t>
      </w:r>
      <w:r w:rsidR="00D7515C">
        <w:rPr>
          <w:rFonts w:eastAsia="Times New Roman" w:cstheme="majorHAnsi"/>
          <w:szCs w:val="24"/>
        </w:rPr>
        <w:tab/>
      </w:r>
      <w:r>
        <w:rPr>
          <w:rFonts w:eastAsia="Times New Roman" w:cstheme="majorHAnsi"/>
          <w:szCs w:val="24"/>
        </w:rPr>
        <w:t>More hardware, more heat exchangers, more catalyst, greater volume and mass and somewhat higher capital cost.</w:t>
      </w:r>
    </w:p>
    <w:p w14:paraId="089DFAD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an early commercial ammonia-fuel-cell ship, I would expect this approach to be easier to certify and operate than pure direct-ammonia operation.</w:t>
      </w:r>
    </w:p>
    <w:p w14:paraId="2FACF63A" w14:textId="77777777" w:rsidR="009C3A0E" w:rsidRDefault="00994197">
      <w:pPr>
        <w:pStyle w:val="Heading2"/>
        <w:spacing w:before="280"/>
      </w:pPr>
      <w:r>
        <w:t>4. External ammonia cracker + PCFC</w:t>
      </w:r>
    </w:p>
    <w:p w14:paraId="196EED0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This is particularly interesting longer term.</w:t>
      </w:r>
    </w:p>
    <w:p w14:paraId="4F881D3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 </w:t>
      </w:r>
      <w:r>
        <w:rPr>
          <w:rFonts w:eastAsia="Times New Roman" w:cstheme="majorHAnsi"/>
          <w:b/>
          <w:bCs/>
          <w:szCs w:val="24"/>
        </w:rPr>
        <w:t>protonic ceramic fuel cell</w:t>
      </w:r>
      <w:r>
        <w:rPr>
          <w:rFonts w:eastAsia="Times New Roman" w:cstheme="majorHAnsi"/>
          <w:szCs w:val="24"/>
        </w:rPr>
        <w:t xml:space="preserve"> performs a similar basic job to an SOFC but transports protons through its ceramic electrolyte rather than oxygen ions. That allows substantially lower operating temperature—typically approximately </w:t>
      </w:r>
      <w:r>
        <w:rPr>
          <w:rFonts w:eastAsia="Times New Roman" w:cstheme="majorHAnsi"/>
          <w:b/>
          <w:bCs/>
          <w:szCs w:val="24"/>
        </w:rPr>
        <w:t>400–650°C</w:t>
      </w:r>
      <w:r>
        <w:rPr>
          <w:rFonts w:eastAsia="Times New Roman" w:cstheme="majorHAnsi"/>
          <w:szCs w:val="24"/>
        </w:rPr>
        <w:t xml:space="preserve"> rather than conventional SOFC temperatures. </w:t>
      </w:r>
    </w:p>
    <w:p w14:paraId="33D530C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 practical marine arrangement could be:</w:t>
      </w:r>
    </w:p>
    <w:p w14:paraId="14BE0B4E" w14:textId="77777777" w:rsidR="009C3A0E" w:rsidRDefault="00994197" w:rsidP="00D7515C">
      <w:pPr>
        <w:pStyle w:val="bblueindent"/>
      </w:pPr>
      <w:r>
        <w:t>NH₃ → ~600°C cracker → H₂/N₂ → ~550–600°C PCFC → electricity</w:t>
      </w:r>
    </w:p>
    <w:p w14:paraId="59C4793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Experiments have demonstrated ammonia-fed PCFC operation at </w:t>
      </w:r>
      <w:r>
        <w:rPr>
          <w:rFonts w:eastAsia="Times New Roman" w:cstheme="majorHAnsi"/>
          <w:b/>
          <w:bCs/>
          <w:szCs w:val="24"/>
        </w:rPr>
        <w:t>600°C for more than 1,200 hours</w:t>
      </w:r>
      <w:r>
        <w:rPr>
          <w:rFonts w:eastAsia="Times New Roman" w:cstheme="majorHAnsi"/>
          <w:szCs w:val="24"/>
        </w:rPr>
        <w:t xml:space="preserve"> when an upstream ammonia-cracking catalyst was used, and maximum power density reached 877 mW/cm² at 650°C in that experiment. </w:t>
      </w:r>
    </w:p>
    <w:p w14:paraId="616B109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There is another thermodynamic advantage. In an oxide-ion SOFC, water is formed on the fuel side. In a PCFC, hydrogen is converted to protons and water is primarily produced on the air side. That helps avoid diluting the remaining hydrogen fuel with its own water product.</w:t>
      </w:r>
    </w:p>
    <w:p w14:paraId="63675F7E" w14:textId="77777777" w:rsidR="009C3A0E" w:rsidRDefault="00994197" w:rsidP="00D7515C">
      <w:pPr>
        <w:spacing w:before="280" w:after="280"/>
        <w:ind w:left="2160" w:hanging="1800"/>
        <w:rPr>
          <w:rFonts w:asciiTheme="majorHAnsi" w:eastAsia="Times New Roman" w:hAnsiTheme="majorHAnsi" w:cstheme="majorHAnsi"/>
          <w:szCs w:val="24"/>
        </w:rPr>
      </w:pPr>
      <w:r>
        <w:rPr>
          <w:rFonts w:eastAsia="Times New Roman" w:cstheme="majorHAnsi"/>
          <w:b/>
          <w:bCs/>
          <w:szCs w:val="24"/>
        </w:rPr>
        <w:t>Advantages:</w:t>
      </w:r>
      <w:r>
        <w:rPr>
          <w:rFonts w:eastAsia="Times New Roman" w:cstheme="majorHAnsi"/>
          <w:szCs w:val="24"/>
        </w:rPr>
        <w:t xml:space="preserve"> </w:t>
      </w:r>
      <w:r w:rsidR="00D7515C">
        <w:rPr>
          <w:rFonts w:eastAsia="Times New Roman" w:cstheme="majorHAnsi"/>
          <w:szCs w:val="24"/>
        </w:rPr>
        <w:tab/>
      </w:r>
      <w:r>
        <w:rPr>
          <w:rFonts w:eastAsia="Times New Roman" w:cstheme="majorHAnsi"/>
          <w:szCs w:val="24"/>
        </w:rPr>
        <w:t>Lower-temperature alloys and seals can potentially be used; less thermal stress; faster startup; potentially longer component life; potentially cheaper balance of plant; good efficiency; and a compact cracker/fuel-cell combination around a common ~600°C thermal level.</w:t>
      </w:r>
    </w:p>
    <w:p w14:paraId="0FC7564B" w14:textId="77777777" w:rsidR="009C3A0E" w:rsidRDefault="00994197" w:rsidP="00D7515C">
      <w:pPr>
        <w:spacing w:before="280" w:after="280"/>
        <w:ind w:left="2160" w:right="-612" w:hanging="1800"/>
        <w:rPr>
          <w:rFonts w:asciiTheme="majorHAnsi" w:eastAsia="Times New Roman" w:hAnsiTheme="majorHAnsi" w:cstheme="majorHAnsi"/>
          <w:szCs w:val="24"/>
        </w:rPr>
      </w:pPr>
      <w:r>
        <w:rPr>
          <w:rFonts w:eastAsia="Times New Roman" w:cstheme="majorHAnsi"/>
          <w:b/>
          <w:bCs/>
          <w:szCs w:val="24"/>
        </w:rPr>
        <w:t>Disadvantages:</w:t>
      </w:r>
      <w:r>
        <w:rPr>
          <w:rFonts w:eastAsia="Times New Roman" w:cstheme="majorHAnsi"/>
          <w:szCs w:val="24"/>
        </w:rPr>
        <w:t xml:space="preserve"> </w:t>
      </w:r>
      <w:r w:rsidR="00D7515C">
        <w:rPr>
          <w:rFonts w:eastAsia="Times New Roman" w:cstheme="majorHAnsi"/>
          <w:szCs w:val="24"/>
        </w:rPr>
        <w:tab/>
      </w:r>
      <w:r>
        <w:rPr>
          <w:rFonts w:eastAsia="Times New Roman" w:cstheme="majorHAnsi"/>
          <w:szCs w:val="24"/>
        </w:rPr>
        <w:t xml:space="preserve">PCFC technology is nowhere near the commercial maturity of conventional large SOFC technology. Large marine-scale stacks have not yet accumulated the operating experience that one would want for a propulsion plant. DOE categorizes several such next-generation fuel-cell approaches as earlier-stage R&amp;D. </w:t>
      </w:r>
    </w:p>
    <w:p w14:paraId="6D4635D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For a development program with a </w:t>
      </w:r>
      <w:r>
        <w:rPr>
          <w:rFonts w:eastAsia="Times New Roman" w:cstheme="majorHAnsi"/>
          <w:b/>
          <w:bCs/>
          <w:szCs w:val="24"/>
        </w:rPr>
        <w:t>10–20 year horizon</w:t>
      </w:r>
      <w:r>
        <w:rPr>
          <w:rFonts w:eastAsia="Times New Roman" w:cstheme="majorHAnsi"/>
          <w:szCs w:val="24"/>
        </w:rPr>
        <w:t>, this is the technology I would watch most closely.</w:t>
      </w:r>
    </w:p>
    <w:p w14:paraId="398C5498" w14:textId="77777777" w:rsidR="009C3A0E" w:rsidRDefault="00994197">
      <w:pPr>
        <w:pStyle w:val="Heading2"/>
        <w:spacing w:before="280"/>
      </w:pPr>
      <w:r>
        <w:t>5. Direct/integrated ammonia PCFC</w:t>
      </w:r>
    </w:p>
    <w:p w14:paraId="57961CD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You could eliminate the separate cracker again:</w:t>
      </w:r>
    </w:p>
    <w:p w14:paraId="34DC5059" w14:textId="77777777" w:rsidR="009C3A0E" w:rsidRDefault="00994197" w:rsidP="00D7515C">
      <w:pPr>
        <w:pStyle w:val="bblueindent"/>
      </w:pPr>
      <w:r>
        <w:t>NH₃ → catalyst integrated into PCFC module → electricity</w:t>
      </w:r>
    </w:p>
    <w:p w14:paraId="030338A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Target temperature would probably be around </w:t>
      </w:r>
      <w:r>
        <w:rPr>
          <w:rFonts w:eastAsia="Times New Roman" w:cstheme="majorHAnsi"/>
          <w:b/>
          <w:bCs/>
          <w:szCs w:val="24"/>
        </w:rPr>
        <w:t>550–650°C</w:t>
      </w:r>
      <w:r>
        <w:rPr>
          <w:rFonts w:eastAsia="Times New Roman" w:cstheme="majorHAnsi"/>
          <w:szCs w:val="24"/>
        </w:rPr>
        <w:t>.</w:t>
      </w:r>
    </w:p>
    <w:p w14:paraId="2DA2369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This sounds ideal—lower temperature than an SOFC and no large cracker—but the materials problem is harder. In one detailed study, uncracked ammonia caused substantial degradation in the protonic ceramic material, whereas putting an effective ammonia-cracking catalyst immediately upstream greatly improved durability. </w:t>
      </w:r>
    </w:p>
    <w:p w14:paraId="43150E5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So</w:t>
      </w:r>
      <w:r>
        <w:rPr>
          <w:rFonts w:eastAsia="Times New Roman" w:cstheme="majorHAnsi"/>
          <w:szCs w:val="24"/>
        </w:rPr>
        <w:t xml:space="preserve"> there is a semantic distinction between a "direct ammonia PCFC" and what I would actually build. I would place the ammonia-decomposition catalyst </w:t>
      </w:r>
      <w:r>
        <w:rPr>
          <w:rFonts w:eastAsia="Times New Roman" w:cstheme="majorHAnsi"/>
          <w:b/>
          <w:bCs/>
          <w:szCs w:val="24"/>
        </w:rPr>
        <w:t>inside the same factory-built module but immediately upstream of the electrochemical cells</w:t>
      </w:r>
      <w:r>
        <w:rPr>
          <w:rFonts w:eastAsia="Times New Roman" w:cstheme="majorHAnsi"/>
          <w:szCs w:val="24"/>
        </w:rPr>
        <w:t>.</w:t>
      </w:r>
    </w:p>
    <w:p w14:paraId="19D49F3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gives almost the packaging advantage of direct ammonia while protecting the ceramic stack.</w:t>
      </w:r>
    </w:p>
    <w:p w14:paraId="0CEBBE05" w14:textId="77777777" w:rsidR="009C3A0E" w:rsidRDefault="00994197">
      <w:pPr>
        <w:pStyle w:val="Heading2"/>
        <w:spacing w:before="280"/>
      </w:pPr>
      <w:r>
        <w:t>6. Molten-carbonate fuel cell</w:t>
      </w:r>
    </w:p>
    <w:p w14:paraId="4AE5878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MCFCs operate around </w:t>
      </w:r>
      <w:r>
        <w:rPr>
          <w:rFonts w:eastAsia="Times New Roman" w:cstheme="majorHAnsi"/>
          <w:b/>
          <w:bCs/>
          <w:szCs w:val="24"/>
        </w:rPr>
        <w:t>600–700°C</w:t>
      </w:r>
      <w:r>
        <w:rPr>
          <w:rFonts w:eastAsia="Times New Roman" w:cstheme="majorHAnsi"/>
          <w:szCs w:val="24"/>
        </w:rPr>
        <w:t>. Ammonia could be cracked and the resulting hydrogen supplied to an MCFC.</w:t>
      </w:r>
    </w:p>
    <w:p w14:paraId="628D2B5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 would not pursue this for an ammonia ship.</w:t>
      </w:r>
    </w:p>
    <w:p w14:paraId="5CC4BEF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fundamental nuisance is that a molten-carbonate cell needs </w:t>
      </w:r>
      <w:r>
        <w:rPr>
          <w:rFonts w:eastAsia="Times New Roman" w:cstheme="majorHAnsi"/>
          <w:b/>
          <w:bCs/>
          <w:szCs w:val="24"/>
        </w:rPr>
        <w:t>CO₂ at the cathode</w:t>
      </w:r>
      <w:r>
        <w:rPr>
          <w:rFonts w:eastAsia="Times New Roman" w:cstheme="majorHAnsi"/>
          <w:szCs w:val="24"/>
        </w:rPr>
        <w:t xml:space="preserve"> to transport carbonate ions. On a natural-gas system this can be integrated into the carbon-containing exhaust stream. With carbon-free ammonia, you now need to supply and recycle CO₂ merely to make the fuel cell work.</w:t>
      </w:r>
    </w:p>
    <w:p w14:paraId="02DFB89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It throws away one of ammonia's biggest advantages: a carbon-free fuel loop.</w:t>
      </w:r>
    </w:p>
    <w:p w14:paraId="5BB95A09" w14:textId="77777777" w:rsidR="009C3A0E" w:rsidRDefault="00994197">
      <w:pPr>
        <w:pStyle w:val="Heading2"/>
        <w:spacing w:before="280"/>
      </w:pPr>
      <w:r>
        <w:t>Waste heat changes the economics substantially</w:t>
      </w:r>
    </w:p>
    <w:p w14:paraId="70BFFBA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For these systems, I would </w:t>
      </w:r>
      <w:r>
        <w:rPr>
          <w:rFonts w:eastAsia="Times New Roman" w:cstheme="majorHAnsi"/>
          <w:b/>
          <w:bCs/>
          <w:szCs w:val="24"/>
        </w:rPr>
        <w:t>not</w:t>
      </w:r>
      <w:r>
        <w:rPr>
          <w:rFonts w:eastAsia="Times New Roman" w:cstheme="majorHAnsi"/>
          <w:szCs w:val="24"/>
        </w:rPr>
        <w:t xml:space="preserve"> regard the 600–800°C exhaust as "waste" in the ordinary sense.</w:t>
      </w:r>
    </w:p>
    <w:p w14:paraId="102684E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thermal train should probably look like:</w:t>
      </w:r>
    </w:p>
    <w:p w14:paraId="30C61565" w14:textId="77777777" w:rsidR="009C3A0E" w:rsidRDefault="00994197" w:rsidP="00D7515C">
      <w:pPr>
        <w:pStyle w:val="bblueindent"/>
      </w:pPr>
      <w:r>
        <w:t>SOFC exhaust → ammonia cracker → incoming-air heater → incoming-NH₃ vaporizer/preheater → steam/ORC or other bottoming cycle → ship heating/hot water → final heat rejection</w:t>
      </w:r>
    </w:p>
    <w:p w14:paraId="3A2F9E5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High-temperature fuel cells are particularly attractive precisely because their hot exhaust permits this kind of cogeneration. DOE notes that fuel-cell combined heat-and-power systems can achieve very high overall energy utilization. </w:t>
      </w:r>
    </w:p>
    <w:p w14:paraId="4FDADAA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a giant ship, I would investigate going one step further:</w:t>
      </w:r>
    </w:p>
    <w:p w14:paraId="1A033174" w14:textId="77777777" w:rsidR="009C3A0E" w:rsidRDefault="00994197" w:rsidP="00D7515C">
      <w:pPr>
        <w:pStyle w:val="bblueindent"/>
      </w:pPr>
      <w:r>
        <w:t>SOFC + gas turbine generator</w:t>
      </w:r>
    </w:p>
    <w:p w14:paraId="078D017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hot pressurized exhaust drives a turbine connected to another generator. Published marine SOFC/gas-turbine studies report system efficiencies around or above 60% in modeled designs, and more aggressive ammonia-SOFC system analyses have projected electrical efficiencies approaching 70%; these are model results, not demonstrated commercial ship performance. </w:t>
      </w:r>
    </w:p>
    <w:p w14:paraId="477EE3C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electricity simply joins the ship's DC bus and drives the same electric propulsion motors.</w:t>
      </w:r>
    </w:p>
    <w:p w14:paraId="69F58BE1" w14:textId="77777777" w:rsidR="009C3A0E" w:rsidRDefault="00994197">
      <w:pPr>
        <w:pStyle w:val="Heading2"/>
        <w:spacing w:before="280"/>
      </w:pPr>
      <w:r>
        <w:t>Heat pumps are much less valuable here than in the ammonia factory</w:t>
      </w:r>
    </w:p>
    <w:p w14:paraId="0C042C3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This is an important difference from the ammonia-production system we discussed previously.</w:t>
      </w:r>
    </w:p>
    <w:p w14:paraId="17217FB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 heat pump is useful when you have, for example, </w:t>
      </w:r>
      <w:r>
        <w:rPr>
          <w:rFonts w:eastAsia="Times New Roman" w:cstheme="majorHAnsi"/>
          <w:b/>
          <w:bCs/>
          <w:szCs w:val="24"/>
        </w:rPr>
        <w:t>70°C waste heat and need 150°C process heat</w:t>
      </w:r>
      <w:r>
        <w:rPr>
          <w:rFonts w:eastAsia="Times New Roman" w:cstheme="majorHAnsi"/>
          <w:szCs w:val="24"/>
        </w:rPr>
        <w:t>.</w:t>
      </w:r>
    </w:p>
    <w:p w14:paraId="7B2D76B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On the ship, you already have enormous quantities of waste heat at </w:t>
      </w:r>
      <w:r>
        <w:rPr>
          <w:rFonts w:eastAsia="Times New Roman" w:cstheme="majorHAnsi"/>
          <w:b/>
          <w:bCs/>
          <w:szCs w:val="24"/>
        </w:rPr>
        <w:t>500–800°C</w:t>
      </w:r>
      <w:r>
        <w:rPr>
          <w:rFonts w:eastAsia="Times New Roman" w:cstheme="majorHAnsi"/>
          <w:szCs w:val="24"/>
        </w:rPr>
        <w:t>.</w:t>
      </w:r>
    </w:p>
    <w:p w14:paraId="1A30C95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It would make little economic sense to use electricity to run a heat pump to make the ~600°C heat required by an ammonia cracker. Use a recuperative heat exchanger directly.</w:t>
      </w:r>
    </w:p>
    <w:p w14:paraId="5CA7D2C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Heat pumps can nevertheless help with the </w:t>
      </w:r>
      <w:r>
        <w:rPr>
          <w:rFonts w:eastAsia="Times New Roman" w:cstheme="majorHAnsi"/>
          <w:b/>
          <w:bCs/>
          <w:szCs w:val="24"/>
        </w:rPr>
        <w:t>low-temperature end of the ship</w:t>
      </w:r>
      <w:r>
        <w:rPr>
          <w:rFonts w:eastAsia="Times New Roman" w:cstheme="majorHAnsi"/>
          <w:szCs w:val="24"/>
        </w:rPr>
        <w:t>: HVAC, domestic hot water, refrigerated ammonia-tank management, cooling systems and recovery of low-grade heat after the high-temperature duties have been satisfied. But they are a secondary optimization rather than a key element of the propulsion architecture.</w:t>
      </w:r>
    </w:p>
    <w:p w14:paraId="2D4D4E5E" w14:textId="77777777" w:rsidR="009C3A0E" w:rsidRDefault="00994197">
      <w:pPr>
        <w:pStyle w:val="Heading2"/>
        <w:spacing w:before="280"/>
      </w:pPr>
      <w:r>
        <w:t>What comes out of the exhaust?</w:t>
      </w:r>
    </w:p>
    <w:p w14:paraId="09C4499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Ideally, ammonia through a fuel cell ultimately becomes essentially:</w:t>
      </w:r>
    </w:p>
    <w:p w14:paraId="4A47C660" w14:textId="77777777" w:rsidR="009C3A0E" w:rsidRDefault="00994197" w:rsidP="00D7515C">
      <w:pPr>
        <w:pStyle w:val="bblueindent"/>
      </w:pPr>
      <w:r>
        <w:t>NH₃ + O₂ → N₂ + H₂O</w:t>
      </w:r>
    </w:p>
    <w:p w14:paraId="3E92244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so there is </w:t>
      </w:r>
      <w:r>
        <w:rPr>
          <w:rFonts w:eastAsia="Times New Roman" w:cstheme="majorHAnsi"/>
          <w:b/>
          <w:bCs/>
          <w:szCs w:val="24"/>
        </w:rPr>
        <w:t>no combustion-derived CO₂</w:t>
      </w:r>
      <w:r>
        <w:rPr>
          <w:rFonts w:eastAsia="Times New Roman" w:cstheme="majorHAnsi"/>
          <w:szCs w:val="24"/>
        </w:rPr>
        <w:t>.</w:t>
      </w:r>
    </w:p>
    <w:p w14:paraId="07864B4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However, a real ship needs to control three nitrogen pollutants:</w:t>
      </w:r>
    </w:p>
    <w:p w14:paraId="46029EF6" w14:textId="77777777" w:rsidR="009C3A0E" w:rsidRDefault="00994197" w:rsidP="00D7515C">
      <w:pPr>
        <w:pStyle w:val="bblueindent"/>
      </w:pPr>
      <w:r>
        <w:t>NH₃ slip, NOₓ, and N₂O.</w:t>
      </w:r>
    </w:p>
    <w:p w14:paraId="6D9917B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Fuel cells themselves avoid the very high flame temperatures responsible for much combustion NOₓ, and an experimental direct-ammonia PCFC has demonstrated ammonia operation at 600°C without measured NOₓ under those test conditions. Nevertheless, residual ammonia and hydrogen in the anode exhaust normally need to be treated or recycled; if they are burned in an afterburner, nitrogen-containing species can be produced.</w:t>
      </w:r>
    </w:p>
    <w:p w14:paraId="2530755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would therefore design the propulsion package from the beginning with </w:t>
      </w:r>
      <w:r>
        <w:rPr>
          <w:rFonts w:eastAsia="Times New Roman" w:cstheme="majorHAnsi"/>
          <w:b/>
          <w:bCs/>
          <w:szCs w:val="24"/>
        </w:rPr>
        <w:t>fuel recycle + ammonia-slip catalyst + NOₓ treatment + N₂O catalyst as necessary</w:t>
      </w:r>
      <w:r>
        <w:rPr>
          <w:rFonts w:eastAsia="Times New Roman" w:cstheme="majorHAnsi"/>
          <w:szCs w:val="24"/>
        </w:rPr>
        <w:t>, rather than treating emissions control as an afterthought.</w:t>
      </w:r>
    </w:p>
    <w:p w14:paraId="4F136A8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IMO already has interim safety guidelines covering both ammonia-fueled ships and shipboard fuel-cell power installations. </w:t>
      </w:r>
    </w:p>
    <w:p w14:paraId="36EB36B4" w14:textId="77777777" w:rsidR="009C3A0E" w:rsidRDefault="00994197">
      <w:pPr>
        <w:pStyle w:val="Heading2"/>
        <w:spacing w:before="280"/>
      </w:pPr>
      <w:r>
        <w:t>What I would build</w:t>
      </w:r>
    </w:p>
    <w:p w14:paraId="789E79E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a first cost-optimized large ocean-going ship, my reference design would be:</w:t>
      </w:r>
    </w:p>
    <w:p w14:paraId="72B8271A" w14:textId="77777777" w:rsidR="009C3A0E" w:rsidRDefault="00994197" w:rsidP="00D7515C">
      <w:pPr>
        <w:spacing w:before="280" w:after="280"/>
        <w:ind w:left="360"/>
        <w:rPr>
          <w:rFonts w:ascii="Courier New" w:eastAsia="Times New Roman" w:hAnsi="Courier New" w:cs="Courier New"/>
          <w:color w:val="4F81BD" w:themeColor="accent1"/>
          <w:szCs w:val="24"/>
        </w:rPr>
      </w:pPr>
      <w:r>
        <w:rPr>
          <w:rFonts w:ascii="Courier New" w:eastAsia="Times New Roman" w:hAnsi="Courier New" w:cs="Courier New"/>
          <w:color w:val="4F81BD" w:themeColor="accent1"/>
          <w:sz w:val="22"/>
        </w:rPr>
        <w:t>Liquid NH</w:t>
      </w:r>
      <w:r>
        <w:rPr>
          <w:rFonts w:ascii="Cambria Math" w:eastAsia="Times New Roman" w:hAnsi="Cambria Math" w:cs="Cambria Math"/>
          <w:color w:val="4F81BD" w:themeColor="accent1"/>
          <w:sz w:val="22"/>
        </w:rPr>
        <w:t>₃</w:t>
      </w:r>
      <w:r>
        <w:rPr>
          <w:rFonts w:ascii="Courier New" w:eastAsia="Times New Roman" w:hAnsi="Courier New" w:cs="Courier New"/>
          <w:color w:val="4F81BD" w:themeColor="accent1"/>
          <w:sz w:val="22"/>
        </w:rPr>
        <w:t xml:space="preserve"> tanks</w:t>
      </w:r>
      <w:r>
        <w:rPr>
          <w:rFonts w:ascii="Courier New" w:eastAsia="Times New Roman" w:hAnsi="Courier New" w:cs="Courier New"/>
          <w:color w:val="4F81BD" w:themeColor="accent1"/>
          <w:sz w:val="22"/>
        </w:rPr>
        <w:br/>
        <w:t>→ pump</w:t>
      </w:r>
      <w:r>
        <w:rPr>
          <w:rFonts w:ascii="Courier New" w:eastAsia="Times New Roman" w:hAnsi="Courier New" w:cs="Courier New"/>
          <w:color w:val="4F81BD" w:themeColor="accent1"/>
          <w:sz w:val="22"/>
        </w:rPr>
        <w:br/>
        <w:t>→ vaporizer using waste heat</w:t>
      </w:r>
      <w:r>
        <w:rPr>
          <w:rFonts w:ascii="Courier New" w:eastAsia="Times New Roman" w:hAnsi="Courier New" w:cs="Courier New"/>
          <w:color w:val="4F81BD" w:themeColor="accent1"/>
          <w:sz w:val="22"/>
        </w:rPr>
        <w:br/>
      </w:r>
      <w:r>
        <w:rPr>
          <w:rFonts w:ascii="Courier New" w:eastAsia="Times New Roman" w:hAnsi="Courier New" w:cs="Courier New"/>
          <w:color w:val="4F81BD" w:themeColor="accent1"/>
          <w:sz w:val="22"/>
        </w:rPr>
        <w:t>→ ~600–700°C inexpensive catalytic partial cracker</w:t>
      </w:r>
      <w:r>
        <w:rPr>
          <w:rFonts w:ascii="Courier New" w:eastAsia="Times New Roman" w:hAnsi="Courier New" w:cs="Courier New"/>
          <w:color w:val="4F81BD" w:themeColor="accent1"/>
          <w:sz w:val="22"/>
        </w:rPr>
        <w:br/>
        <w:t>→ ~700–800°C SOFC modules</w:t>
      </w:r>
      <w:r>
        <w:rPr>
          <w:rFonts w:ascii="Courier New" w:eastAsia="Times New Roman" w:hAnsi="Courier New" w:cs="Courier New"/>
          <w:color w:val="4F81BD" w:themeColor="accent1"/>
          <w:sz w:val="22"/>
        </w:rPr>
        <w:br/>
        <w:t>→ DC bus</w:t>
      </w:r>
      <w:r>
        <w:rPr>
          <w:rFonts w:ascii="Courier New" w:eastAsia="Times New Roman" w:hAnsi="Courier New" w:cs="Courier New"/>
          <w:color w:val="4F81BD" w:themeColor="accent1"/>
          <w:sz w:val="22"/>
        </w:rPr>
        <w:br/>
        <w:t>→ variable-frequency inverters</w:t>
      </w:r>
      <w:r>
        <w:rPr>
          <w:rFonts w:ascii="Courier New" w:eastAsia="Times New Roman" w:hAnsi="Courier New" w:cs="Courier New"/>
          <w:color w:val="4F81BD" w:themeColor="accent1"/>
          <w:sz w:val="22"/>
        </w:rPr>
        <w:br/>
        <w:t>→ electric propulsion motors</w:t>
      </w:r>
    </w:p>
    <w:p w14:paraId="1DC0FEA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and thermally:</w:t>
      </w:r>
    </w:p>
    <w:p w14:paraId="0FF6A118" w14:textId="77777777" w:rsidR="009C3A0E" w:rsidRDefault="00994197" w:rsidP="00D7515C">
      <w:pPr>
        <w:spacing w:before="280" w:after="280"/>
        <w:ind w:left="36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hot SOFC exhaust</w:t>
      </w:r>
      <w:r>
        <w:rPr>
          <w:rFonts w:ascii="Courier New" w:eastAsia="Times New Roman" w:hAnsi="Courier New" w:cs="Courier New"/>
          <w:color w:val="4F81BD" w:themeColor="accent1"/>
          <w:sz w:val="22"/>
        </w:rPr>
        <w:br/>
        <w:t>→ ammonia cracker</w:t>
      </w:r>
      <w:r>
        <w:rPr>
          <w:rFonts w:ascii="Courier New" w:eastAsia="Times New Roman" w:hAnsi="Courier New" w:cs="Courier New"/>
          <w:color w:val="4F81BD" w:themeColor="accent1"/>
          <w:sz w:val="22"/>
        </w:rPr>
        <w:br/>
        <w:t>→ fuel/air recuperators</w:t>
      </w:r>
      <w:r>
        <w:rPr>
          <w:rFonts w:ascii="Courier New" w:eastAsia="Times New Roman" w:hAnsi="Courier New" w:cs="Courier New"/>
          <w:color w:val="4F81BD" w:themeColor="accent1"/>
          <w:sz w:val="22"/>
        </w:rPr>
        <w:br/>
        <w:t>→ optional bottoming-cycle generator</w:t>
      </w:r>
      <w:r>
        <w:rPr>
          <w:rFonts w:ascii="Courier New" w:eastAsia="Times New Roman" w:hAnsi="Courier New" w:cs="Courier New"/>
          <w:color w:val="4F81BD" w:themeColor="accent1"/>
          <w:sz w:val="22"/>
        </w:rPr>
        <w:br/>
        <w:t>→ low-temperature ship heat/refrigeration recovery</w:t>
      </w:r>
      <w:r>
        <w:rPr>
          <w:rFonts w:ascii="Courier New" w:eastAsia="Times New Roman" w:hAnsi="Courier New" w:cs="Courier New"/>
          <w:color w:val="4F81BD" w:themeColor="accent1"/>
          <w:sz w:val="22"/>
        </w:rPr>
        <w:br/>
        <w:t>→ exhaust treatment</w:t>
      </w:r>
    </w:p>
    <w:p w14:paraId="038EC75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would probably </w:t>
      </w:r>
      <w:r>
        <w:rPr>
          <w:rFonts w:eastAsia="Times New Roman" w:cstheme="majorHAnsi"/>
          <w:b/>
          <w:bCs/>
          <w:szCs w:val="24"/>
        </w:rPr>
        <w:t>partially rather than completely crack the ammonia</w:t>
      </w:r>
      <w:r>
        <w:rPr>
          <w:rFonts w:eastAsia="Times New Roman" w:cstheme="majorHAnsi"/>
          <w:szCs w:val="24"/>
        </w:rPr>
        <w:t>. This minimizes cracker size and cost while preventing the SOFC stack from having to perform all of the endothermic ammonia decomposition itself.</w:t>
      </w:r>
    </w:p>
    <w:p w14:paraId="1781781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the longer-term system, I would aggressively develop:</w:t>
      </w:r>
    </w:p>
    <w:p w14:paraId="5CE817DD" w14:textId="77777777" w:rsidR="009C3A0E" w:rsidRDefault="00994197" w:rsidP="00D7515C">
      <w:pPr>
        <w:pStyle w:val="bblueindent"/>
      </w:pPr>
      <w:r>
        <w:t>~600°C cracker + ~550–600°C PCFC.</w:t>
      </w:r>
    </w:p>
    <w:p w14:paraId="4EE8648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If PCFC durability, manufacturing and MW-scale stack costs mature, that could eventually become </w:t>
      </w:r>
      <w:r>
        <w:rPr>
          <w:rFonts w:eastAsia="Times New Roman" w:cstheme="majorHAnsi"/>
          <w:b/>
          <w:bCs/>
          <w:szCs w:val="24"/>
        </w:rPr>
        <w:t>better than the 750°C-class SOFC</w:t>
      </w:r>
      <w:r>
        <w:rPr>
          <w:rFonts w:eastAsia="Times New Roman" w:cstheme="majorHAnsi"/>
          <w:szCs w:val="24"/>
        </w:rPr>
        <w:t xml:space="preserve"> because the entire machinery plant becomes cooler, cheaper and easier to insulate while preserving the fundamental efficiency advantages of a ceramic fuel cell. </w:t>
      </w:r>
    </w:p>
    <w:p w14:paraId="4464A64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So if we are designing your factory-made industrial/ship equipment concept, I would carry </w:t>
      </w:r>
      <w:r>
        <w:rPr>
          <w:rFonts w:eastAsia="Times New Roman" w:cstheme="majorHAnsi"/>
          <w:b/>
          <w:bCs/>
          <w:szCs w:val="24"/>
        </w:rPr>
        <w:t>three serious competing designs</w:t>
      </w:r>
      <w:r>
        <w:rPr>
          <w:rFonts w:eastAsia="Times New Roman" w:cstheme="majorHAnsi"/>
          <w:szCs w:val="24"/>
        </w:rPr>
        <w:t xml:space="preserve"> through R&amp;D: </w:t>
      </w:r>
      <w:r>
        <w:rPr>
          <w:rFonts w:eastAsia="Times New Roman" w:cstheme="majorHAnsi"/>
          <w:b/>
          <w:bCs/>
          <w:szCs w:val="24"/>
        </w:rPr>
        <w:t>direct/internal-cracking SOFC, partial-cracking SOFC, and externally cracked PCFC</w:t>
      </w:r>
      <w:r>
        <w:rPr>
          <w:rFonts w:eastAsia="Times New Roman" w:cstheme="majorHAnsi"/>
          <w:szCs w:val="24"/>
        </w:rPr>
        <w:t xml:space="preserve">. My expectation is that </w:t>
      </w:r>
      <w:r>
        <w:rPr>
          <w:rFonts w:eastAsia="Times New Roman" w:cstheme="majorHAnsi"/>
          <w:b/>
          <w:bCs/>
          <w:szCs w:val="24"/>
        </w:rPr>
        <w:t>partial-cracking SOFC wins first deployment, while PCFC has the best chance of winning long-term.</w:t>
      </w:r>
    </w:p>
    <w:p w14:paraId="644C67A1" w14:textId="77777777" w:rsidR="009C3A0E" w:rsidRDefault="00994197">
      <w:pPr>
        <w:pStyle w:val="Heading1"/>
        <w:spacing w:before="280" w:after="280"/>
        <w:rPr>
          <w:rFonts w:cstheme="majorHAnsi"/>
        </w:rPr>
      </w:pPr>
      <w:bookmarkStart w:id="64" w:name="_Toc237345532"/>
      <w:bookmarkStart w:id="65" w:name="_Toc237471114"/>
      <w:bookmarkStart w:id="66" w:name="_Toc238129769"/>
      <w:bookmarkStart w:id="67" w:name="_Toc238205558"/>
      <w:r>
        <w:rPr>
          <w:rFonts w:cstheme="majorHAnsi"/>
        </w:rPr>
        <w:t>Ammonia to Electricity Conversion Efficiency</w:t>
      </w:r>
      <w:r>
        <w:rPr>
          <w:rFonts w:cstheme="majorHAnsi"/>
          <w:sz w:val="28"/>
          <w:szCs w:val="18"/>
        </w:rPr>
        <w:t xml:space="preserve"> (e.g. on a ship)</w:t>
      </w:r>
      <w:bookmarkEnd w:id="64"/>
      <w:bookmarkEnd w:id="65"/>
      <w:bookmarkEnd w:id="66"/>
      <w:bookmarkEnd w:id="67"/>
    </w:p>
    <w:p w14:paraId="62308A44" w14:textId="77777777" w:rsidR="009C3A0E" w:rsidRDefault="00994197">
      <w:pPr>
        <w:pStyle w:val="cUserPromptText"/>
        <w:spacing w:before="280" w:after="280"/>
        <w:rPr>
          <w:rFonts w:asciiTheme="majorHAnsi" w:hAnsiTheme="majorHAnsi" w:cstheme="majorHAnsi"/>
        </w:rPr>
      </w:pPr>
      <w:r>
        <w:rPr>
          <w:rStyle w:val="UserPromptHeadingChar"/>
        </w:rPr>
        <w:t xml:space="preserve">Prompt to AI: </w:t>
      </w:r>
      <w:r>
        <w:rPr>
          <w:rFonts w:cstheme="majorHAnsi"/>
        </w:rPr>
        <w:t>What efficiencies do you expect with your "three serious competing designs" assuming you do what you can to maximize efficiency? Assume we can get liquid green ammonia at $365/tonne via Automated China PWR (your estimate). How much does rotational energy on a ship cost using your 3 fuel cell methods and $365/tonne green ammonia ($ per MWh-mechanical energy)? How does this compare to shipping high sulfur fuel oil? low sulfur fuel oil?</w:t>
      </w:r>
    </w:p>
    <w:p w14:paraId="7B35396D" w14:textId="77777777" w:rsidR="009C3A0E" w:rsidRDefault="00994197">
      <w:pPr>
        <w:spacing w:before="280" w:after="280"/>
      </w:pPr>
      <w:r>
        <w:rPr>
          <w:b/>
          <w:color w:val="4F81BD"/>
          <w:u w:val="single"/>
        </w:rPr>
        <w:t>Response From AI:</w:t>
      </w:r>
    </w:p>
    <w:p w14:paraId="43E90BED" w14:textId="77777777" w:rsidR="009C3A0E" w:rsidRPr="00075713" w:rsidRDefault="00994197">
      <w:pPr>
        <w:spacing w:before="280" w:after="280"/>
        <w:rPr>
          <w:rFonts w:asciiTheme="majorHAnsi" w:eastAsia="Times New Roman" w:hAnsiTheme="majorHAnsi" w:cstheme="majorHAnsi"/>
          <w:szCs w:val="24"/>
        </w:rPr>
      </w:pPr>
      <w:r w:rsidRPr="00075713">
        <w:rPr>
          <w:rFonts w:eastAsia="Times New Roman" w:cstheme="majorHAnsi"/>
          <w:szCs w:val="24"/>
        </w:rPr>
        <w:t>Yes. At $365/tonne for liquid green ammonia, the economics become quite interesting. On a fuel-only basis, an optimized ammonia/SOFC propulsion system can come close to today's high-sulfur fuel oil and can be materially cheaper than today's very-low-sulfur fuel oil.</w:t>
      </w:r>
    </w:p>
    <w:p w14:paraId="5E7B4A5A" w14:textId="77777777" w:rsidR="009C3A0E" w:rsidRDefault="00994197">
      <w:pPr>
        <w:spacing w:before="280" w:after="280"/>
        <w:rPr>
          <w:rFonts w:asciiTheme="majorHAnsi" w:eastAsia="Times New Roman" w:hAnsiTheme="majorHAnsi" w:cstheme="majorHAnsi"/>
          <w:szCs w:val="24"/>
        </w:rPr>
      </w:pPr>
      <w:r w:rsidRPr="00075713">
        <w:rPr>
          <w:rFonts w:eastAsia="Times New Roman" w:cstheme="majorHAnsi"/>
          <w:szCs w:val="24"/>
        </w:rPr>
        <w:t xml:space="preserve">I would define efficiency here as ammonia LHV energy in the tank → net rotating mechanical energy at the propulsion-motor shaft, after ammonia pumps/cracking, blowers, power electronics, exhaust treatment and motor losses. Waste heat only counts toward efficiency when we actually convert it back into useful propulsion electricity. The current IMO lifecycle calculation data use about 18.6 MJ/kg LHV for ammonia, or 5.17 MWh-thermal per tonne. </w:t>
      </w:r>
    </w:p>
    <w:p w14:paraId="3AE054E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Fossil fuel used with ships:</w:t>
      </w:r>
    </w:p>
    <w:p w14:paraId="4B27206D" w14:textId="77777777" w:rsidR="009C3A0E" w:rsidRDefault="00994197" w:rsidP="00D7515C">
      <w:pPr>
        <w:tabs>
          <w:tab w:val="left" w:pos="1350"/>
        </w:tabs>
        <w:spacing w:after="40" w:afterAutospacing="0"/>
        <w:ind w:left="360"/>
        <w:rPr>
          <w:rFonts w:asciiTheme="majorHAnsi" w:eastAsia="Times New Roman" w:hAnsiTheme="majorHAnsi" w:cstheme="majorHAnsi"/>
          <w:szCs w:val="24"/>
        </w:rPr>
      </w:pPr>
      <w:r>
        <w:rPr>
          <w:rFonts w:eastAsia="Times New Roman" w:cstheme="majorHAnsi"/>
          <w:b/>
          <w:bCs/>
          <w:szCs w:val="24"/>
        </w:rPr>
        <w:t>HSFO:</w:t>
      </w:r>
      <w:r>
        <w:rPr>
          <w:rFonts w:eastAsia="Times New Roman" w:cstheme="majorHAnsi"/>
          <w:szCs w:val="24"/>
        </w:rPr>
        <w:tab/>
        <w:t>High sulfur fuel oil (</w:t>
      </w:r>
      <w:hyperlink r:id="rId40">
        <w:r w:rsidR="009C3A0E">
          <w:rPr>
            <w:rStyle w:val="bhyperlinkChar"/>
            <w:rFonts w:eastAsia="Times New Roman" w:cstheme="majorHAnsi"/>
            <w:szCs w:val="24"/>
          </w:rPr>
          <w:t>definition</w:t>
        </w:r>
      </w:hyperlink>
      <w:r>
        <w:rPr>
          <w:rFonts w:eastAsia="Times New Roman" w:cstheme="majorHAnsi"/>
          <w:szCs w:val="24"/>
        </w:rPr>
        <w:t>)</w:t>
      </w:r>
    </w:p>
    <w:p w14:paraId="3713DA01" w14:textId="77777777" w:rsidR="009C3A0E" w:rsidRDefault="00994197" w:rsidP="00D7515C">
      <w:pPr>
        <w:tabs>
          <w:tab w:val="left" w:pos="1350"/>
        </w:tabs>
        <w:spacing w:before="40" w:beforeAutospacing="0"/>
        <w:ind w:left="360"/>
        <w:rPr>
          <w:rFonts w:asciiTheme="majorHAnsi" w:eastAsia="Times New Roman" w:hAnsiTheme="majorHAnsi" w:cstheme="majorHAnsi"/>
          <w:szCs w:val="24"/>
        </w:rPr>
      </w:pPr>
      <w:r>
        <w:rPr>
          <w:rFonts w:eastAsia="Times New Roman" w:cstheme="majorHAnsi"/>
          <w:b/>
          <w:bCs/>
          <w:szCs w:val="24"/>
        </w:rPr>
        <w:t>VLSFO:</w:t>
      </w:r>
      <w:r>
        <w:rPr>
          <w:rFonts w:eastAsia="Times New Roman" w:cstheme="majorHAnsi"/>
          <w:szCs w:val="24"/>
        </w:rPr>
        <w:tab/>
        <w:t>Very low sulfur fuel oil (</w:t>
      </w:r>
      <w:hyperlink r:id="rId41">
        <w:r w:rsidR="009C3A0E">
          <w:rPr>
            <w:rStyle w:val="bhyperlinkChar"/>
            <w:rFonts w:eastAsia="Times New Roman" w:cstheme="majorHAnsi"/>
            <w:szCs w:val="24"/>
          </w:rPr>
          <w:t>definition</w:t>
        </w:r>
      </w:hyperlink>
      <w:r>
        <w:rPr>
          <w:rFonts w:eastAsia="Times New Roman" w:cstheme="majorHAnsi"/>
          <w:szCs w:val="24"/>
        </w:rPr>
        <w:t>)</w:t>
      </w:r>
    </w:p>
    <w:p w14:paraId="0F9F1B21" w14:textId="77777777" w:rsidR="009C3A0E" w:rsidRDefault="00994197">
      <w:pPr>
        <w:tabs>
          <w:tab w:val="left" w:pos="1800"/>
        </w:tabs>
        <w:spacing w:before="280" w:after="280"/>
        <w:rPr>
          <w:rFonts w:asciiTheme="majorHAnsi" w:eastAsia="Times New Roman" w:hAnsiTheme="majorHAnsi" w:cstheme="majorHAnsi"/>
          <w:szCs w:val="24"/>
        </w:rPr>
      </w:pPr>
      <w:r>
        <w:rPr>
          <w:rFonts w:eastAsia="Times New Roman" w:cstheme="majorHAnsi"/>
          <w:szCs w:val="24"/>
        </w:rPr>
        <w:t>Fuel cells that convert ammonia to electricity:</w:t>
      </w:r>
    </w:p>
    <w:p w14:paraId="65E06E65" w14:textId="77777777" w:rsidR="009C3A0E" w:rsidRDefault="00994197" w:rsidP="00D7515C">
      <w:pPr>
        <w:spacing w:after="40" w:afterAutospacing="0"/>
        <w:ind w:left="360"/>
        <w:rPr>
          <w:rFonts w:asciiTheme="majorHAnsi" w:eastAsia="Times New Roman" w:hAnsiTheme="majorHAnsi" w:cstheme="majorHAnsi"/>
          <w:szCs w:val="24"/>
        </w:rPr>
      </w:pPr>
      <w:r>
        <w:rPr>
          <w:rFonts w:eastAsia="Times New Roman" w:cstheme="majorHAnsi"/>
          <w:b/>
          <w:bCs/>
          <w:szCs w:val="24"/>
        </w:rPr>
        <w:t>PCFC:</w:t>
      </w:r>
      <w:r>
        <w:rPr>
          <w:rFonts w:eastAsia="Times New Roman" w:cstheme="majorHAnsi"/>
          <w:szCs w:val="24"/>
        </w:rPr>
        <w:tab/>
        <w:t>Protonic fuel cell (</w:t>
      </w:r>
      <w:hyperlink r:id="rId42">
        <w:r w:rsidR="009C3A0E">
          <w:rPr>
            <w:rStyle w:val="bhyperlinkChar"/>
            <w:rFonts w:eastAsia="Times New Roman" w:cstheme="majorHAnsi"/>
            <w:szCs w:val="24"/>
          </w:rPr>
          <w:t>wiki</w:t>
        </w:r>
      </w:hyperlink>
      <w:r>
        <w:rPr>
          <w:rFonts w:eastAsia="Times New Roman" w:cstheme="majorHAnsi"/>
          <w:szCs w:val="24"/>
        </w:rPr>
        <w:t>)</w:t>
      </w:r>
    </w:p>
    <w:p w14:paraId="6DF7F560" w14:textId="77777777" w:rsidR="009C3A0E" w:rsidRDefault="00994197" w:rsidP="00D7515C">
      <w:pPr>
        <w:spacing w:before="40" w:beforeAutospacing="0"/>
        <w:ind w:left="360"/>
        <w:rPr>
          <w:rFonts w:asciiTheme="majorHAnsi" w:eastAsia="Times New Roman" w:hAnsiTheme="majorHAnsi" w:cstheme="majorHAnsi"/>
          <w:szCs w:val="24"/>
        </w:rPr>
      </w:pPr>
      <w:r>
        <w:rPr>
          <w:rFonts w:eastAsia="Times New Roman" w:cstheme="majorHAnsi"/>
          <w:b/>
          <w:bCs/>
          <w:szCs w:val="24"/>
        </w:rPr>
        <w:t>SOFC:</w:t>
      </w:r>
      <w:r>
        <w:rPr>
          <w:rFonts w:eastAsia="Times New Roman" w:cstheme="majorHAnsi"/>
          <w:szCs w:val="24"/>
        </w:rPr>
        <w:tab/>
        <w:t>Solid oxide fuel cell (</w:t>
      </w:r>
      <w:hyperlink r:id="rId43">
        <w:r w:rsidR="009C3A0E">
          <w:rPr>
            <w:rStyle w:val="bhyperlinkChar"/>
            <w:rFonts w:eastAsia="Times New Roman" w:cstheme="majorHAnsi"/>
            <w:szCs w:val="24"/>
          </w:rPr>
          <w:t>wiki</w:t>
        </w:r>
      </w:hyperlink>
      <w:r>
        <w:rPr>
          <w:rFonts w:eastAsia="Times New Roman" w:cstheme="majorHAnsi"/>
          <w:szCs w:val="24"/>
        </w:rPr>
        <w:t>)</w:t>
      </w:r>
    </w:p>
    <w:p w14:paraId="5C8D582A" w14:textId="77777777" w:rsidR="009C3A0E" w:rsidRDefault="00994197">
      <w:pPr>
        <w:pStyle w:val="Heading3"/>
        <w:spacing w:before="280" w:after="280"/>
      </w:pPr>
      <w:r>
        <w:t>My engineering estimates</w:t>
      </w:r>
    </w:p>
    <w:p w14:paraId="357C198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DOE puts conventional SOFC electrical efficiency around 60%, while optimized direct-ammonia SOFC studies have also reported around 60% and some highly integrated modeled systems approach the upper-60% range. These higher numbers are engineering-model results, not demonstrated 50–100 MW ship systems. PCFC systems are less mature; one detailed PCFC system study predicted about 55.1% electrical efficiency, though the technology has advantages from intermediate-temperature operation. </w:t>
      </w:r>
    </w:p>
    <w:p w14:paraId="74EB1FF5" w14:textId="77777777" w:rsidR="009C3A0E" w:rsidRDefault="00994197">
      <w:pPr>
        <w:rPr>
          <w:rFonts w:asciiTheme="majorHAnsi" w:eastAsia="Times New Roman" w:hAnsiTheme="majorHAnsi" w:cstheme="majorHAnsi"/>
          <w:szCs w:val="24"/>
        </w:rPr>
      </w:pPr>
      <w:r>
        <w:rPr>
          <w:rFonts w:eastAsia="Times New Roman" w:cstheme="majorHAnsi"/>
          <w:szCs w:val="24"/>
        </w:rPr>
        <w:t>For an aggressively optimized ship, I would therefore carry these planning numbers:</w:t>
      </w:r>
    </w:p>
    <w:tbl>
      <w:tblPr>
        <w:tblStyle w:val="gswTableStyle"/>
        <w:tblW w:w="10152" w:type="dxa"/>
        <w:tblLayout w:type="fixed"/>
        <w:tblLook w:val="04A0" w:firstRow="1" w:lastRow="0" w:firstColumn="1" w:lastColumn="0" w:noHBand="0" w:noVBand="1"/>
      </w:tblPr>
      <w:tblGrid>
        <w:gridCol w:w="2088"/>
        <w:gridCol w:w="1954"/>
        <w:gridCol w:w="2075"/>
        <w:gridCol w:w="1662"/>
        <w:gridCol w:w="2373"/>
      </w:tblGrid>
      <w:tr w:rsidR="009C3A0E" w14:paraId="0E9602BA" w14:textId="77777777" w:rsidTr="009C3A0E">
        <w:trPr>
          <w:cnfStyle w:val="100000000000" w:firstRow="1" w:lastRow="0" w:firstColumn="0" w:lastColumn="0" w:oddVBand="0" w:evenVBand="0" w:oddHBand="0" w:evenHBand="0" w:firstRowFirstColumn="0" w:firstRowLastColumn="0" w:lastRowFirstColumn="0" w:lastRowLastColumn="0"/>
          <w:tblHeader/>
        </w:trPr>
        <w:tc>
          <w:tcPr>
            <w:tcW w:w="2088" w:type="dxa"/>
          </w:tcPr>
          <w:p w14:paraId="7B35FFBF" w14:textId="77777777" w:rsidR="009C3A0E" w:rsidRDefault="00994197">
            <w:pPr>
              <w:pStyle w:val="cTableHeader"/>
              <w:keepNext/>
              <w:spacing w:before="0" w:after="0"/>
            </w:pPr>
            <w:r>
              <w:t>Propulsion architecture</w:t>
            </w:r>
          </w:p>
        </w:tc>
        <w:tc>
          <w:tcPr>
            <w:tcW w:w="1954" w:type="dxa"/>
          </w:tcPr>
          <w:p w14:paraId="61A14B6E" w14:textId="77777777" w:rsidR="009C3A0E" w:rsidRDefault="00994197">
            <w:pPr>
              <w:pStyle w:val="cTableHeader"/>
              <w:keepNext/>
              <w:spacing w:before="0" w:after="0"/>
            </w:pPr>
            <w:r>
              <w:t>Fuel-cell temperature</w:t>
            </w:r>
          </w:p>
        </w:tc>
        <w:tc>
          <w:tcPr>
            <w:tcW w:w="2075" w:type="dxa"/>
          </w:tcPr>
          <w:p w14:paraId="03D79D59" w14:textId="77777777" w:rsidR="009C3A0E" w:rsidRDefault="00994197">
            <w:pPr>
              <w:pStyle w:val="cTableHeader"/>
              <w:keepNext/>
              <w:spacing w:before="0" w:after="0"/>
            </w:pPr>
            <w:r>
              <w:t>Expected net electricity efficiency</w:t>
            </w:r>
          </w:p>
        </w:tc>
        <w:tc>
          <w:tcPr>
            <w:tcW w:w="1662" w:type="dxa"/>
          </w:tcPr>
          <w:p w14:paraId="01BBFF68" w14:textId="77777777" w:rsidR="009C3A0E" w:rsidRDefault="00994197">
            <w:pPr>
              <w:pStyle w:val="cTableHeader"/>
              <w:keepNext/>
              <w:spacing w:before="0" w:after="0"/>
            </w:pPr>
            <w:r>
              <w:t>Net ammonia → shaft efficiency</w:t>
            </w:r>
          </w:p>
        </w:tc>
        <w:tc>
          <w:tcPr>
            <w:tcW w:w="2373" w:type="dxa"/>
          </w:tcPr>
          <w:p w14:paraId="2441E25E" w14:textId="77777777" w:rsidR="009C3A0E" w:rsidRDefault="00994197">
            <w:pPr>
              <w:pStyle w:val="cTableHeader"/>
              <w:keepNext/>
              <w:spacing w:before="0" w:after="0"/>
            </w:pPr>
            <w:r>
              <w:t>Fuel cost at $365/t NH₃</w:t>
            </w:r>
          </w:p>
        </w:tc>
      </w:tr>
      <w:tr w:rsidR="009C3A0E" w14:paraId="7CD0DF1D" w14:textId="77777777" w:rsidTr="009C3A0E">
        <w:tc>
          <w:tcPr>
            <w:tcW w:w="2088" w:type="dxa"/>
          </w:tcPr>
          <w:p w14:paraId="2BF34422" w14:textId="77777777" w:rsidR="009C3A0E" w:rsidRDefault="00994197">
            <w:pPr>
              <w:pStyle w:val="cTableBody"/>
              <w:keepNext/>
              <w:spacing w:before="0" w:beforeAutospacing="0" w:afterAutospacing="0"/>
            </w:pPr>
            <w:r>
              <w:t>Direct/internal-cracking SOFC</w:t>
            </w:r>
          </w:p>
        </w:tc>
        <w:tc>
          <w:tcPr>
            <w:tcW w:w="1954" w:type="dxa"/>
          </w:tcPr>
          <w:p w14:paraId="2E89866C" w14:textId="77777777" w:rsidR="009C3A0E" w:rsidRDefault="00994197">
            <w:pPr>
              <w:pStyle w:val="cTableBody"/>
              <w:keepNext/>
              <w:spacing w:before="0" w:beforeAutospacing="0" w:afterAutospacing="0"/>
            </w:pPr>
            <w:r>
              <w:t>~700–800°C</w:t>
            </w:r>
          </w:p>
        </w:tc>
        <w:tc>
          <w:tcPr>
            <w:tcW w:w="2075" w:type="dxa"/>
          </w:tcPr>
          <w:p w14:paraId="6CF6AE4E" w14:textId="77777777" w:rsidR="009C3A0E" w:rsidRDefault="00994197">
            <w:pPr>
              <w:pStyle w:val="cTableBody"/>
              <w:keepNext/>
              <w:spacing w:before="0" w:beforeAutospacing="0" w:afterAutospacing="0"/>
            </w:pPr>
            <w:r>
              <w:t>~65–68% with strong WHR/bottoming</w:t>
            </w:r>
          </w:p>
        </w:tc>
        <w:tc>
          <w:tcPr>
            <w:tcW w:w="1662" w:type="dxa"/>
          </w:tcPr>
          <w:p w14:paraId="4E89D4B4" w14:textId="77777777" w:rsidR="009C3A0E" w:rsidRDefault="00994197">
            <w:pPr>
              <w:pStyle w:val="cTableBody"/>
              <w:keepNext/>
              <w:spacing w:before="0" w:beforeAutospacing="0" w:afterAutospacing="0"/>
            </w:pPr>
            <w:r>
              <w:t>~64% central; ~62–67% range</w:t>
            </w:r>
          </w:p>
        </w:tc>
        <w:tc>
          <w:tcPr>
            <w:tcW w:w="2373" w:type="dxa"/>
          </w:tcPr>
          <w:p w14:paraId="18B1ECA9" w14:textId="77777777" w:rsidR="009C3A0E" w:rsidRDefault="00994197">
            <w:pPr>
              <w:pStyle w:val="cTableBody"/>
              <w:keepNext/>
              <w:spacing w:before="0" w:beforeAutospacing="0" w:afterAutospacing="0"/>
            </w:pPr>
            <w:r>
              <w:t>~$110/MWh-mechanical</w:t>
            </w:r>
          </w:p>
        </w:tc>
      </w:tr>
      <w:tr w:rsidR="009C3A0E" w14:paraId="37E261D3" w14:textId="77777777" w:rsidTr="009C3A0E">
        <w:tc>
          <w:tcPr>
            <w:tcW w:w="2088" w:type="dxa"/>
          </w:tcPr>
          <w:p w14:paraId="740C65ED" w14:textId="77777777" w:rsidR="009C3A0E" w:rsidRDefault="00994197">
            <w:pPr>
              <w:pStyle w:val="cTableBody"/>
              <w:keepNext/>
              <w:spacing w:before="0" w:beforeAutospacing="0" w:afterAutospacing="0"/>
            </w:pPr>
            <w:r>
              <w:t>Partial external cracker + SOFC</w:t>
            </w:r>
          </w:p>
        </w:tc>
        <w:tc>
          <w:tcPr>
            <w:tcW w:w="1954" w:type="dxa"/>
          </w:tcPr>
          <w:p w14:paraId="1AAF21D2" w14:textId="77777777" w:rsidR="009C3A0E" w:rsidRDefault="00994197">
            <w:pPr>
              <w:pStyle w:val="cTableBody"/>
              <w:keepNext/>
              <w:spacing w:before="0" w:beforeAutospacing="0" w:afterAutospacing="0"/>
            </w:pPr>
            <w:r>
              <w:t>Cracker ~600–700°C; SOFC ~700–800°C</w:t>
            </w:r>
          </w:p>
        </w:tc>
        <w:tc>
          <w:tcPr>
            <w:tcW w:w="2075" w:type="dxa"/>
          </w:tcPr>
          <w:p w14:paraId="4BB13E58" w14:textId="77777777" w:rsidR="009C3A0E" w:rsidRDefault="00994197">
            <w:pPr>
              <w:pStyle w:val="cTableBody"/>
              <w:keepNext/>
              <w:spacing w:before="0" w:beforeAutospacing="0" w:afterAutospacing="0"/>
            </w:pPr>
            <w:r>
              <w:t>~66–69%</w:t>
            </w:r>
          </w:p>
        </w:tc>
        <w:tc>
          <w:tcPr>
            <w:tcW w:w="1662" w:type="dxa"/>
          </w:tcPr>
          <w:p w14:paraId="69B193A0" w14:textId="77777777" w:rsidR="009C3A0E" w:rsidRDefault="00994197">
            <w:pPr>
              <w:pStyle w:val="cTableBody"/>
              <w:keepNext/>
              <w:spacing w:before="0" w:beforeAutospacing="0" w:afterAutospacing="0"/>
            </w:pPr>
            <w:r>
              <w:t>~65% central; ~62–67% range</w:t>
            </w:r>
          </w:p>
        </w:tc>
        <w:tc>
          <w:tcPr>
            <w:tcW w:w="2373" w:type="dxa"/>
          </w:tcPr>
          <w:p w14:paraId="5C796346" w14:textId="77777777" w:rsidR="009C3A0E" w:rsidRDefault="00994197">
            <w:pPr>
              <w:pStyle w:val="cTableBody"/>
              <w:keepNext/>
              <w:spacing w:before="0" w:beforeAutospacing="0" w:afterAutospacing="0"/>
            </w:pPr>
            <w:r>
              <w:t>~$109/MWh-mechanical</w:t>
            </w:r>
          </w:p>
        </w:tc>
      </w:tr>
      <w:tr w:rsidR="009C3A0E" w14:paraId="60F6A1E1" w14:textId="77777777" w:rsidTr="009C3A0E">
        <w:tc>
          <w:tcPr>
            <w:tcW w:w="2088" w:type="dxa"/>
          </w:tcPr>
          <w:p w14:paraId="02CFBCFD" w14:textId="77777777" w:rsidR="009C3A0E" w:rsidRDefault="00994197">
            <w:pPr>
              <w:pStyle w:val="cTableBody"/>
              <w:keepNext/>
              <w:spacing w:before="0" w:beforeAutospacing="0" w:afterAutospacing="0"/>
            </w:pPr>
            <w:r>
              <w:t>External cracker + PCFC</w:t>
            </w:r>
          </w:p>
        </w:tc>
        <w:tc>
          <w:tcPr>
            <w:tcW w:w="1954" w:type="dxa"/>
          </w:tcPr>
          <w:p w14:paraId="7691E782" w14:textId="77777777" w:rsidR="009C3A0E" w:rsidRDefault="00994197">
            <w:pPr>
              <w:pStyle w:val="cTableBody"/>
              <w:keepNext/>
              <w:spacing w:before="0" w:beforeAutospacing="0" w:afterAutospacing="0"/>
            </w:pPr>
            <w:r>
              <w:t>Cracker ~550–650°C; PCFC ~500–600°C</w:t>
            </w:r>
          </w:p>
        </w:tc>
        <w:tc>
          <w:tcPr>
            <w:tcW w:w="2075" w:type="dxa"/>
          </w:tcPr>
          <w:p w14:paraId="566B6FDF" w14:textId="77777777" w:rsidR="009C3A0E" w:rsidRDefault="00994197">
            <w:pPr>
              <w:pStyle w:val="cTableBody"/>
              <w:keepNext/>
              <w:spacing w:before="0" w:beforeAutospacing="0" w:afterAutospacing="0"/>
            </w:pPr>
            <w:r>
              <w:t>~59–62% optimized</w:t>
            </w:r>
          </w:p>
        </w:tc>
        <w:tc>
          <w:tcPr>
            <w:tcW w:w="1662" w:type="dxa"/>
          </w:tcPr>
          <w:p w14:paraId="72AFA257" w14:textId="77777777" w:rsidR="009C3A0E" w:rsidRDefault="00994197">
            <w:pPr>
              <w:pStyle w:val="cTableBody"/>
              <w:keepNext/>
              <w:spacing w:before="0" w:beforeAutospacing="0" w:afterAutospacing="0"/>
            </w:pPr>
            <w:r>
              <w:t>~58% central; ~55–60% range</w:t>
            </w:r>
          </w:p>
        </w:tc>
        <w:tc>
          <w:tcPr>
            <w:tcW w:w="2373" w:type="dxa"/>
          </w:tcPr>
          <w:p w14:paraId="56F3C5C3" w14:textId="77777777" w:rsidR="009C3A0E" w:rsidRDefault="00994197">
            <w:pPr>
              <w:pStyle w:val="cTableBody"/>
              <w:keepNext/>
              <w:spacing w:before="0" w:beforeAutospacing="0" w:afterAutospacing="0"/>
            </w:pPr>
            <w:r>
              <w:t>~$122/MWh-mechanical</w:t>
            </w:r>
          </w:p>
        </w:tc>
      </w:tr>
      <w:tr w:rsidR="009C3A0E" w14:paraId="33A6B0BD" w14:textId="77777777" w:rsidTr="009C3A0E">
        <w:tc>
          <w:tcPr>
            <w:tcW w:w="2088" w:type="dxa"/>
          </w:tcPr>
          <w:p w14:paraId="70AD1EFC" w14:textId="77777777" w:rsidR="009C3A0E" w:rsidRDefault="00994197">
            <w:pPr>
              <w:pStyle w:val="cTableBody"/>
              <w:keepNext/>
              <w:spacing w:before="0" w:beforeAutospacing="0" w:afterAutospacing="0"/>
            </w:pPr>
            <w:r>
              <w:t>HSFO + large low-speed diesel + scrubber</w:t>
            </w:r>
          </w:p>
        </w:tc>
        <w:tc>
          <w:tcPr>
            <w:tcW w:w="1954" w:type="dxa"/>
          </w:tcPr>
          <w:p w14:paraId="3C8A991E" w14:textId="77777777" w:rsidR="009C3A0E" w:rsidRDefault="00994197">
            <w:pPr>
              <w:pStyle w:val="cTableBody"/>
              <w:keepNext/>
              <w:spacing w:before="0" w:beforeAutospacing="0" w:afterAutospacing="0"/>
            </w:pPr>
            <w:r>
              <w:t>Fossil Fuel Combustion</w:t>
            </w:r>
          </w:p>
        </w:tc>
        <w:tc>
          <w:tcPr>
            <w:tcW w:w="2075" w:type="dxa"/>
          </w:tcPr>
          <w:p w14:paraId="2C20D935" w14:textId="77777777" w:rsidR="009C3A0E" w:rsidRDefault="00994197">
            <w:pPr>
              <w:pStyle w:val="cTableBody"/>
              <w:keepNext/>
              <w:spacing w:before="0" w:beforeAutospacing="0" w:afterAutospacing="0"/>
            </w:pPr>
            <w:r>
              <w:t>~50% shaft before scrubber load</w:t>
            </w:r>
          </w:p>
        </w:tc>
        <w:tc>
          <w:tcPr>
            <w:tcW w:w="1662" w:type="dxa"/>
          </w:tcPr>
          <w:p w14:paraId="0339A0C5" w14:textId="77777777" w:rsidR="009C3A0E" w:rsidRDefault="00994197">
            <w:pPr>
              <w:pStyle w:val="cTableBody"/>
              <w:keepNext/>
              <w:spacing w:before="0" w:beforeAutospacing="0" w:afterAutospacing="0"/>
            </w:pPr>
            <w:r>
              <w:t>~49% effective</w:t>
            </w:r>
          </w:p>
        </w:tc>
        <w:tc>
          <w:tcPr>
            <w:tcW w:w="2373" w:type="dxa"/>
          </w:tcPr>
          <w:p w14:paraId="54D9693A" w14:textId="77777777" w:rsidR="009C3A0E" w:rsidRDefault="00994197">
            <w:pPr>
              <w:pStyle w:val="cTableBody"/>
              <w:keepNext/>
              <w:spacing w:before="0" w:beforeAutospacing="0" w:afterAutospacing="0"/>
            </w:pPr>
            <w:r>
              <w:t>~$107/MWh-mechanical at today's Singapore HSFO price</w:t>
            </w:r>
          </w:p>
        </w:tc>
      </w:tr>
      <w:tr w:rsidR="009C3A0E" w14:paraId="2F27D7C2" w14:textId="77777777" w:rsidTr="009C3A0E">
        <w:tc>
          <w:tcPr>
            <w:tcW w:w="2088" w:type="dxa"/>
          </w:tcPr>
          <w:p w14:paraId="1CD704E6" w14:textId="77777777" w:rsidR="009C3A0E" w:rsidRDefault="00994197">
            <w:pPr>
              <w:pStyle w:val="cTableBody"/>
              <w:spacing w:before="0"/>
            </w:pPr>
            <w:r>
              <w:t>VLSFO + large low-speed diesel</w:t>
            </w:r>
          </w:p>
        </w:tc>
        <w:tc>
          <w:tcPr>
            <w:tcW w:w="1954" w:type="dxa"/>
          </w:tcPr>
          <w:p w14:paraId="7FE3B4E8" w14:textId="77777777" w:rsidR="009C3A0E" w:rsidRDefault="00994197">
            <w:pPr>
              <w:pStyle w:val="cTableBody"/>
              <w:spacing w:before="0"/>
            </w:pPr>
            <w:r>
              <w:t>Fossil Fuel Combustion</w:t>
            </w:r>
          </w:p>
        </w:tc>
        <w:tc>
          <w:tcPr>
            <w:tcW w:w="2075" w:type="dxa"/>
          </w:tcPr>
          <w:p w14:paraId="5DA021D0" w14:textId="77777777" w:rsidR="009C3A0E" w:rsidRDefault="00994197">
            <w:pPr>
              <w:pStyle w:val="cTableBody"/>
              <w:spacing w:before="0"/>
            </w:pPr>
            <w:r>
              <w:t>~50%</w:t>
            </w:r>
          </w:p>
        </w:tc>
        <w:tc>
          <w:tcPr>
            <w:tcW w:w="1662" w:type="dxa"/>
          </w:tcPr>
          <w:p w14:paraId="633E1A60" w14:textId="77777777" w:rsidR="009C3A0E" w:rsidRDefault="00994197">
            <w:pPr>
              <w:pStyle w:val="cTableBody"/>
              <w:spacing w:before="0"/>
            </w:pPr>
            <w:r>
              <w:t>~50%</w:t>
            </w:r>
          </w:p>
        </w:tc>
        <w:tc>
          <w:tcPr>
            <w:tcW w:w="2373" w:type="dxa"/>
          </w:tcPr>
          <w:p w14:paraId="6086D1B4" w14:textId="77777777" w:rsidR="009C3A0E" w:rsidRDefault="00994197">
            <w:pPr>
              <w:pStyle w:val="cTableBody"/>
              <w:spacing w:before="0"/>
            </w:pPr>
            <w:r>
              <w:t>~$146/MWh-mechanical at today's Singapore VLSFO price</w:t>
            </w:r>
          </w:p>
        </w:tc>
      </w:tr>
    </w:tbl>
    <w:p w14:paraId="268D0080" w14:textId="77777777" w:rsidR="009C3A0E" w:rsidRDefault="00994197">
      <w:pPr>
        <w:rPr>
          <w:rFonts w:asciiTheme="majorHAnsi" w:eastAsia="Times New Roman" w:hAnsiTheme="majorHAnsi" w:cstheme="majorHAnsi"/>
          <w:szCs w:val="24"/>
        </w:rPr>
      </w:pPr>
      <w:r>
        <w:rPr>
          <w:rFonts w:eastAsia="Times New Roman" w:cstheme="majorHAnsi"/>
          <w:szCs w:val="24"/>
        </w:rPr>
        <w:t xml:space="preserve">The one- or two-percentage-point distinction between the two SOFC cases should </w:t>
      </w:r>
      <w:r>
        <w:rPr>
          <w:rFonts w:eastAsia="Times New Roman" w:cstheme="majorHAnsi"/>
          <w:b/>
          <w:bCs/>
          <w:szCs w:val="24"/>
        </w:rPr>
        <w:t>not</w:t>
      </w:r>
      <w:r>
        <w:rPr>
          <w:rFonts w:eastAsia="Times New Roman" w:cstheme="majorHAnsi"/>
          <w:szCs w:val="24"/>
        </w:rPr>
        <w:t xml:space="preserve"> be treated as established fact. They are essentially tied thermodynamically at this stage. I slightly favor partial cracking for an actual ship because it gives much better control of stack temperature, ammonia exposure and catalyst replacement, rather than because it has some large inherent efficiency advantage.</w:t>
      </w:r>
    </w:p>
    <w:p w14:paraId="0A58EBDF" w14:textId="77777777" w:rsidR="009C3A0E" w:rsidRDefault="00994197">
      <w:pPr>
        <w:pStyle w:val="Heading3"/>
        <w:spacing w:before="280" w:after="280"/>
      </w:pPr>
      <w:r>
        <w:t>The ammonia calculation</w:t>
      </w:r>
    </w:p>
    <w:p w14:paraId="105D746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At $365/t:</w:t>
      </w:r>
    </w:p>
    <w:p w14:paraId="6C4825BA" w14:textId="77777777" w:rsidR="009C3A0E" w:rsidRDefault="00994197" w:rsidP="005D737C">
      <w:pPr>
        <w:spacing w:before="280" w:after="280"/>
        <w:ind w:left="360"/>
        <w:rPr>
          <w:rFonts w:asciiTheme="majorHAnsi" w:eastAsia="Times New Roman" w:hAnsiTheme="majorHAnsi" w:cstheme="majorHAnsi"/>
          <w:color w:val="4F81BD" w:themeColor="accent1"/>
          <w:szCs w:val="24"/>
        </w:rPr>
      </w:pPr>
      <w:r>
        <w:t>Fuel energy cost: $365 / 5.17 MWhₜₕ/t = $70.6/MWhₜₕ.</w:t>
      </w:r>
    </w:p>
    <w:p w14:paraId="26DC504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Therefore:</w:t>
      </w:r>
    </w:p>
    <w:p w14:paraId="6CFF6E81" w14:textId="77777777" w:rsidR="009C3A0E" w:rsidRDefault="00994197" w:rsidP="005D737C">
      <w:pPr>
        <w:spacing w:before="280" w:after="280"/>
        <w:ind w:left="360"/>
        <w:rPr>
          <w:rFonts w:asciiTheme="majorHAnsi" w:eastAsia="Times New Roman" w:hAnsiTheme="majorHAnsi" w:cstheme="majorHAnsi"/>
          <w:color w:val="4F81BD" w:themeColor="accent1"/>
          <w:szCs w:val="24"/>
        </w:rPr>
      </w:pPr>
      <w:r>
        <w:t>Direct SOFC, 64% shaft efficiency: $70.6 / 0.64 ≈ $110/MWh-shaft.</w:t>
      </w:r>
    </w:p>
    <w:p w14:paraId="1E3F411A" w14:textId="77777777" w:rsidR="009C3A0E" w:rsidRDefault="00994197" w:rsidP="005D737C">
      <w:pPr>
        <w:spacing w:before="280" w:after="280"/>
        <w:ind w:left="360"/>
        <w:rPr>
          <w:rFonts w:asciiTheme="majorHAnsi" w:eastAsia="Times New Roman" w:hAnsiTheme="majorHAnsi" w:cstheme="majorHAnsi"/>
          <w:color w:val="4F81BD" w:themeColor="accent1"/>
          <w:szCs w:val="24"/>
        </w:rPr>
      </w:pPr>
      <w:r>
        <w:t>Partial-cracking SOFC, 65%: $70.6 / 0.65 ≈ $109/MWh-shaft.</w:t>
      </w:r>
    </w:p>
    <w:p w14:paraId="7BB14E32" w14:textId="77777777" w:rsidR="009C3A0E" w:rsidRDefault="00994197" w:rsidP="005D737C">
      <w:pPr>
        <w:spacing w:before="280" w:after="280"/>
        <w:ind w:left="360"/>
        <w:rPr>
          <w:rFonts w:asciiTheme="majorHAnsi" w:eastAsia="Times New Roman" w:hAnsiTheme="majorHAnsi" w:cstheme="majorHAnsi"/>
          <w:color w:val="4F81BD" w:themeColor="accent1"/>
          <w:szCs w:val="24"/>
        </w:rPr>
      </w:pPr>
      <w:r>
        <w:t>PCFC, 58%: $70.6 / 0.58 ≈ $122/MWh-shaft.</w:t>
      </w:r>
    </w:p>
    <w:p w14:paraId="5C11C68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Those results are almost entirely controlled by two numbers: the $365/t ammonia price and the fuel-to-shaft efficiency.</w:t>
      </w:r>
    </w:p>
    <w:p w14:paraId="30F923E6" w14:textId="77777777" w:rsidR="009C3A0E" w:rsidRDefault="00994197">
      <w:pPr>
        <w:pStyle w:val="Heading2"/>
        <w:spacing w:before="280"/>
      </w:pPr>
      <w:r>
        <w:t>Comparison with today's bunker fuel</w:t>
      </w:r>
    </w:p>
    <w:p w14:paraId="60E2EAA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For a concrete benchmark, Singapore is useful because it is the world's major bunkering hub. Current Ship &amp; Bunker prices are approximately </w:t>
      </w:r>
      <w:r>
        <w:rPr>
          <w:rFonts w:eastAsia="Times New Roman" w:cstheme="majorHAnsi"/>
          <w:b/>
          <w:bCs/>
          <w:szCs w:val="24"/>
        </w:rPr>
        <w:t>$588.50/t for IFO380/HSFO</w:t>
      </w:r>
      <w:r>
        <w:rPr>
          <w:rFonts w:eastAsia="Times New Roman" w:cstheme="majorHAnsi"/>
          <w:szCs w:val="24"/>
        </w:rPr>
        <w:t xml:space="preserve"> and </w:t>
      </w:r>
      <w:r>
        <w:rPr>
          <w:rFonts w:eastAsia="Times New Roman" w:cstheme="majorHAnsi"/>
          <w:b/>
          <w:bCs/>
          <w:szCs w:val="24"/>
        </w:rPr>
        <w:t>$821.50/t for VLSFO</w:t>
      </w:r>
      <w:r>
        <w:rPr>
          <w:rFonts w:eastAsia="Times New Roman" w:cstheme="majorHAnsi"/>
          <w:szCs w:val="24"/>
        </w:rPr>
        <w:t>. These prices are unusually important to timestamp because bunker prices are volatile.</w:t>
      </w:r>
    </w:p>
    <w:p w14:paraId="7C50AFB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IMO uses approximately </w:t>
      </w:r>
      <w:r>
        <w:rPr>
          <w:rFonts w:eastAsia="Times New Roman" w:cstheme="majorHAnsi"/>
          <w:b/>
          <w:bCs/>
          <w:szCs w:val="24"/>
        </w:rPr>
        <w:t>40.4 MJ/kg LHV for heavy fuel oil</w:t>
      </w:r>
      <w:r>
        <w:rPr>
          <w:rFonts w:eastAsia="Times New Roman" w:cstheme="majorHAnsi"/>
          <w:szCs w:val="24"/>
        </w:rPr>
        <w:t xml:space="preserve">, equivalent to about </w:t>
      </w:r>
      <w:r>
        <w:rPr>
          <w:rFonts w:eastAsia="Times New Roman" w:cstheme="majorHAnsi"/>
          <w:b/>
          <w:bCs/>
          <w:szCs w:val="24"/>
        </w:rPr>
        <w:t>11.22 MWh/t</w:t>
      </w:r>
      <w:r>
        <w:rPr>
          <w:rFonts w:eastAsia="Times New Roman" w:cstheme="majorHAnsi"/>
          <w:szCs w:val="24"/>
        </w:rPr>
        <w:t xml:space="preserve">. Large low-speed two-stroke diesels can exceed 50% thermal efficiency. </w:t>
      </w:r>
    </w:p>
    <w:p w14:paraId="3E717E95" w14:textId="77777777" w:rsidR="009C3A0E" w:rsidRDefault="00994197">
      <w:pPr>
        <w:spacing w:before="280" w:after="280"/>
        <w:rPr>
          <w:rFonts w:asciiTheme="majorHAnsi" w:eastAsia="Times New Roman" w:hAnsiTheme="majorHAnsi" w:cstheme="majorHAnsi"/>
          <w:szCs w:val="24"/>
        </w:rPr>
      </w:pPr>
      <w:r>
        <w:t>Thus, HSFO at $588.50/t costs about $588.50 / (11.22 × 0.50) ≈ $105/MWh-shaft before scrubber energy.</w:t>
      </w:r>
    </w:p>
    <w:p w14:paraId="2311ED14" w14:textId="77777777" w:rsidR="009C3A0E" w:rsidRDefault="00994197" w:rsidP="005D737C">
      <w:pPr>
        <w:spacing w:before="280" w:after="280"/>
        <w:ind w:left="360" w:right="-522"/>
        <w:rPr>
          <w:rFonts w:asciiTheme="majorHAnsi" w:eastAsia="Times New Roman" w:hAnsiTheme="majorHAnsi" w:cstheme="majorHAnsi"/>
          <w:szCs w:val="24"/>
        </w:rPr>
      </w:pPr>
      <w:r>
        <w:t>But HSFO requires an exhaust-gas cleaning system to comply with the global sulfur limit where such use is permitted; IMO recognizes scrubbers as a compliance route. With a roughly 2% scrubber energy penalty, the effective fuel cost is approximately $107/MWh-shaft.</w:t>
      </w:r>
    </w:p>
    <w:p w14:paraId="01C0CEAB" w14:textId="77777777" w:rsidR="009C3A0E" w:rsidRDefault="00994197">
      <w:pPr>
        <w:spacing w:before="280" w:after="280"/>
        <w:rPr>
          <w:rFonts w:asciiTheme="majorHAnsi" w:eastAsia="Times New Roman" w:hAnsiTheme="majorHAnsi" w:cstheme="majorHAnsi"/>
          <w:szCs w:val="24"/>
        </w:rPr>
      </w:pPr>
      <w:r>
        <w:t>VLSFO doesn't require the sulfur scrubber for the global 0.50% sulfur standard. At $821.50/t and 50% efficiency: $821.50 / (11.22 × 0.50) ≈ $146/MWh-shaft.</w:t>
      </w:r>
    </w:p>
    <w:p w14:paraId="5CC524A6" w14:textId="77777777" w:rsidR="009C3A0E" w:rsidRDefault="00994197">
      <w:pPr>
        <w:rPr>
          <w:rFonts w:asciiTheme="majorHAnsi" w:eastAsia="Times New Roman" w:hAnsiTheme="majorHAnsi" w:cstheme="majorHAnsi"/>
          <w:szCs w:val="24"/>
        </w:rPr>
      </w:pPr>
      <w:r>
        <w:rPr>
          <w:rFonts w:eastAsia="Times New Roman" w:cstheme="majorHAnsi"/>
          <w:szCs w:val="24"/>
        </w:rPr>
        <w:t>So, the striking result is:</w:t>
      </w:r>
    </w:p>
    <w:tbl>
      <w:tblPr>
        <w:tblStyle w:val="gswTableStyle"/>
        <w:tblW w:w="10245" w:type="dxa"/>
        <w:tblLayout w:type="fixed"/>
        <w:tblLook w:val="04A0" w:firstRow="1" w:lastRow="0" w:firstColumn="1" w:lastColumn="0" w:noHBand="0" w:noVBand="1"/>
      </w:tblPr>
      <w:tblGrid>
        <w:gridCol w:w="3546"/>
        <w:gridCol w:w="3307"/>
        <w:gridCol w:w="3392"/>
      </w:tblGrid>
      <w:tr w:rsidR="009C3A0E" w14:paraId="11A149B1" w14:textId="77777777" w:rsidTr="00DC5411">
        <w:trPr>
          <w:cnfStyle w:val="100000000000" w:firstRow="1" w:lastRow="0" w:firstColumn="0" w:lastColumn="0" w:oddVBand="0" w:evenVBand="0" w:oddHBand="0" w:evenHBand="0" w:firstRowFirstColumn="0" w:firstRowLastColumn="0" w:lastRowFirstColumn="0" w:lastRowLastColumn="0"/>
          <w:tblHeader/>
        </w:trPr>
        <w:tc>
          <w:tcPr>
            <w:tcW w:w="3546" w:type="dxa"/>
          </w:tcPr>
          <w:p w14:paraId="121BECCB" w14:textId="77777777" w:rsidR="009C3A0E" w:rsidRDefault="00994197">
            <w:pPr>
              <w:pStyle w:val="cTableHeader"/>
              <w:spacing w:before="0" w:after="0"/>
            </w:pPr>
            <w:r>
              <w:t>Fuel/technology</w:t>
            </w:r>
          </w:p>
        </w:tc>
        <w:tc>
          <w:tcPr>
            <w:tcW w:w="3307" w:type="dxa"/>
          </w:tcPr>
          <w:p w14:paraId="5457F539" w14:textId="77777777" w:rsidR="009C3A0E" w:rsidRDefault="00994197">
            <w:pPr>
              <w:pStyle w:val="cTableHeader"/>
              <w:spacing w:before="0" w:after="0"/>
            </w:pPr>
            <w:r>
              <w:t>Fuel cost per MWh of shaft energy</w:t>
            </w:r>
          </w:p>
        </w:tc>
        <w:tc>
          <w:tcPr>
            <w:tcW w:w="3392" w:type="dxa"/>
          </w:tcPr>
          <w:p w14:paraId="4D675E81" w14:textId="77777777" w:rsidR="009C3A0E" w:rsidRDefault="00994197">
            <w:pPr>
              <w:pStyle w:val="cTableHeader"/>
              <w:spacing w:before="0" w:after="0"/>
            </w:pPr>
            <w:r>
              <w:t>Relative to $365/t NH₃ partial-SOFC</w:t>
            </w:r>
          </w:p>
        </w:tc>
      </w:tr>
      <w:tr w:rsidR="009C3A0E" w14:paraId="7048F626" w14:textId="77777777" w:rsidTr="00DC5411">
        <w:tc>
          <w:tcPr>
            <w:tcW w:w="3546" w:type="dxa"/>
          </w:tcPr>
          <w:p w14:paraId="7394C212" w14:textId="77777777" w:rsidR="009C3A0E" w:rsidRDefault="00994197">
            <w:pPr>
              <w:pStyle w:val="cTableBody"/>
              <w:spacing w:before="0"/>
            </w:pPr>
            <w:r>
              <w:t>HSFO + diesel + scrubber</w:t>
            </w:r>
          </w:p>
        </w:tc>
        <w:tc>
          <w:tcPr>
            <w:tcW w:w="3307" w:type="dxa"/>
          </w:tcPr>
          <w:p w14:paraId="2CE62447" w14:textId="77777777" w:rsidR="009C3A0E" w:rsidRDefault="00994197">
            <w:pPr>
              <w:pStyle w:val="cTableBody"/>
              <w:tabs>
                <w:tab w:val="left" w:pos="800"/>
              </w:tabs>
              <w:spacing w:before="0"/>
            </w:pPr>
            <w:r>
              <w:t xml:space="preserve">~$107 </w:t>
            </w:r>
            <w:r>
              <w:rPr>
                <w:rFonts w:eastAsia="Times New Roman" w:cstheme="majorHAnsi"/>
                <w:szCs w:val="24"/>
              </w:rPr>
              <w:tab/>
            </w:r>
            <w:r>
              <w:t xml:space="preserve"> (fossil fuel, high sulfur)</w:t>
            </w:r>
          </w:p>
        </w:tc>
        <w:tc>
          <w:tcPr>
            <w:tcW w:w="3392" w:type="dxa"/>
          </w:tcPr>
          <w:p w14:paraId="140A7576" w14:textId="77777777" w:rsidR="009C3A0E" w:rsidRDefault="00994197">
            <w:pPr>
              <w:pStyle w:val="cTableBody"/>
              <w:spacing w:before="0"/>
            </w:pPr>
            <w:r>
              <w:t>~2% cheaper</w:t>
            </w:r>
          </w:p>
        </w:tc>
      </w:tr>
      <w:tr w:rsidR="009C3A0E" w14:paraId="6447E50C" w14:textId="77777777" w:rsidTr="00DC5411">
        <w:tc>
          <w:tcPr>
            <w:tcW w:w="3546" w:type="dxa"/>
          </w:tcPr>
          <w:p w14:paraId="3A17F82E" w14:textId="77777777" w:rsidR="009C3A0E" w:rsidRDefault="00994197">
            <w:pPr>
              <w:pStyle w:val="cTableBody"/>
              <w:spacing w:before="0"/>
            </w:pPr>
            <w:r>
              <w:t>Green NH₃ + partial-cracking SOFC</w:t>
            </w:r>
          </w:p>
        </w:tc>
        <w:tc>
          <w:tcPr>
            <w:tcW w:w="3307" w:type="dxa"/>
          </w:tcPr>
          <w:p w14:paraId="4498D799" w14:textId="77777777" w:rsidR="009C3A0E" w:rsidRDefault="00994197">
            <w:pPr>
              <w:pStyle w:val="cTableBody"/>
              <w:tabs>
                <w:tab w:val="left" w:pos="800"/>
              </w:tabs>
              <w:spacing w:before="0"/>
            </w:pPr>
            <w:r>
              <w:t xml:space="preserve">~$109 </w:t>
            </w:r>
            <w:r>
              <w:rPr>
                <w:rFonts w:eastAsia="Times New Roman" w:cstheme="majorHAnsi"/>
                <w:szCs w:val="24"/>
              </w:rPr>
              <w:tab/>
            </w:r>
            <w:r>
              <w:t xml:space="preserve"> (green ammonia)</w:t>
            </w:r>
          </w:p>
        </w:tc>
        <w:tc>
          <w:tcPr>
            <w:tcW w:w="3392" w:type="dxa"/>
          </w:tcPr>
          <w:p w14:paraId="3693EF16" w14:textId="77777777" w:rsidR="009C3A0E" w:rsidRDefault="00994197">
            <w:pPr>
              <w:pStyle w:val="cTableBody"/>
              <w:spacing w:before="0"/>
            </w:pPr>
            <w:r>
              <w:t>Baseline</w:t>
            </w:r>
          </w:p>
        </w:tc>
      </w:tr>
      <w:tr w:rsidR="009C3A0E" w14:paraId="1B760E2E" w14:textId="77777777" w:rsidTr="00DC5411">
        <w:tc>
          <w:tcPr>
            <w:tcW w:w="3546" w:type="dxa"/>
          </w:tcPr>
          <w:p w14:paraId="352AF732" w14:textId="77777777" w:rsidR="009C3A0E" w:rsidRDefault="00994197">
            <w:pPr>
              <w:pStyle w:val="cTableBody"/>
              <w:spacing w:before="0"/>
            </w:pPr>
            <w:r>
              <w:t>Green NH₃ + direct SOFC</w:t>
            </w:r>
          </w:p>
        </w:tc>
        <w:tc>
          <w:tcPr>
            <w:tcW w:w="3307" w:type="dxa"/>
          </w:tcPr>
          <w:p w14:paraId="4C59F9FA" w14:textId="77777777" w:rsidR="009C3A0E" w:rsidRDefault="00994197">
            <w:pPr>
              <w:pStyle w:val="cTableBody"/>
              <w:tabs>
                <w:tab w:val="left" w:pos="800"/>
              </w:tabs>
              <w:spacing w:before="0"/>
            </w:pPr>
            <w:r>
              <w:t xml:space="preserve">~$110 </w:t>
            </w:r>
            <w:r>
              <w:rPr>
                <w:rFonts w:eastAsia="Times New Roman" w:cstheme="majorHAnsi"/>
                <w:szCs w:val="24"/>
              </w:rPr>
              <w:tab/>
            </w:r>
            <w:r>
              <w:t xml:space="preserve"> (green ammonia)</w:t>
            </w:r>
          </w:p>
        </w:tc>
        <w:tc>
          <w:tcPr>
            <w:tcW w:w="3392" w:type="dxa"/>
          </w:tcPr>
          <w:p w14:paraId="32D7CA3B" w14:textId="77777777" w:rsidR="009C3A0E" w:rsidRDefault="00994197">
            <w:pPr>
              <w:pStyle w:val="cTableBody"/>
              <w:spacing w:before="0"/>
            </w:pPr>
            <w:r>
              <w:t>~1% higher</w:t>
            </w:r>
          </w:p>
        </w:tc>
      </w:tr>
      <w:tr w:rsidR="009C3A0E" w14:paraId="6681FFC1" w14:textId="77777777" w:rsidTr="00DC5411">
        <w:tc>
          <w:tcPr>
            <w:tcW w:w="3546" w:type="dxa"/>
          </w:tcPr>
          <w:p w14:paraId="1B0ABEE6" w14:textId="77777777" w:rsidR="009C3A0E" w:rsidRDefault="00994197">
            <w:pPr>
              <w:pStyle w:val="cTableBody"/>
              <w:spacing w:before="0"/>
            </w:pPr>
            <w:r>
              <w:t>Green NH₃ + PCFC</w:t>
            </w:r>
          </w:p>
        </w:tc>
        <w:tc>
          <w:tcPr>
            <w:tcW w:w="3307" w:type="dxa"/>
          </w:tcPr>
          <w:p w14:paraId="064A3C46" w14:textId="77777777" w:rsidR="009C3A0E" w:rsidRDefault="00994197">
            <w:pPr>
              <w:pStyle w:val="cTableBody"/>
              <w:tabs>
                <w:tab w:val="left" w:pos="800"/>
              </w:tabs>
              <w:spacing w:before="0"/>
            </w:pPr>
            <w:r>
              <w:t>~$122</w:t>
            </w:r>
            <w:r>
              <w:rPr>
                <w:rFonts w:eastAsia="Times New Roman" w:cstheme="majorHAnsi"/>
                <w:szCs w:val="24"/>
              </w:rPr>
              <w:tab/>
            </w:r>
            <w:r>
              <w:t xml:space="preserve"> (green ammonia)</w:t>
            </w:r>
          </w:p>
        </w:tc>
        <w:tc>
          <w:tcPr>
            <w:tcW w:w="3392" w:type="dxa"/>
          </w:tcPr>
          <w:p w14:paraId="68F6FE2D" w14:textId="77777777" w:rsidR="009C3A0E" w:rsidRDefault="00994197">
            <w:pPr>
              <w:pStyle w:val="cTableBody"/>
              <w:spacing w:before="0"/>
            </w:pPr>
            <w:r>
              <w:t>~12% higher</w:t>
            </w:r>
          </w:p>
        </w:tc>
      </w:tr>
      <w:tr w:rsidR="009C3A0E" w14:paraId="0838E933" w14:textId="77777777" w:rsidTr="00DC5411">
        <w:tc>
          <w:tcPr>
            <w:tcW w:w="3546" w:type="dxa"/>
          </w:tcPr>
          <w:p w14:paraId="243D6F2C" w14:textId="77777777" w:rsidR="009C3A0E" w:rsidRDefault="00994197">
            <w:pPr>
              <w:pStyle w:val="cTableBody"/>
              <w:spacing w:before="0"/>
            </w:pPr>
            <w:r>
              <w:t>VLSFO + diesel</w:t>
            </w:r>
          </w:p>
        </w:tc>
        <w:tc>
          <w:tcPr>
            <w:tcW w:w="3307" w:type="dxa"/>
          </w:tcPr>
          <w:p w14:paraId="63DEBF94" w14:textId="77777777" w:rsidR="009C3A0E" w:rsidRDefault="00994197">
            <w:pPr>
              <w:pStyle w:val="cTableBody"/>
              <w:tabs>
                <w:tab w:val="left" w:pos="800"/>
              </w:tabs>
              <w:spacing w:before="0"/>
            </w:pPr>
            <w:r>
              <w:t>~$146</w:t>
            </w:r>
            <w:r>
              <w:rPr>
                <w:rFonts w:eastAsia="Times New Roman" w:cstheme="majorHAnsi"/>
                <w:szCs w:val="24"/>
              </w:rPr>
              <w:tab/>
            </w:r>
            <w:r>
              <w:t xml:space="preserve"> (fossil fuel, low sulfur)</w:t>
            </w:r>
          </w:p>
        </w:tc>
        <w:tc>
          <w:tcPr>
            <w:tcW w:w="3392" w:type="dxa"/>
          </w:tcPr>
          <w:p w14:paraId="73686D60" w14:textId="77777777" w:rsidR="009C3A0E" w:rsidRDefault="00994197">
            <w:pPr>
              <w:pStyle w:val="cTableBody"/>
              <w:spacing w:before="0"/>
            </w:pPr>
            <w:r>
              <w:t>~34% more expensive</w:t>
            </w:r>
          </w:p>
        </w:tc>
      </w:tr>
    </w:tbl>
    <w:p w14:paraId="0A56FD9B" w14:textId="77777777" w:rsidR="009C3A0E" w:rsidRDefault="00994197">
      <w:pPr>
        <w:rPr>
          <w:rFonts w:asciiTheme="majorHAnsi" w:eastAsia="Times New Roman" w:hAnsiTheme="majorHAnsi" w:cstheme="majorHAnsi"/>
          <w:szCs w:val="24"/>
        </w:rPr>
      </w:pPr>
      <w:r>
        <w:rPr>
          <w:rFonts w:eastAsia="Times New Roman" w:cstheme="majorHAnsi"/>
          <w:szCs w:val="24"/>
        </w:rPr>
        <w:t xml:space="preserve">At these particular August 2026 bunker prices, therefore, your </w:t>
      </w:r>
      <w:r>
        <w:rPr>
          <w:rFonts w:eastAsia="Times New Roman" w:cstheme="majorHAnsi"/>
          <w:b/>
          <w:bCs/>
          <w:szCs w:val="24"/>
        </w:rPr>
        <w:t>$365/t nuclear green ammonia is almost at fuel-cost parity with HSFO</w:t>
      </w:r>
      <w:r>
        <w:rPr>
          <w:rFonts w:eastAsia="Times New Roman" w:cstheme="majorHAnsi"/>
          <w:szCs w:val="24"/>
        </w:rPr>
        <w:t>, assuming we succeed in building a ~65%-efficient ammonia-to-shaft SOFC system.</w:t>
      </w:r>
    </w:p>
    <w:p w14:paraId="464BE00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And it is </w:t>
      </w:r>
      <w:r>
        <w:rPr>
          <w:rFonts w:eastAsia="Times New Roman" w:cstheme="majorHAnsi"/>
          <w:b/>
          <w:bCs/>
          <w:szCs w:val="24"/>
        </w:rPr>
        <w:t>substantially cheaper than VLSFO</w:t>
      </w:r>
      <w:r>
        <w:rPr>
          <w:rFonts w:eastAsia="Times New Roman" w:cstheme="majorHAnsi"/>
          <w:szCs w:val="24"/>
        </w:rPr>
        <w:t xml:space="preserve">: roughly $109 versus $146/MWh-shaft, a savings of about </w:t>
      </w:r>
      <w:r>
        <w:rPr>
          <w:rFonts w:eastAsia="Times New Roman" w:cstheme="majorHAnsi"/>
          <w:b/>
          <w:bCs/>
          <w:szCs w:val="24"/>
        </w:rPr>
        <w:t>25%</w:t>
      </w:r>
      <w:r>
        <w:rPr>
          <w:rFonts w:eastAsia="Times New Roman" w:cstheme="majorHAnsi"/>
          <w:szCs w:val="24"/>
        </w:rPr>
        <w:t>.</w:t>
      </w:r>
    </w:p>
    <w:p w14:paraId="67DD3EC8" w14:textId="77777777" w:rsidR="009C3A0E" w:rsidRDefault="00994197">
      <w:pPr>
        <w:pStyle w:val="Heading2"/>
        <w:spacing w:before="280"/>
      </w:pPr>
      <w:r>
        <w:t>Waste-heat recovery is crucial</w:t>
      </w:r>
    </w:p>
    <w:p w14:paraId="2DBE763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For the SOFC cases, I would design the thermal system very aggressively. SOFCs themselves are ordinarily around 60% electrical efficiency; DOE specifically highlights their high-temperature exhaust and suitability for hybrid gas-turbine cycles. The way I get from roughly 60% stack/system </w:t>
      </w:r>
      <w:r>
        <w:rPr>
          <w:rFonts w:eastAsia="Times New Roman" w:cstheme="majorHAnsi"/>
          <w:szCs w:val="24"/>
        </w:rPr>
        <w:t xml:space="preserve">performance into the mid-60s at the propulsion shaft is not a miraculous fuel cell—it is </w:t>
      </w:r>
      <w:r>
        <w:rPr>
          <w:rFonts w:eastAsia="Times New Roman" w:cstheme="majorHAnsi"/>
          <w:b/>
          <w:bCs/>
          <w:szCs w:val="24"/>
        </w:rPr>
        <w:t>system integration</w:t>
      </w:r>
      <w:r>
        <w:rPr>
          <w:rFonts w:eastAsia="Times New Roman" w:cstheme="majorHAnsi"/>
          <w:szCs w:val="24"/>
        </w:rPr>
        <w:t>.</w:t>
      </w:r>
    </w:p>
    <w:p w14:paraId="7ECAFE7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hot exhaust first provides the endothermic heat for ammonia cracking and NH₃ vaporization/preheating. Remaining high-grade heat can then support a gas-turbine or other bottoming generator. Lower-grade heat supplies ship services. Power electronics and a very large marine electric motor then impose only a few percentage points of loss.</w:t>
      </w:r>
    </w:p>
    <w:p w14:paraId="4C91022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Heat pumps are useful only near the low-temperature end. It would be counterproductive to run a heat pump to create 600°C cracker heat when there is already 700–800°C SOFC exhaust available. Heat pumps can instead recover low-grade heat for HVAC, hot water, refrigeration and other hotel loads, thereby leaving more generated electricity available for propulsion.</w:t>
      </w:r>
    </w:p>
    <w:p w14:paraId="720D8EBA" w14:textId="77777777" w:rsidR="009C3A0E" w:rsidRDefault="00994197">
      <w:pPr>
        <w:pStyle w:val="Heading2"/>
        <w:spacing w:before="280"/>
      </w:pPr>
      <w:r>
        <w:t>There is another important comparison</w:t>
      </w:r>
    </w:p>
    <w:p w14:paraId="0D29649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numbers above compare </w:t>
      </w:r>
      <w:r>
        <w:rPr>
          <w:rFonts w:eastAsia="Times New Roman" w:cstheme="majorHAnsi"/>
          <w:b/>
          <w:bCs/>
          <w:szCs w:val="24"/>
        </w:rPr>
        <w:t>fuel cost</w:t>
      </w:r>
      <w:r>
        <w:rPr>
          <w:rFonts w:eastAsia="Times New Roman" w:cstheme="majorHAnsi"/>
          <w:szCs w:val="24"/>
        </w:rPr>
        <w:t>, not total propulsion cost.</w:t>
      </w:r>
    </w:p>
    <w:p w14:paraId="0805BC5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distinction could determine whether ammonia actually wins. An HSFO ship already has a relatively inexpensive, extraordinarily mature two-stroke diesel connected almost directly to the propeller shaft. The ammonia ship would need ammonia tanks and fuel handling, cracker equipment, large ceramic fuel-cell stacks, power electronics, electric motors, thermal-recovery equipment and emissions-control equipment.</w:t>
      </w:r>
    </w:p>
    <w:p w14:paraId="5F183A1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On the other hand, the ammonia system eliminates a great deal of diesel-engine machinery and potentially has fewer major moving parts. The direct-SOFC route also avoids the large external cracker. Whether stack replacement overwhelms those savings is something that needs an actual $/kW and stack-life model.</w:t>
      </w:r>
    </w:p>
    <w:p w14:paraId="3F7A4DD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There is also a </w:t>
      </w:r>
      <w:r>
        <w:rPr>
          <w:rFonts w:eastAsia="Times New Roman" w:cstheme="majorHAnsi"/>
          <w:b/>
          <w:bCs/>
          <w:szCs w:val="24"/>
        </w:rPr>
        <w:t>fuel-volume penalty</w:t>
      </w:r>
      <w:r>
        <w:rPr>
          <w:rFonts w:eastAsia="Times New Roman" w:cstheme="majorHAnsi"/>
          <w:szCs w:val="24"/>
        </w:rPr>
        <w:t>. Ammonia's volumetric energy density is much lower than HFO's. IMO analyses have estimated roughly 2.7 times the liquid-fuel volume per unit chemical energy for ammonia versus HFO. The ~65% fuel-cell efficiency versus ~50% diesel efficiency reduces that propulsion-level penalty substantially, but ammonia still takes considerably more tank volume.</w:t>
      </w:r>
    </w:p>
    <w:p w14:paraId="52081840" w14:textId="77777777" w:rsidR="009C3A0E" w:rsidRDefault="00994197">
      <w:pPr>
        <w:pStyle w:val="Heading2"/>
        <w:spacing w:before="280"/>
      </w:pPr>
      <w:r>
        <w:t>What I think is most significant</w:t>
      </w:r>
    </w:p>
    <w:p w14:paraId="1B973A7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number I would put in your Climate Moonshot analysis is:</w:t>
      </w:r>
    </w:p>
    <w:p w14:paraId="13AB0B07" w14:textId="77777777" w:rsidR="009C3A0E" w:rsidRDefault="00994197" w:rsidP="005D737C">
      <w:pPr>
        <w:pStyle w:val="bblueindent"/>
      </w:pPr>
      <w:r>
        <w:t>Automated Chinese PWR → $365/t green NH₃ → optimized partial-cracking SOFC ship → approximately $109/MWh of mechanical propulsion energy.</w:t>
      </w:r>
    </w:p>
    <w:p w14:paraId="23D2C19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Compare that with approximately:</w:t>
      </w:r>
    </w:p>
    <w:p w14:paraId="6758B017" w14:textId="77777777" w:rsidR="009C3A0E" w:rsidRDefault="00994197" w:rsidP="005D737C">
      <w:pPr>
        <w:tabs>
          <w:tab w:val="left" w:pos="1800"/>
        </w:tabs>
        <w:spacing w:before="280" w:after="280"/>
        <w:ind w:left="360"/>
        <w:rPr>
          <w:rFonts w:asciiTheme="majorHAnsi" w:eastAsia="Times New Roman" w:hAnsiTheme="majorHAnsi" w:cstheme="majorHAnsi"/>
          <w:color w:val="4F81BD" w:themeColor="accent1"/>
          <w:szCs w:val="24"/>
        </w:rPr>
      </w:pPr>
      <w:r>
        <w:rPr>
          <w:rFonts w:eastAsia="Times New Roman" w:cstheme="majorHAnsi"/>
          <w:color w:val="4F81BD" w:themeColor="accent1"/>
          <w:szCs w:val="24"/>
        </w:rPr>
        <w:t xml:space="preserve">HSFO today: </w:t>
      </w:r>
      <w:r>
        <w:rPr>
          <w:rFonts w:eastAsia="Times New Roman" w:cstheme="majorHAnsi"/>
          <w:color w:val="4F81BD" w:themeColor="accent1"/>
          <w:szCs w:val="24"/>
        </w:rPr>
        <w:tab/>
        <w:t>~$107/MWh-mechanical</w:t>
      </w:r>
    </w:p>
    <w:p w14:paraId="50684915" w14:textId="77777777" w:rsidR="009C3A0E" w:rsidRDefault="00994197" w:rsidP="005D737C">
      <w:pPr>
        <w:tabs>
          <w:tab w:val="left" w:pos="1800"/>
        </w:tabs>
        <w:spacing w:before="280" w:after="280"/>
        <w:ind w:left="360"/>
        <w:rPr>
          <w:rFonts w:asciiTheme="majorHAnsi" w:eastAsia="Times New Roman" w:hAnsiTheme="majorHAnsi" w:cstheme="majorHAnsi"/>
          <w:color w:val="4F81BD" w:themeColor="accent1"/>
          <w:szCs w:val="24"/>
        </w:rPr>
      </w:pPr>
      <w:r>
        <w:rPr>
          <w:rFonts w:eastAsia="Times New Roman" w:cstheme="majorHAnsi"/>
          <w:color w:val="4F81BD" w:themeColor="accent1"/>
          <w:szCs w:val="24"/>
        </w:rPr>
        <w:t>VLSFO today:</w:t>
      </w:r>
      <w:r>
        <w:rPr>
          <w:rFonts w:eastAsia="Times New Roman" w:cstheme="majorHAnsi"/>
          <w:color w:val="4F81BD" w:themeColor="accent1"/>
          <w:szCs w:val="24"/>
        </w:rPr>
        <w:tab/>
        <w:t>~$146/MWh-mechanical</w:t>
      </w:r>
    </w:p>
    <w:p w14:paraId="4BC8859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That means </w:t>
      </w:r>
      <w:r>
        <w:rPr>
          <w:rFonts w:eastAsia="Times New Roman" w:cstheme="majorHAnsi"/>
          <w:b/>
          <w:bCs/>
          <w:szCs w:val="24"/>
        </w:rPr>
        <w:t>$365/t green ammonia is already around the break-even fuel price against today's HSFO and comfortably below today's VLSFO</w:t>
      </w:r>
      <w:r>
        <w:rPr>
          <w:rFonts w:eastAsia="Times New Roman" w:cstheme="majorHAnsi"/>
          <w:szCs w:val="24"/>
        </w:rPr>
        <w:t>, provided the shipboard system really achieves approximately 65% ammonia-to-shaft efficiency.</w:t>
      </w:r>
    </w:p>
    <w:p w14:paraId="66B9DF5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next question I would investigate is even more consequential: </w:t>
      </w:r>
      <w:r>
        <w:rPr>
          <w:rFonts w:eastAsia="Times New Roman" w:cstheme="majorHAnsi"/>
          <w:b/>
          <w:bCs/>
          <w:szCs w:val="24"/>
        </w:rPr>
        <w:t>including the capital cost and replacement cost of the fuel cells, crackers, electric motors and ammonia tanks, what is the total $/MWh-shaft for a 50-MW or 100-MW container ship over 25 years?</w:t>
      </w:r>
      <w:r>
        <w:rPr>
          <w:rFonts w:eastAsia="Times New Roman" w:cstheme="majorHAnsi"/>
          <w:szCs w:val="24"/>
        </w:rPr>
        <w:t xml:space="preserve"> That would tell us whether $365/t nuclear ammonia merely has competitive </w:t>
      </w:r>
      <w:r>
        <w:rPr>
          <w:rFonts w:eastAsia="Times New Roman" w:cstheme="majorHAnsi"/>
          <w:i/>
          <w:iCs/>
          <w:szCs w:val="24"/>
        </w:rPr>
        <w:t>fuel</w:t>
      </w:r>
      <w:r>
        <w:rPr>
          <w:rFonts w:eastAsia="Times New Roman" w:cstheme="majorHAnsi"/>
          <w:szCs w:val="24"/>
        </w:rPr>
        <w:t xml:space="preserve"> economics or could actually produce a cheaper ship to operate overall.</w:t>
      </w:r>
    </w:p>
    <w:p w14:paraId="03B95B75" w14:textId="77777777" w:rsidR="009C3A0E" w:rsidRDefault="00994197">
      <w:pPr>
        <w:pStyle w:val="Heading1"/>
        <w:spacing w:before="280" w:after="280"/>
        <w:rPr>
          <w:rFonts w:cstheme="majorHAnsi"/>
        </w:rPr>
      </w:pPr>
      <w:bookmarkStart w:id="68" w:name="_Toc237345533"/>
      <w:bookmarkStart w:id="69" w:name="_Toc237471115"/>
      <w:bookmarkStart w:id="70" w:name="_Toc238129770"/>
      <w:bookmarkStart w:id="71" w:name="_Toc238205559"/>
      <w:r>
        <w:rPr>
          <w:rFonts w:cstheme="majorHAnsi"/>
        </w:rPr>
        <w:t>Cost of Ammonia Fuel Cell on Large Ships</w:t>
      </w:r>
      <w:bookmarkEnd w:id="68"/>
      <w:bookmarkEnd w:id="69"/>
      <w:bookmarkEnd w:id="70"/>
      <w:bookmarkEnd w:id="71"/>
    </w:p>
    <w:p w14:paraId="78F644FB" w14:textId="77777777" w:rsidR="009C3A0E" w:rsidRDefault="00994197">
      <w:pPr>
        <w:pStyle w:val="cUserPromptText"/>
        <w:spacing w:before="280" w:after="280"/>
        <w:rPr>
          <w:rFonts w:asciiTheme="majorHAnsi" w:hAnsiTheme="majorHAnsi" w:cstheme="majorHAnsi"/>
        </w:rPr>
      </w:pPr>
      <w:r>
        <w:rPr>
          <w:rStyle w:val="UserPromptHeadingChar"/>
        </w:rPr>
        <w:t xml:space="preserve">Prompt to AI: </w:t>
      </w:r>
      <w:r>
        <w:rPr>
          <w:rFonts w:cstheme="majorHAnsi"/>
        </w:rPr>
        <w:t>Including the capital cost and replacement cost of the fuel cells, crackers, electric motors and ammonia tanks, what is the total $/MWh-shaft for a 50-MW or 100-MW container ship over 25 years? Compare this with traditional HSFO (High Sulfur Fuel Oil) and VLSFO (Very Low Sulfur Fuel Oil) approaches. Assume we are looking at new construction in all cases.</w:t>
      </w:r>
    </w:p>
    <w:p w14:paraId="1AC15B34" w14:textId="77777777" w:rsidR="009C3A0E" w:rsidRDefault="00994197">
      <w:pPr>
        <w:spacing w:before="280" w:after="280"/>
      </w:pPr>
      <w:r>
        <w:rPr>
          <w:b/>
          <w:color w:val="4F81BD"/>
          <w:u w:val="single"/>
        </w:rPr>
        <w:t>Response From AI:</w:t>
      </w:r>
    </w:p>
    <w:p w14:paraId="06D4A3D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Including the propulsion hardware, ammonia tanks, fuel-cell stack replacement, cracker, power electronics, electric motors, waste-heat recovery, emissions equipment, and O&amp;M changes the comparison—but </w:t>
      </w:r>
      <w:r>
        <w:rPr>
          <w:rFonts w:eastAsia="Times New Roman" w:cstheme="majorHAnsi"/>
          <w:b/>
          <w:bCs/>
          <w:szCs w:val="24"/>
        </w:rPr>
        <w:t>$365/t ammonia still looks competitive with VLSFO</w:t>
      </w:r>
      <w:r>
        <w:rPr>
          <w:rFonts w:eastAsia="Times New Roman" w:cstheme="majorHAnsi"/>
          <w:szCs w:val="24"/>
        </w:rPr>
        <w:t>.</w:t>
      </w:r>
    </w:p>
    <w:p w14:paraId="269E7A0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My central estimate is:</w:t>
      </w:r>
    </w:p>
    <w:p w14:paraId="28BC08E1" w14:textId="77777777" w:rsidR="009C3A0E" w:rsidRDefault="00994197" w:rsidP="005D737C">
      <w:pPr>
        <w:tabs>
          <w:tab w:val="left" w:pos="4770"/>
          <w:tab w:val="left" w:pos="7110"/>
        </w:tabs>
        <w:spacing w:before="280" w:after="80" w:afterAutospacing="0"/>
        <w:ind w:left="360"/>
        <w:rPr>
          <w:rFonts w:asciiTheme="majorHAnsi" w:eastAsia="Times New Roman" w:hAnsiTheme="majorHAnsi" w:cstheme="majorHAnsi"/>
          <w:szCs w:val="24"/>
        </w:rPr>
      </w:pPr>
      <w:r>
        <w:rPr>
          <w:rFonts w:eastAsia="Times New Roman" w:cstheme="majorHAnsi"/>
          <w:szCs w:val="24"/>
        </w:rPr>
        <w:t xml:space="preserve">Partial-cracking SOFC + $365/t ammonia: </w:t>
      </w:r>
      <w:r>
        <w:rPr>
          <w:rFonts w:eastAsia="Times New Roman" w:cstheme="majorHAnsi"/>
          <w:szCs w:val="24"/>
        </w:rPr>
        <w:tab/>
        <w:t>≈ $165/MWh-shaft</w:t>
      </w:r>
      <w:r w:rsidR="00692A4C">
        <w:rPr>
          <w:rFonts w:eastAsia="Times New Roman" w:cstheme="majorHAnsi"/>
          <w:szCs w:val="24"/>
        </w:rPr>
        <w:tab/>
        <w:t>“green”</w:t>
      </w:r>
    </w:p>
    <w:p w14:paraId="50AD6B44" w14:textId="77777777" w:rsidR="009C3A0E" w:rsidRDefault="00994197" w:rsidP="005D737C">
      <w:pPr>
        <w:tabs>
          <w:tab w:val="left" w:pos="4770"/>
          <w:tab w:val="left" w:pos="7110"/>
        </w:tabs>
        <w:spacing w:before="80" w:beforeAutospacing="0" w:after="80" w:afterAutospacing="0"/>
        <w:ind w:left="360"/>
        <w:rPr>
          <w:rFonts w:asciiTheme="majorHAnsi" w:eastAsia="Times New Roman" w:hAnsiTheme="majorHAnsi" w:cstheme="majorHAnsi"/>
          <w:szCs w:val="24"/>
        </w:rPr>
      </w:pPr>
      <w:r>
        <w:rPr>
          <w:rFonts w:eastAsia="Times New Roman" w:cstheme="majorHAnsi"/>
          <w:szCs w:val="24"/>
        </w:rPr>
        <w:t xml:space="preserve">Direct-ammonia SOFC: </w:t>
      </w:r>
      <w:r>
        <w:rPr>
          <w:rFonts w:eastAsia="Times New Roman" w:cstheme="majorHAnsi"/>
          <w:szCs w:val="24"/>
        </w:rPr>
        <w:tab/>
        <w:t>≈ $166/MWh-shaft</w:t>
      </w:r>
      <w:r w:rsidR="00692A4C">
        <w:rPr>
          <w:rFonts w:eastAsia="Times New Roman" w:cstheme="majorHAnsi"/>
          <w:szCs w:val="24"/>
        </w:rPr>
        <w:tab/>
        <w:t>“green”</w:t>
      </w:r>
    </w:p>
    <w:p w14:paraId="27F8ED24" w14:textId="77777777" w:rsidR="009C3A0E" w:rsidRDefault="00994197" w:rsidP="005D737C">
      <w:pPr>
        <w:tabs>
          <w:tab w:val="left" w:pos="4770"/>
          <w:tab w:val="left" w:pos="7110"/>
        </w:tabs>
        <w:spacing w:before="80" w:beforeAutospacing="0" w:after="80" w:afterAutospacing="0"/>
        <w:ind w:left="360"/>
        <w:rPr>
          <w:rFonts w:asciiTheme="majorHAnsi" w:eastAsia="Times New Roman" w:hAnsiTheme="majorHAnsi" w:cstheme="majorHAnsi"/>
          <w:szCs w:val="24"/>
        </w:rPr>
      </w:pPr>
      <w:r>
        <w:rPr>
          <w:rFonts w:eastAsia="Times New Roman" w:cstheme="majorHAnsi"/>
          <w:szCs w:val="24"/>
        </w:rPr>
        <w:t xml:space="preserve">PCFC: </w:t>
      </w:r>
      <w:r>
        <w:rPr>
          <w:rFonts w:eastAsia="Times New Roman" w:cstheme="majorHAnsi"/>
          <w:szCs w:val="24"/>
        </w:rPr>
        <w:tab/>
        <w:t>≈ $189/MWh-shaft</w:t>
      </w:r>
      <w:r w:rsidR="00692A4C">
        <w:rPr>
          <w:rFonts w:eastAsia="Times New Roman" w:cstheme="majorHAnsi"/>
          <w:szCs w:val="24"/>
        </w:rPr>
        <w:tab/>
        <w:t>“green”</w:t>
      </w:r>
    </w:p>
    <w:p w14:paraId="13AE44F7" w14:textId="77777777" w:rsidR="009C3A0E" w:rsidRDefault="00994197" w:rsidP="005D737C">
      <w:pPr>
        <w:tabs>
          <w:tab w:val="left" w:pos="4770"/>
          <w:tab w:val="left" w:pos="7110"/>
        </w:tabs>
        <w:spacing w:before="80" w:beforeAutospacing="0" w:after="80" w:afterAutospacing="0"/>
        <w:ind w:left="360"/>
        <w:rPr>
          <w:rFonts w:asciiTheme="majorHAnsi" w:eastAsia="Times New Roman" w:hAnsiTheme="majorHAnsi" w:cstheme="majorHAnsi"/>
          <w:szCs w:val="24"/>
        </w:rPr>
      </w:pPr>
      <w:r>
        <w:rPr>
          <w:rFonts w:eastAsia="Times New Roman" w:cstheme="majorHAnsi"/>
          <w:szCs w:val="24"/>
        </w:rPr>
        <w:t xml:space="preserve">HSFO + diesel + scrubber: </w:t>
      </w:r>
      <w:r>
        <w:rPr>
          <w:rFonts w:eastAsia="Times New Roman" w:cstheme="majorHAnsi"/>
          <w:szCs w:val="24"/>
        </w:rPr>
        <w:tab/>
        <w:t>≈ $153/MWh-shaft</w:t>
      </w:r>
      <w:r w:rsidR="00692A4C">
        <w:rPr>
          <w:rFonts w:eastAsia="Times New Roman" w:cstheme="majorHAnsi"/>
          <w:szCs w:val="24"/>
        </w:rPr>
        <w:tab/>
        <w:t>fossil fuel</w:t>
      </w:r>
    </w:p>
    <w:p w14:paraId="1F9864C4" w14:textId="77777777" w:rsidR="009C3A0E" w:rsidRDefault="00994197" w:rsidP="005D737C">
      <w:pPr>
        <w:tabs>
          <w:tab w:val="left" w:pos="4770"/>
          <w:tab w:val="left" w:pos="7110"/>
        </w:tabs>
        <w:spacing w:before="80" w:beforeAutospacing="0" w:after="280"/>
        <w:ind w:left="360"/>
        <w:rPr>
          <w:rFonts w:asciiTheme="majorHAnsi" w:eastAsia="Times New Roman" w:hAnsiTheme="majorHAnsi" w:cstheme="majorHAnsi"/>
          <w:szCs w:val="24"/>
        </w:rPr>
      </w:pPr>
      <w:r>
        <w:rPr>
          <w:rFonts w:eastAsia="Times New Roman" w:cstheme="majorHAnsi"/>
          <w:szCs w:val="24"/>
        </w:rPr>
        <w:t xml:space="preserve">VLSFO + diesel: </w:t>
      </w:r>
      <w:r>
        <w:rPr>
          <w:rFonts w:eastAsia="Times New Roman" w:cstheme="majorHAnsi"/>
          <w:szCs w:val="24"/>
        </w:rPr>
        <w:tab/>
        <w:t>≈ $183/MWh-shaft</w:t>
      </w:r>
      <w:r w:rsidR="00692A4C" w:rsidRPr="00692A4C">
        <w:rPr>
          <w:rFonts w:eastAsia="Times New Roman" w:cstheme="majorHAnsi"/>
          <w:szCs w:val="24"/>
        </w:rPr>
        <w:t xml:space="preserve"> </w:t>
      </w:r>
      <w:r w:rsidR="00692A4C">
        <w:rPr>
          <w:rFonts w:eastAsia="Times New Roman" w:cstheme="majorHAnsi"/>
          <w:szCs w:val="24"/>
        </w:rPr>
        <w:tab/>
        <w:t>fossil fuel</w:t>
      </w:r>
    </w:p>
    <w:p w14:paraId="345E6D0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So, the optimized SOFC-ammonia ship comes out roughly </w:t>
      </w:r>
      <w:r>
        <w:rPr>
          <w:rFonts w:eastAsia="Times New Roman" w:cstheme="majorHAnsi"/>
          <w:b/>
          <w:bCs/>
          <w:szCs w:val="24"/>
        </w:rPr>
        <w:t>8% more expensive than HSFO, but 10% cheaper than VLSFO</w:t>
      </w:r>
      <w:r>
        <w:rPr>
          <w:rFonts w:eastAsia="Times New Roman" w:cstheme="majorHAnsi"/>
          <w:szCs w:val="24"/>
        </w:rPr>
        <w:t>, before putting any price on CO₂.</w:t>
      </w:r>
    </w:p>
    <w:p w14:paraId="258A47E4" w14:textId="77777777" w:rsidR="009C3A0E" w:rsidRDefault="00994197">
      <w:pPr>
        <w:pStyle w:val="Heading2"/>
        <w:spacing w:before="280"/>
      </w:pPr>
      <w:r>
        <w:t>25-year levelized comparison</w:t>
      </w:r>
    </w:p>
    <w:p w14:paraId="44F4CA3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modeled a new container ship for 25 years at a 7% real cost of capital. For utilization, I used the operating history in a published study of a 56.38-MW, 20,000-TEU containership. It had about 561 TJ/year of useful propulsion output, equivalent to about 156 GWh/year or a </w:t>
      </w:r>
      <w:r>
        <w:rPr>
          <w:rFonts w:eastAsia="Times New Roman" w:cstheme="majorHAnsi"/>
          <w:b/>
          <w:bCs/>
          <w:szCs w:val="24"/>
        </w:rPr>
        <w:t>31.6% full-power-equivalent utilization factor</w:t>
      </w:r>
      <w:r>
        <w:rPr>
          <w:rFonts w:eastAsia="Times New Roman" w:cstheme="majorHAnsi"/>
          <w:szCs w:val="24"/>
        </w:rPr>
        <w:t xml:space="preserve">. </w:t>
      </w:r>
    </w:p>
    <w:p w14:paraId="7DFDCE3B" w14:textId="77777777" w:rsidR="009C3A0E" w:rsidRDefault="00994197">
      <w:pPr>
        <w:rPr>
          <w:rFonts w:asciiTheme="majorHAnsi" w:eastAsia="Times New Roman" w:hAnsiTheme="majorHAnsi" w:cstheme="majorHAnsi"/>
          <w:szCs w:val="24"/>
        </w:rPr>
      </w:pPr>
      <w:r>
        <w:rPr>
          <w:rFonts w:eastAsia="Times New Roman" w:cstheme="majorHAnsi"/>
          <w:szCs w:val="24"/>
        </w:rPr>
        <w:t xml:space="preserve">For fossil fuel I retain the August 7 Singapore bunker prices from our previous comparison: </w:t>
      </w:r>
      <w:r>
        <w:rPr>
          <w:rFonts w:eastAsia="Times New Roman" w:cstheme="majorHAnsi"/>
          <w:b/>
          <w:bCs/>
          <w:szCs w:val="24"/>
        </w:rPr>
        <w:t>$588.50/t IFO380/HSFO and $821.50/t VLSFO</w:t>
      </w:r>
      <w:r>
        <w:rPr>
          <w:rFonts w:eastAsia="Times New Roman" w:cstheme="majorHAnsi"/>
          <w:szCs w:val="24"/>
        </w:rPr>
        <w:t xml:space="preserve">. I hold those prices constant in real dollars for the 25-year calculation; that is a comparison scenario, not a 25-year oil-price forecast. </w:t>
      </w:r>
    </w:p>
    <w:tbl>
      <w:tblPr>
        <w:tblStyle w:val="gswTableStyle"/>
        <w:tblW w:w="10330" w:type="dxa"/>
        <w:tblLayout w:type="fixed"/>
        <w:tblLook w:val="04A0" w:firstRow="1" w:lastRow="0" w:firstColumn="1" w:lastColumn="0" w:noHBand="0" w:noVBand="1"/>
      </w:tblPr>
      <w:tblGrid>
        <w:gridCol w:w="3366"/>
        <w:gridCol w:w="1645"/>
        <w:gridCol w:w="785"/>
        <w:gridCol w:w="1339"/>
        <w:gridCol w:w="1519"/>
        <w:gridCol w:w="787"/>
        <w:gridCol w:w="889"/>
      </w:tblGrid>
      <w:tr w:rsidR="009C3A0E" w14:paraId="3AE0F478" w14:textId="77777777" w:rsidTr="006D7F87">
        <w:trPr>
          <w:cnfStyle w:val="100000000000" w:firstRow="1" w:lastRow="0" w:firstColumn="0" w:lastColumn="0" w:oddVBand="0" w:evenVBand="0" w:oddHBand="0" w:evenHBand="0" w:firstRowFirstColumn="0" w:firstRowLastColumn="0" w:lastRowFirstColumn="0" w:lastRowLastColumn="0"/>
          <w:tblHeader/>
        </w:trPr>
        <w:tc>
          <w:tcPr>
            <w:tcW w:w="3366" w:type="dxa"/>
          </w:tcPr>
          <w:p w14:paraId="0CDDA71F" w14:textId="77777777" w:rsidR="009C3A0E" w:rsidRDefault="00994197">
            <w:pPr>
              <w:pStyle w:val="cTableHeader"/>
              <w:keepNext/>
              <w:spacing w:before="0" w:after="0"/>
            </w:pPr>
            <w:r>
              <w:t>New-build propulsion system</w:t>
            </w:r>
          </w:p>
        </w:tc>
        <w:tc>
          <w:tcPr>
            <w:tcW w:w="1645" w:type="dxa"/>
          </w:tcPr>
          <w:p w14:paraId="2E610324" w14:textId="77777777" w:rsidR="009C3A0E" w:rsidRDefault="00994197">
            <w:pPr>
              <w:pStyle w:val="cTableHeader"/>
              <w:keepNext/>
              <w:spacing w:before="0" w:after="0"/>
            </w:pPr>
            <w:r>
              <w:t>NH₃/fuel → shaft efficiency</w:t>
            </w:r>
          </w:p>
        </w:tc>
        <w:tc>
          <w:tcPr>
            <w:tcW w:w="785" w:type="dxa"/>
          </w:tcPr>
          <w:p w14:paraId="5AC23C5E" w14:textId="77777777" w:rsidR="009C3A0E" w:rsidRDefault="00994197">
            <w:pPr>
              <w:pStyle w:val="cTableHeader"/>
              <w:keepNext/>
              <w:spacing w:before="0" w:after="0"/>
            </w:pPr>
            <w:r>
              <w:t>Fuel</w:t>
            </w:r>
          </w:p>
        </w:tc>
        <w:tc>
          <w:tcPr>
            <w:tcW w:w="1339" w:type="dxa"/>
          </w:tcPr>
          <w:p w14:paraId="6892B624" w14:textId="77777777" w:rsidR="009C3A0E" w:rsidRDefault="00994197">
            <w:pPr>
              <w:pStyle w:val="cTableHeader"/>
              <w:keepNext/>
              <w:spacing w:before="0" w:after="0"/>
            </w:pPr>
            <w:r>
              <w:t>Initial capital recovery</w:t>
            </w:r>
          </w:p>
        </w:tc>
        <w:tc>
          <w:tcPr>
            <w:tcW w:w="1519" w:type="dxa"/>
          </w:tcPr>
          <w:p w14:paraId="5F6274AB" w14:textId="77777777" w:rsidR="009C3A0E" w:rsidRDefault="00994197">
            <w:pPr>
              <w:pStyle w:val="cTableHeader"/>
              <w:keepNext/>
              <w:spacing w:before="0" w:after="0"/>
            </w:pPr>
            <w:r>
              <w:t>Fuel-cell replacements</w:t>
            </w:r>
          </w:p>
        </w:tc>
        <w:tc>
          <w:tcPr>
            <w:tcW w:w="787" w:type="dxa"/>
          </w:tcPr>
          <w:p w14:paraId="5F22AC0C" w14:textId="77777777" w:rsidR="009C3A0E" w:rsidRDefault="00994197">
            <w:pPr>
              <w:pStyle w:val="cTableHeader"/>
              <w:keepNext/>
              <w:spacing w:before="0" w:after="0"/>
            </w:pPr>
            <w:r>
              <w:t>O&amp;M</w:t>
            </w:r>
          </w:p>
        </w:tc>
        <w:tc>
          <w:tcPr>
            <w:tcW w:w="889" w:type="dxa"/>
          </w:tcPr>
          <w:p w14:paraId="502F1FBA" w14:textId="77777777" w:rsidR="009C3A0E" w:rsidRPr="007F601D" w:rsidRDefault="00994197">
            <w:pPr>
              <w:pStyle w:val="cTableHeader"/>
              <w:keepNext/>
              <w:spacing w:before="0" w:after="0"/>
              <w:rPr>
                <w:sz w:val="20"/>
                <w:szCs w:val="20"/>
              </w:rPr>
            </w:pPr>
            <w:r w:rsidRPr="006D7F87">
              <w:t xml:space="preserve">Total </w:t>
            </w:r>
            <w:r w:rsidRPr="006D7F87">
              <w:rPr>
                <w:sz w:val="20"/>
                <w:szCs w:val="20"/>
              </w:rPr>
              <w:t>$/MWh-shaft</w:t>
            </w:r>
          </w:p>
        </w:tc>
      </w:tr>
      <w:tr w:rsidR="009C3A0E" w14:paraId="2B8BF3E4" w14:textId="77777777" w:rsidTr="006D7F87">
        <w:tc>
          <w:tcPr>
            <w:tcW w:w="3366" w:type="dxa"/>
          </w:tcPr>
          <w:p w14:paraId="630F6786" w14:textId="77777777" w:rsidR="009C3A0E" w:rsidRDefault="00994197">
            <w:pPr>
              <w:pStyle w:val="cTableBody"/>
              <w:keepNext/>
              <w:spacing w:before="0" w:beforeAutospacing="0" w:afterAutospacing="0"/>
            </w:pPr>
            <w:r>
              <w:t>Direct/internal-cracking SOFC + NH₃</w:t>
            </w:r>
          </w:p>
        </w:tc>
        <w:tc>
          <w:tcPr>
            <w:tcW w:w="1645" w:type="dxa"/>
          </w:tcPr>
          <w:p w14:paraId="610367E7" w14:textId="77777777" w:rsidR="009C3A0E" w:rsidRDefault="00994197">
            <w:pPr>
              <w:pStyle w:val="cTableBody"/>
              <w:keepNext/>
              <w:spacing w:before="0" w:beforeAutospacing="0" w:afterAutospacing="0"/>
            </w:pPr>
            <w:r>
              <w:t>64%</w:t>
            </w:r>
          </w:p>
        </w:tc>
        <w:tc>
          <w:tcPr>
            <w:tcW w:w="785" w:type="dxa"/>
          </w:tcPr>
          <w:p w14:paraId="5AB5FC28" w14:textId="77777777" w:rsidR="009C3A0E" w:rsidRDefault="00994197">
            <w:pPr>
              <w:pStyle w:val="cTableBody"/>
              <w:keepNext/>
              <w:spacing w:before="0" w:beforeAutospacing="0" w:afterAutospacing="0"/>
            </w:pPr>
            <w:r>
              <w:t>$110</w:t>
            </w:r>
          </w:p>
        </w:tc>
        <w:tc>
          <w:tcPr>
            <w:tcW w:w="1339" w:type="dxa"/>
          </w:tcPr>
          <w:p w14:paraId="1297724F" w14:textId="77777777" w:rsidR="009C3A0E" w:rsidRDefault="00994197">
            <w:pPr>
              <w:pStyle w:val="cTableBody"/>
              <w:keepNext/>
              <w:spacing w:before="0" w:beforeAutospacing="0" w:afterAutospacing="0"/>
            </w:pPr>
            <w:r>
              <w:t>$38</w:t>
            </w:r>
          </w:p>
        </w:tc>
        <w:tc>
          <w:tcPr>
            <w:tcW w:w="1519" w:type="dxa"/>
          </w:tcPr>
          <w:p w14:paraId="57090A21" w14:textId="77777777" w:rsidR="009C3A0E" w:rsidRDefault="00994197">
            <w:pPr>
              <w:pStyle w:val="cTableBody"/>
              <w:keepNext/>
              <w:spacing w:before="0" w:beforeAutospacing="0" w:afterAutospacing="0"/>
            </w:pPr>
            <w:r>
              <w:t>$8</w:t>
            </w:r>
          </w:p>
        </w:tc>
        <w:tc>
          <w:tcPr>
            <w:tcW w:w="787" w:type="dxa"/>
          </w:tcPr>
          <w:p w14:paraId="10D66E21" w14:textId="77777777" w:rsidR="009C3A0E" w:rsidRDefault="00994197">
            <w:pPr>
              <w:pStyle w:val="cTableBody"/>
              <w:keepNext/>
              <w:spacing w:before="0" w:beforeAutospacing="0" w:afterAutospacing="0"/>
            </w:pPr>
            <w:r>
              <w:t>$10</w:t>
            </w:r>
          </w:p>
        </w:tc>
        <w:tc>
          <w:tcPr>
            <w:tcW w:w="889" w:type="dxa"/>
          </w:tcPr>
          <w:p w14:paraId="0D4BAF2C" w14:textId="77777777" w:rsidR="009C3A0E" w:rsidRDefault="00994197">
            <w:pPr>
              <w:pStyle w:val="cTableBody"/>
              <w:keepNext/>
              <w:spacing w:before="0" w:beforeAutospacing="0" w:afterAutospacing="0"/>
            </w:pPr>
            <w:r>
              <w:t>$166</w:t>
            </w:r>
          </w:p>
        </w:tc>
      </w:tr>
      <w:tr w:rsidR="009C3A0E" w14:paraId="2D86D6B0" w14:textId="77777777" w:rsidTr="006D7F87">
        <w:tc>
          <w:tcPr>
            <w:tcW w:w="3366" w:type="dxa"/>
          </w:tcPr>
          <w:p w14:paraId="3318418E" w14:textId="77777777" w:rsidR="009C3A0E" w:rsidRDefault="00994197">
            <w:pPr>
              <w:pStyle w:val="cTableBody"/>
              <w:keepNext/>
              <w:spacing w:before="0" w:beforeAutospacing="0" w:afterAutospacing="0"/>
            </w:pPr>
            <w:r>
              <w:t>Partial-cracking SOFC + NH₃</w:t>
            </w:r>
          </w:p>
        </w:tc>
        <w:tc>
          <w:tcPr>
            <w:tcW w:w="1645" w:type="dxa"/>
          </w:tcPr>
          <w:p w14:paraId="4497A241" w14:textId="77777777" w:rsidR="009C3A0E" w:rsidRDefault="00994197">
            <w:pPr>
              <w:pStyle w:val="cTableBody"/>
              <w:keepNext/>
              <w:spacing w:before="0" w:beforeAutospacing="0" w:afterAutospacing="0"/>
            </w:pPr>
            <w:r>
              <w:t>65%</w:t>
            </w:r>
          </w:p>
        </w:tc>
        <w:tc>
          <w:tcPr>
            <w:tcW w:w="785" w:type="dxa"/>
          </w:tcPr>
          <w:p w14:paraId="08385DE6" w14:textId="77777777" w:rsidR="009C3A0E" w:rsidRDefault="00994197">
            <w:pPr>
              <w:pStyle w:val="cTableBody"/>
              <w:keepNext/>
              <w:spacing w:before="0" w:beforeAutospacing="0" w:afterAutospacing="0"/>
            </w:pPr>
            <w:r>
              <w:t>$109</w:t>
            </w:r>
          </w:p>
        </w:tc>
        <w:tc>
          <w:tcPr>
            <w:tcW w:w="1339" w:type="dxa"/>
          </w:tcPr>
          <w:p w14:paraId="75770290" w14:textId="77777777" w:rsidR="009C3A0E" w:rsidRDefault="00994197">
            <w:pPr>
              <w:pStyle w:val="cTableBody"/>
              <w:keepNext/>
              <w:spacing w:before="0" w:beforeAutospacing="0" w:afterAutospacing="0"/>
            </w:pPr>
            <w:r>
              <w:t>$38</w:t>
            </w:r>
          </w:p>
        </w:tc>
        <w:tc>
          <w:tcPr>
            <w:tcW w:w="1519" w:type="dxa"/>
          </w:tcPr>
          <w:p w14:paraId="71AA4F7C" w14:textId="77777777" w:rsidR="009C3A0E" w:rsidRDefault="00994197">
            <w:pPr>
              <w:pStyle w:val="cTableBody"/>
              <w:keepNext/>
              <w:spacing w:before="0" w:beforeAutospacing="0" w:afterAutospacing="0"/>
            </w:pPr>
            <w:r>
              <w:t>$8</w:t>
            </w:r>
          </w:p>
        </w:tc>
        <w:tc>
          <w:tcPr>
            <w:tcW w:w="787" w:type="dxa"/>
          </w:tcPr>
          <w:p w14:paraId="2DB84DF2" w14:textId="77777777" w:rsidR="009C3A0E" w:rsidRDefault="00994197">
            <w:pPr>
              <w:pStyle w:val="cTableBody"/>
              <w:keepNext/>
              <w:spacing w:before="0" w:beforeAutospacing="0" w:afterAutospacing="0"/>
            </w:pPr>
            <w:r>
              <w:t>$11</w:t>
            </w:r>
          </w:p>
        </w:tc>
        <w:tc>
          <w:tcPr>
            <w:tcW w:w="889" w:type="dxa"/>
          </w:tcPr>
          <w:p w14:paraId="1293072C" w14:textId="77777777" w:rsidR="009C3A0E" w:rsidRDefault="00994197">
            <w:pPr>
              <w:pStyle w:val="cTableBody"/>
              <w:keepNext/>
              <w:spacing w:before="0" w:beforeAutospacing="0" w:afterAutospacing="0"/>
            </w:pPr>
            <w:r>
              <w:t>$165</w:t>
            </w:r>
          </w:p>
        </w:tc>
      </w:tr>
      <w:tr w:rsidR="009C3A0E" w14:paraId="76E7E607" w14:textId="77777777" w:rsidTr="006D7F87">
        <w:tc>
          <w:tcPr>
            <w:tcW w:w="3366" w:type="dxa"/>
          </w:tcPr>
          <w:p w14:paraId="28E6DE27" w14:textId="77777777" w:rsidR="009C3A0E" w:rsidRDefault="00994197">
            <w:pPr>
              <w:pStyle w:val="cTableBody"/>
              <w:keepNext/>
              <w:spacing w:before="0" w:beforeAutospacing="0" w:afterAutospacing="0"/>
            </w:pPr>
            <w:r>
              <w:t>External cracker + PCFC + NH₃</w:t>
            </w:r>
          </w:p>
        </w:tc>
        <w:tc>
          <w:tcPr>
            <w:tcW w:w="1645" w:type="dxa"/>
          </w:tcPr>
          <w:p w14:paraId="3BE54B32" w14:textId="77777777" w:rsidR="009C3A0E" w:rsidRDefault="00994197">
            <w:pPr>
              <w:pStyle w:val="cTableBody"/>
              <w:keepNext/>
              <w:spacing w:before="0" w:beforeAutospacing="0" w:afterAutospacing="0"/>
            </w:pPr>
            <w:r>
              <w:t>58%</w:t>
            </w:r>
          </w:p>
        </w:tc>
        <w:tc>
          <w:tcPr>
            <w:tcW w:w="785" w:type="dxa"/>
          </w:tcPr>
          <w:p w14:paraId="66828C83" w14:textId="77777777" w:rsidR="009C3A0E" w:rsidRDefault="00994197">
            <w:pPr>
              <w:pStyle w:val="cTableBody"/>
              <w:keepNext/>
              <w:spacing w:before="0" w:beforeAutospacing="0" w:afterAutospacing="0"/>
            </w:pPr>
            <w:r>
              <w:t>$122</w:t>
            </w:r>
          </w:p>
        </w:tc>
        <w:tc>
          <w:tcPr>
            <w:tcW w:w="1339" w:type="dxa"/>
          </w:tcPr>
          <w:p w14:paraId="39556524" w14:textId="77777777" w:rsidR="009C3A0E" w:rsidRDefault="00994197">
            <w:pPr>
              <w:pStyle w:val="cTableBody"/>
              <w:keepNext/>
              <w:spacing w:before="0" w:beforeAutospacing="0" w:afterAutospacing="0"/>
            </w:pPr>
            <w:r>
              <w:t>$45</w:t>
            </w:r>
          </w:p>
        </w:tc>
        <w:tc>
          <w:tcPr>
            <w:tcW w:w="1519" w:type="dxa"/>
          </w:tcPr>
          <w:p w14:paraId="1C15F0F8" w14:textId="77777777" w:rsidR="009C3A0E" w:rsidRDefault="00994197">
            <w:pPr>
              <w:pStyle w:val="cTableBody"/>
              <w:keepNext/>
              <w:spacing w:before="0" w:beforeAutospacing="0" w:afterAutospacing="0"/>
            </w:pPr>
            <w:r>
              <w:t>$10</w:t>
            </w:r>
          </w:p>
        </w:tc>
        <w:tc>
          <w:tcPr>
            <w:tcW w:w="787" w:type="dxa"/>
          </w:tcPr>
          <w:p w14:paraId="10CA1A3C" w14:textId="77777777" w:rsidR="009C3A0E" w:rsidRDefault="00994197">
            <w:pPr>
              <w:pStyle w:val="cTableBody"/>
              <w:keepNext/>
              <w:spacing w:before="0" w:beforeAutospacing="0" w:afterAutospacing="0"/>
            </w:pPr>
            <w:r>
              <w:t>$12</w:t>
            </w:r>
          </w:p>
        </w:tc>
        <w:tc>
          <w:tcPr>
            <w:tcW w:w="889" w:type="dxa"/>
          </w:tcPr>
          <w:p w14:paraId="345D35DB" w14:textId="77777777" w:rsidR="009C3A0E" w:rsidRDefault="00994197">
            <w:pPr>
              <w:pStyle w:val="cTableBody"/>
              <w:keepNext/>
              <w:spacing w:before="0" w:beforeAutospacing="0" w:afterAutospacing="0"/>
            </w:pPr>
            <w:r>
              <w:t>$189</w:t>
            </w:r>
          </w:p>
        </w:tc>
      </w:tr>
      <w:tr w:rsidR="009C3A0E" w14:paraId="530EF3E9" w14:textId="77777777" w:rsidTr="006D7F87">
        <w:tc>
          <w:tcPr>
            <w:tcW w:w="3366" w:type="dxa"/>
          </w:tcPr>
          <w:p w14:paraId="397081B8" w14:textId="77777777" w:rsidR="009C3A0E" w:rsidRDefault="00994197">
            <w:pPr>
              <w:pStyle w:val="cTableBody"/>
              <w:keepNext/>
              <w:spacing w:before="0" w:beforeAutospacing="0" w:afterAutospacing="0"/>
            </w:pPr>
            <w:r>
              <w:t>HSFO + low-speed diesel + scrubber</w:t>
            </w:r>
          </w:p>
        </w:tc>
        <w:tc>
          <w:tcPr>
            <w:tcW w:w="1645" w:type="dxa"/>
          </w:tcPr>
          <w:p w14:paraId="2C2D4E54" w14:textId="77777777" w:rsidR="009C3A0E" w:rsidRDefault="00994197">
            <w:pPr>
              <w:pStyle w:val="cTableBody"/>
              <w:keepNext/>
              <w:spacing w:before="0" w:beforeAutospacing="0" w:afterAutospacing="0"/>
            </w:pPr>
            <w:r>
              <w:t>49% net</w:t>
            </w:r>
          </w:p>
        </w:tc>
        <w:tc>
          <w:tcPr>
            <w:tcW w:w="785" w:type="dxa"/>
          </w:tcPr>
          <w:p w14:paraId="6122C83A" w14:textId="77777777" w:rsidR="009C3A0E" w:rsidRDefault="00994197">
            <w:pPr>
              <w:pStyle w:val="cTableBody"/>
              <w:keepNext/>
              <w:spacing w:before="0" w:beforeAutospacing="0" w:afterAutospacing="0"/>
            </w:pPr>
            <w:r>
              <w:t>$108</w:t>
            </w:r>
          </w:p>
        </w:tc>
        <w:tc>
          <w:tcPr>
            <w:tcW w:w="1339" w:type="dxa"/>
          </w:tcPr>
          <w:p w14:paraId="0E683F80" w14:textId="77777777" w:rsidR="009C3A0E" w:rsidRDefault="00994197">
            <w:pPr>
              <w:pStyle w:val="cTableBody"/>
              <w:keepNext/>
              <w:spacing w:before="0" w:beforeAutospacing="0" w:afterAutospacing="0"/>
            </w:pPr>
            <w:r>
              <w:t>$38</w:t>
            </w:r>
          </w:p>
        </w:tc>
        <w:tc>
          <w:tcPr>
            <w:tcW w:w="1519" w:type="dxa"/>
          </w:tcPr>
          <w:p w14:paraId="5058D097" w14:textId="77777777" w:rsidR="009C3A0E" w:rsidRDefault="00994197">
            <w:pPr>
              <w:pStyle w:val="cTableBody"/>
              <w:keepNext/>
              <w:spacing w:before="0" w:beforeAutospacing="0" w:afterAutospacing="0"/>
            </w:pPr>
            <w:r>
              <w:t>—*</w:t>
            </w:r>
          </w:p>
        </w:tc>
        <w:tc>
          <w:tcPr>
            <w:tcW w:w="787" w:type="dxa"/>
          </w:tcPr>
          <w:p w14:paraId="7A470872" w14:textId="77777777" w:rsidR="009C3A0E" w:rsidRDefault="00994197">
            <w:pPr>
              <w:pStyle w:val="cTableBody"/>
              <w:keepNext/>
              <w:spacing w:before="0" w:beforeAutospacing="0" w:afterAutospacing="0"/>
            </w:pPr>
            <w:r>
              <w:t>$8</w:t>
            </w:r>
          </w:p>
        </w:tc>
        <w:tc>
          <w:tcPr>
            <w:tcW w:w="889" w:type="dxa"/>
          </w:tcPr>
          <w:p w14:paraId="121BE438" w14:textId="77777777" w:rsidR="009C3A0E" w:rsidRDefault="00994197">
            <w:pPr>
              <w:pStyle w:val="cTableBody"/>
              <w:keepNext/>
              <w:spacing w:before="0" w:beforeAutospacing="0" w:afterAutospacing="0"/>
            </w:pPr>
            <w:r>
              <w:t>$153</w:t>
            </w:r>
          </w:p>
        </w:tc>
      </w:tr>
      <w:tr w:rsidR="009C3A0E" w14:paraId="3AFF7891" w14:textId="77777777" w:rsidTr="006D7F87">
        <w:tc>
          <w:tcPr>
            <w:tcW w:w="3366" w:type="dxa"/>
          </w:tcPr>
          <w:p w14:paraId="7FB01AFD" w14:textId="77777777" w:rsidR="009C3A0E" w:rsidRDefault="00994197">
            <w:pPr>
              <w:pStyle w:val="cTableBody"/>
              <w:spacing w:before="0"/>
            </w:pPr>
            <w:r>
              <w:t>VLSFO + low-speed diesel</w:t>
            </w:r>
          </w:p>
        </w:tc>
        <w:tc>
          <w:tcPr>
            <w:tcW w:w="1645" w:type="dxa"/>
          </w:tcPr>
          <w:p w14:paraId="22086AF3" w14:textId="77777777" w:rsidR="009C3A0E" w:rsidRDefault="00994197">
            <w:pPr>
              <w:pStyle w:val="cTableBody"/>
              <w:spacing w:before="0"/>
            </w:pPr>
            <w:r>
              <w:t>50%</w:t>
            </w:r>
          </w:p>
        </w:tc>
        <w:tc>
          <w:tcPr>
            <w:tcW w:w="785" w:type="dxa"/>
          </w:tcPr>
          <w:p w14:paraId="37FBBCAD" w14:textId="77777777" w:rsidR="009C3A0E" w:rsidRDefault="00994197">
            <w:pPr>
              <w:pStyle w:val="cTableBody"/>
              <w:spacing w:before="0"/>
            </w:pPr>
            <w:r>
              <w:t>$147</w:t>
            </w:r>
          </w:p>
        </w:tc>
        <w:tc>
          <w:tcPr>
            <w:tcW w:w="1339" w:type="dxa"/>
          </w:tcPr>
          <w:p w14:paraId="4F820EDD" w14:textId="77777777" w:rsidR="009C3A0E" w:rsidRDefault="00994197">
            <w:pPr>
              <w:pStyle w:val="cTableBody"/>
              <w:spacing w:before="0"/>
            </w:pPr>
            <w:r>
              <w:t>$30</w:t>
            </w:r>
          </w:p>
        </w:tc>
        <w:tc>
          <w:tcPr>
            <w:tcW w:w="1519" w:type="dxa"/>
          </w:tcPr>
          <w:p w14:paraId="4B812234" w14:textId="77777777" w:rsidR="009C3A0E" w:rsidRDefault="00994197">
            <w:pPr>
              <w:pStyle w:val="cTableBody"/>
              <w:spacing w:before="0"/>
            </w:pPr>
            <w:r>
              <w:t>—*</w:t>
            </w:r>
          </w:p>
        </w:tc>
        <w:tc>
          <w:tcPr>
            <w:tcW w:w="787" w:type="dxa"/>
          </w:tcPr>
          <w:p w14:paraId="340A10A3" w14:textId="77777777" w:rsidR="009C3A0E" w:rsidRDefault="00994197">
            <w:pPr>
              <w:pStyle w:val="cTableBody"/>
              <w:spacing w:before="0"/>
            </w:pPr>
            <w:r>
              <w:t>$6</w:t>
            </w:r>
          </w:p>
        </w:tc>
        <w:tc>
          <w:tcPr>
            <w:tcW w:w="889" w:type="dxa"/>
          </w:tcPr>
          <w:p w14:paraId="012D1EB3" w14:textId="77777777" w:rsidR="009C3A0E" w:rsidRDefault="00994197">
            <w:pPr>
              <w:pStyle w:val="cTableBody"/>
              <w:spacing w:before="0"/>
            </w:pPr>
            <w:r>
              <w:t>$183</w:t>
            </w:r>
          </w:p>
        </w:tc>
      </w:tr>
    </w:tbl>
    <w:p w14:paraId="75C12DB6" w14:textId="77777777" w:rsidR="009C3A0E" w:rsidRDefault="00994197">
      <w:pPr>
        <w:rPr>
          <w:rFonts w:asciiTheme="majorHAnsi" w:eastAsia="Times New Roman" w:hAnsiTheme="majorHAnsi" w:cstheme="majorHAnsi"/>
          <w:szCs w:val="24"/>
        </w:rPr>
      </w:pPr>
      <w:r>
        <w:rPr>
          <w:rFonts w:eastAsia="Times New Roman" w:cstheme="majorHAnsi"/>
          <w:szCs w:val="24"/>
        </w:rPr>
        <w:t>*Diesel overhaul/rebuild costs are placed in O&amp;M rather than modeled as periodic replacement of the entire engine.</w:t>
      </w:r>
    </w:p>
    <w:p w14:paraId="0F039F0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published container-ship study assumed 50% efficiency for HFO ICE and 60% for an ammonia-SOFC system; our 64–65% SOFC cases are the more aggressively optimized configurations we discussed, incorporating high-temperature heat recuperation and bottoming-cycle recovery. The study gives ammonia an LHV of 18.6 MJ/kg and HFO 40.2 MJ/kg. </w:t>
      </w:r>
    </w:p>
    <w:p w14:paraId="18F85F0E" w14:textId="77777777" w:rsidR="009C3A0E" w:rsidRDefault="00994197">
      <w:pPr>
        <w:pStyle w:val="Heading2"/>
        <w:spacing w:before="280"/>
      </w:pPr>
      <w:r>
        <w:t>Capital cost</w:t>
      </w:r>
    </w:p>
    <w:p w14:paraId="0B63669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This is where the comparison becomes interesting. Ammonia propulsion is not necessarily several times the capital cost of a conventional ship if high-temperature fuel cells reach mature mass-production costs.</w:t>
      </w:r>
    </w:p>
    <w:p w14:paraId="7F62914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 published marine SOFC study assumed </w:t>
      </w:r>
      <w:r>
        <w:rPr>
          <w:rFonts w:eastAsia="Times New Roman" w:cstheme="majorHAnsi"/>
          <w:b/>
          <w:bCs/>
          <w:szCs w:val="24"/>
        </w:rPr>
        <w:t>$900/kW for an ammonia-SOFC propulsion system</w:t>
      </w:r>
      <w:r>
        <w:rPr>
          <w:rFonts w:eastAsia="Times New Roman" w:cstheme="majorHAnsi"/>
          <w:szCs w:val="24"/>
        </w:rPr>
        <w:t xml:space="preserve">, versus $600/kW for an HFO diesel. It estimated ammonia-tank cost at $603/m³ and HFO tank cost at $883/m³. For its 56.38-MW vessel, the ammonia system required 32,760 m³ of tank capacity versus 15,142 m³ for HFO. DOE's SOFC development targets are also useful anchors: </w:t>
      </w:r>
      <w:r>
        <w:rPr>
          <w:rFonts w:eastAsia="Times New Roman" w:cstheme="majorHAnsi"/>
          <w:b/>
          <w:bCs/>
          <w:szCs w:val="24"/>
        </w:rPr>
        <w:t>&lt;$900/kW for the complete SOFC system and &lt;$225/kW for the stack</w:t>
      </w:r>
      <w:r>
        <w:rPr>
          <w:rFonts w:eastAsia="Times New Roman" w:cstheme="majorHAnsi"/>
          <w:szCs w:val="24"/>
        </w:rPr>
        <w:t xml:space="preserve">, with ≥40,000-hour stack life as a development goal. </w:t>
      </w:r>
    </w:p>
    <w:p w14:paraId="036C516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therefore use approximately $900/kW before fuel storage for the two mature SOFC systems. For PCFC I use $1,100/kW as a </w:t>
      </w:r>
      <w:r>
        <w:rPr>
          <w:rFonts w:eastAsia="Times New Roman" w:cstheme="majorHAnsi"/>
          <w:b/>
          <w:bCs/>
          <w:szCs w:val="24"/>
        </w:rPr>
        <w:t>development-target assumption</w:t>
      </w:r>
      <w:r>
        <w:rPr>
          <w:rFonts w:eastAsia="Times New Roman" w:cstheme="majorHAnsi"/>
          <w:szCs w:val="24"/>
        </w:rPr>
        <w:t>, because there is not yet a bankable large-marine PCFC cost basis. Ammonia tank size is adjusted for each architecture's efficiency.</w:t>
      </w:r>
    </w:p>
    <w:p w14:paraId="6D7A77A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For conventional propulsion I use the published $600/kW large marine engine assumption and HFO tank cost, add SCR/NOₓ treatment, and add a scrubber for HSFO. A separate marine-fuel study uses $133/kW for SCR and cites SOFC costs of $925–1,315/kW. IMO's scrubber studies show a broad range of new-build exhaust-gas-cleaning-system costs; I use about $250/kW as a conservative 2026 planning allowance for the HSFO system. </w:t>
      </w:r>
    </w:p>
    <w:p w14:paraId="0E4D798C" w14:textId="77777777" w:rsidR="009C3A0E" w:rsidRDefault="00994197">
      <w:pPr>
        <w:rPr>
          <w:rFonts w:asciiTheme="majorHAnsi" w:eastAsia="Times New Roman" w:hAnsiTheme="majorHAnsi" w:cstheme="majorHAnsi"/>
          <w:szCs w:val="24"/>
        </w:rPr>
      </w:pPr>
      <w:r>
        <w:rPr>
          <w:rFonts w:eastAsia="Times New Roman" w:cstheme="majorHAnsi"/>
          <w:szCs w:val="24"/>
        </w:rPr>
        <w:t>That produces:</w:t>
      </w:r>
    </w:p>
    <w:tbl>
      <w:tblPr>
        <w:tblStyle w:val="gswTableStyle"/>
        <w:tblW w:w="9373" w:type="dxa"/>
        <w:tblLayout w:type="fixed"/>
        <w:tblLook w:val="04A0" w:firstRow="1" w:lastRow="0" w:firstColumn="1" w:lastColumn="0" w:noHBand="0" w:noVBand="1"/>
      </w:tblPr>
      <w:tblGrid>
        <w:gridCol w:w="3546"/>
        <w:gridCol w:w="3170"/>
        <w:gridCol w:w="1274"/>
        <w:gridCol w:w="1383"/>
      </w:tblGrid>
      <w:tr w:rsidR="009C3A0E" w14:paraId="69E192AD" w14:textId="77777777" w:rsidTr="00A6082F">
        <w:trPr>
          <w:cnfStyle w:val="100000000000" w:firstRow="1" w:lastRow="0" w:firstColumn="0" w:lastColumn="0" w:oddVBand="0" w:evenVBand="0" w:oddHBand="0" w:evenHBand="0" w:firstRowFirstColumn="0" w:firstRowLastColumn="0" w:lastRowFirstColumn="0" w:lastRowLastColumn="0"/>
          <w:tblHeader/>
        </w:trPr>
        <w:tc>
          <w:tcPr>
            <w:tcW w:w="3546" w:type="dxa"/>
          </w:tcPr>
          <w:p w14:paraId="4D3C99BE" w14:textId="77777777" w:rsidR="009C3A0E" w:rsidRDefault="00994197">
            <w:pPr>
              <w:pStyle w:val="cTableHeader"/>
              <w:keepNext/>
              <w:spacing w:before="0" w:after="0"/>
            </w:pPr>
            <w:r>
              <w:t>Propulsion system</w:t>
            </w:r>
          </w:p>
        </w:tc>
        <w:tc>
          <w:tcPr>
            <w:tcW w:w="3170" w:type="dxa"/>
          </w:tcPr>
          <w:p w14:paraId="28E2FC78" w14:textId="77777777" w:rsidR="009C3A0E" w:rsidRDefault="00994197">
            <w:pPr>
              <w:pStyle w:val="cTableHeader"/>
              <w:keepNext/>
              <w:spacing w:before="0" w:after="0"/>
            </w:pPr>
            <w:r>
              <w:t>Assumed installed propulsion + fuel-storage CAPEX</w:t>
            </w:r>
          </w:p>
        </w:tc>
        <w:tc>
          <w:tcPr>
            <w:tcW w:w="1274" w:type="dxa"/>
          </w:tcPr>
          <w:p w14:paraId="26FC5765" w14:textId="77777777" w:rsidR="009C3A0E" w:rsidRDefault="00994197">
            <w:pPr>
              <w:pStyle w:val="cTableHeader"/>
              <w:keepNext/>
              <w:spacing w:before="0" w:after="0"/>
            </w:pPr>
            <w:r>
              <w:t>50-MW ship</w:t>
            </w:r>
          </w:p>
        </w:tc>
        <w:tc>
          <w:tcPr>
            <w:tcW w:w="1383" w:type="dxa"/>
          </w:tcPr>
          <w:p w14:paraId="39B18254" w14:textId="77777777" w:rsidR="009C3A0E" w:rsidRDefault="00994197">
            <w:pPr>
              <w:pStyle w:val="cTableHeader"/>
              <w:keepNext/>
              <w:spacing w:before="0" w:after="0"/>
            </w:pPr>
            <w:r>
              <w:t>100-MW ship</w:t>
            </w:r>
          </w:p>
        </w:tc>
      </w:tr>
      <w:tr w:rsidR="009C3A0E" w14:paraId="2300E8D1" w14:textId="77777777" w:rsidTr="00A6082F">
        <w:tc>
          <w:tcPr>
            <w:tcW w:w="3546" w:type="dxa"/>
          </w:tcPr>
          <w:p w14:paraId="0DC4DF9A" w14:textId="77777777" w:rsidR="009C3A0E" w:rsidRDefault="00994197">
            <w:pPr>
              <w:pStyle w:val="cTableBody"/>
              <w:keepNext/>
              <w:spacing w:before="0" w:beforeAutospacing="0" w:afterAutospacing="0"/>
            </w:pPr>
            <w:r>
              <w:t>Direct SOFC + ammonia</w:t>
            </w:r>
          </w:p>
        </w:tc>
        <w:tc>
          <w:tcPr>
            <w:tcW w:w="3170" w:type="dxa"/>
          </w:tcPr>
          <w:p w14:paraId="54C2C7DF" w14:textId="77777777" w:rsidR="009C3A0E" w:rsidRDefault="00994197">
            <w:pPr>
              <w:pStyle w:val="cTableBody"/>
              <w:keepNext/>
              <w:spacing w:before="0" w:beforeAutospacing="0" w:afterAutospacing="0"/>
            </w:pPr>
            <w:r>
              <w:t>~$1,228/kW</w:t>
            </w:r>
          </w:p>
        </w:tc>
        <w:tc>
          <w:tcPr>
            <w:tcW w:w="1274" w:type="dxa"/>
          </w:tcPr>
          <w:p w14:paraId="4F7AA74D" w14:textId="77777777" w:rsidR="009C3A0E" w:rsidRDefault="00994197">
            <w:pPr>
              <w:pStyle w:val="cTableBody"/>
              <w:keepNext/>
              <w:spacing w:before="0" w:beforeAutospacing="0" w:afterAutospacing="0"/>
            </w:pPr>
            <w:r>
              <w:t>$61.4M</w:t>
            </w:r>
          </w:p>
        </w:tc>
        <w:tc>
          <w:tcPr>
            <w:tcW w:w="1383" w:type="dxa"/>
          </w:tcPr>
          <w:p w14:paraId="2F712764" w14:textId="77777777" w:rsidR="009C3A0E" w:rsidRDefault="00994197">
            <w:pPr>
              <w:pStyle w:val="cTableBody"/>
              <w:keepNext/>
              <w:spacing w:before="0" w:beforeAutospacing="0" w:afterAutospacing="0"/>
            </w:pPr>
            <w:r>
              <w:t>$122.8M</w:t>
            </w:r>
          </w:p>
        </w:tc>
      </w:tr>
      <w:tr w:rsidR="009C3A0E" w14:paraId="4E8CAD38" w14:textId="77777777" w:rsidTr="00A6082F">
        <w:tc>
          <w:tcPr>
            <w:tcW w:w="3546" w:type="dxa"/>
          </w:tcPr>
          <w:p w14:paraId="74F06A52" w14:textId="77777777" w:rsidR="009C3A0E" w:rsidRDefault="00994197">
            <w:pPr>
              <w:pStyle w:val="cTableBody"/>
              <w:keepNext/>
              <w:spacing w:before="0" w:beforeAutospacing="0" w:afterAutospacing="0"/>
            </w:pPr>
            <w:r>
              <w:t>Partial-cracking SOFC + ammonia</w:t>
            </w:r>
          </w:p>
        </w:tc>
        <w:tc>
          <w:tcPr>
            <w:tcW w:w="3170" w:type="dxa"/>
          </w:tcPr>
          <w:p w14:paraId="462BC82C" w14:textId="77777777" w:rsidR="009C3A0E" w:rsidRDefault="00994197">
            <w:pPr>
              <w:pStyle w:val="cTableBody"/>
              <w:keepNext/>
              <w:spacing w:before="0" w:beforeAutospacing="0" w:afterAutospacing="0"/>
            </w:pPr>
            <w:r>
              <w:t>~$1,223/kW</w:t>
            </w:r>
          </w:p>
        </w:tc>
        <w:tc>
          <w:tcPr>
            <w:tcW w:w="1274" w:type="dxa"/>
          </w:tcPr>
          <w:p w14:paraId="18AB078B" w14:textId="77777777" w:rsidR="009C3A0E" w:rsidRDefault="00994197">
            <w:pPr>
              <w:pStyle w:val="cTableBody"/>
              <w:keepNext/>
              <w:spacing w:before="0" w:beforeAutospacing="0" w:afterAutospacing="0"/>
            </w:pPr>
            <w:r>
              <w:t>$61.2M</w:t>
            </w:r>
          </w:p>
        </w:tc>
        <w:tc>
          <w:tcPr>
            <w:tcW w:w="1383" w:type="dxa"/>
          </w:tcPr>
          <w:p w14:paraId="744D24E0" w14:textId="77777777" w:rsidR="009C3A0E" w:rsidRDefault="00994197">
            <w:pPr>
              <w:pStyle w:val="cTableBody"/>
              <w:keepNext/>
              <w:spacing w:before="0" w:beforeAutospacing="0" w:afterAutospacing="0"/>
            </w:pPr>
            <w:r>
              <w:t>$122.3M</w:t>
            </w:r>
          </w:p>
        </w:tc>
      </w:tr>
      <w:tr w:rsidR="009C3A0E" w14:paraId="5D216ED8" w14:textId="77777777" w:rsidTr="00A6082F">
        <w:tc>
          <w:tcPr>
            <w:tcW w:w="3546" w:type="dxa"/>
          </w:tcPr>
          <w:p w14:paraId="05DE2353" w14:textId="77777777" w:rsidR="009C3A0E" w:rsidRDefault="00994197">
            <w:pPr>
              <w:pStyle w:val="cTableBody"/>
              <w:keepNext/>
              <w:spacing w:before="0" w:beforeAutospacing="0" w:afterAutospacing="0"/>
            </w:pPr>
            <w:r>
              <w:t>PCFC + ammonia</w:t>
            </w:r>
          </w:p>
        </w:tc>
        <w:tc>
          <w:tcPr>
            <w:tcW w:w="3170" w:type="dxa"/>
          </w:tcPr>
          <w:p w14:paraId="35FDE2CC" w14:textId="77777777" w:rsidR="009C3A0E" w:rsidRDefault="00994197">
            <w:pPr>
              <w:pStyle w:val="cTableBody"/>
              <w:keepNext/>
              <w:spacing w:before="0" w:beforeAutospacing="0" w:afterAutospacing="0"/>
            </w:pPr>
            <w:r>
              <w:t>~$1,462/kW</w:t>
            </w:r>
          </w:p>
        </w:tc>
        <w:tc>
          <w:tcPr>
            <w:tcW w:w="1274" w:type="dxa"/>
          </w:tcPr>
          <w:p w14:paraId="67F27610" w14:textId="77777777" w:rsidR="009C3A0E" w:rsidRDefault="00994197">
            <w:pPr>
              <w:pStyle w:val="cTableBody"/>
              <w:keepNext/>
              <w:spacing w:before="0" w:beforeAutospacing="0" w:afterAutospacing="0"/>
            </w:pPr>
            <w:r>
              <w:t>$73.1M</w:t>
            </w:r>
          </w:p>
        </w:tc>
        <w:tc>
          <w:tcPr>
            <w:tcW w:w="1383" w:type="dxa"/>
          </w:tcPr>
          <w:p w14:paraId="5BA8285D" w14:textId="77777777" w:rsidR="009C3A0E" w:rsidRDefault="00994197">
            <w:pPr>
              <w:pStyle w:val="cTableBody"/>
              <w:keepNext/>
              <w:spacing w:before="0" w:beforeAutospacing="0" w:afterAutospacing="0"/>
            </w:pPr>
            <w:r>
              <w:t>$146.2M</w:t>
            </w:r>
          </w:p>
        </w:tc>
      </w:tr>
      <w:tr w:rsidR="009C3A0E" w14:paraId="73AFF3B7" w14:textId="77777777" w:rsidTr="00A6082F">
        <w:tc>
          <w:tcPr>
            <w:tcW w:w="3546" w:type="dxa"/>
          </w:tcPr>
          <w:p w14:paraId="66A6465C" w14:textId="77777777" w:rsidR="009C3A0E" w:rsidRDefault="00994197">
            <w:pPr>
              <w:pStyle w:val="cTableBody"/>
              <w:keepNext/>
              <w:spacing w:before="0" w:beforeAutospacing="0" w:afterAutospacing="0"/>
            </w:pPr>
            <w:r>
              <w:t>HSFO diesel + tank + SCR + scrubber</w:t>
            </w:r>
          </w:p>
        </w:tc>
        <w:tc>
          <w:tcPr>
            <w:tcW w:w="3170" w:type="dxa"/>
          </w:tcPr>
          <w:p w14:paraId="13E614DC" w14:textId="77777777" w:rsidR="009C3A0E" w:rsidRDefault="00994197">
            <w:pPr>
              <w:pStyle w:val="cTableBody"/>
              <w:keepNext/>
              <w:spacing w:before="0" w:beforeAutospacing="0" w:afterAutospacing="0"/>
            </w:pPr>
            <w:r>
              <w:t>~$1,220/kW</w:t>
            </w:r>
          </w:p>
        </w:tc>
        <w:tc>
          <w:tcPr>
            <w:tcW w:w="1274" w:type="dxa"/>
          </w:tcPr>
          <w:p w14:paraId="7CBB02CD" w14:textId="77777777" w:rsidR="009C3A0E" w:rsidRDefault="00994197">
            <w:pPr>
              <w:pStyle w:val="cTableBody"/>
              <w:keepNext/>
              <w:spacing w:before="0" w:beforeAutospacing="0" w:afterAutospacing="0"/>
            </w:pPr>
            <w:r>
              <w:t>$61.0M</w:t>
            </w:r>
          </w:p>
        </w:tc>
        <w:tc>
          <w:tcPr>
            <w:tcW w:w="1383" w:type="dxa"/>
          </w:tcPr>
          <w:p w14:paraId="2D676C3C" w14:textId="77777777" w:rsidR="009C3A0E" w:rsidRDefault="00994197">
            <w:pPr>
              <w:pStyle w:val="cTableBody"/>
              <w:keepNext/>
              <w:spacing w:before="0" w:beforeAutospacing="0" w:afterAutospacing="0"/>
            </w:pPr>
            <w:r>
              <w:t>$122.0M</w:t>
            </w:r>
          </w:p>
        </w:tc>
      </w:tr>
      <w:tr w:rsidR="009C3A0E" w14:paraId="076E4095" w14:textId="77777777" w:rsidTr="00A6082F">
        <w:tc>
          <w:tcPr>
            <w:tcW w:w="3546" w:type="dxa"/>
          </w:tcPr>
          <w:p w14:paraId="40259CFB" w14:textId="77777777" w:rsidR="009C3A0E" w:rsidRDefault="00994197">
            <w:pPr>
              <w:pStyle w:val="cTableBody"/>
              <w:spacing w:before="0"/>
            </w:pPr>
            <w:r>
              <w:t>VLSFO diesel + tank + SCR</w:t>
            </w:r>
          </w:p>
        </w:tc>
        <w:tc>
          <w:tcPr>
            <w:tcW w:w="3170" w:type="dxa"/>
          </w:tcPr>
          <w:p w14:paraId="7E04196E" w14:textId="77777777" w:rsidR="009C3A0E" w:rsidRDefault="00994197">
            <w:pPr>
              <w:pStyle w:val="cTableBody"/>
              <w:spacing w:before="0"/>
            </w:pPr>
            <w:r>
              <w:t>~$970/kW</w:t>
            </w:r>
          </w:p>
        </w:tc>
        <w:tc>
          <w:tcPr>
            <w:tcW w:w="1274" w:type="dxa"/>
          </w:tcPr>
          <w:p w14:paraId="7E507F67" w14:textId="77777777" w:rsidR="009C3A0E" w:rsidRDefault="00994197">
            <w:pPr>
              <w:pStyle w:val="cTableBody"/>
              <w:spacing w:before="0"/>
            </w:pPr>
            <w:r>
              <w:t>$48.5M</w:t>
            </w:r>
          </w:p>
        </w:tc>
        <w:tc>
          <w:tcPr>
            <w:tcW w:w="1383" w:type="dxa"/>
          </w:tcPr>
          <w:p w14:paraId="713488BA" w14:textId="77777777" w:rsidR="009C3A0E" w:rsidRDefault="00994197">
            <w:pPr>
              <w:pStyle w:val="cTableBody"/>
              <w:spacing w:before="0"/>
            </w:pPr>
            <w:r>
              <w:t>$97.0M</w:t>
            </w:r>
          </w:p>
        </w:tc>
      </w:tr>
    </w:tbl>
    <w:p w14:paraId="2BB05518" w14:textId="77777777" w:rsidR="009C3A0E" w:rsidRDefault="00994197">
      <w:pPr>
        <w:rPr>
          <w:rFonts w:asciiTheme="majorHAnsi" w:eastAsia="Times New Roman" w:hAnsiTheme="majorHAnsi" w:cstheme="majorHAnsi"/>
          <w:szCs w:val="24"/>
        </w:rPr>
      </w:pPr>
      <w:r>
        <w:rPr>
          <w:rFonts w:eastAsia="Times New Roman" w:cstheme="majorHAnsi"/>
          <w:szCs w:val="24"/>
        </w:rPr>
        <w:t xml:space="preserve">Notice something surprising: </w:t>
      </w:r>
      <w:r>
        <w:rPr>
          <w:rFonts w:eastAsia="Times New Roman" w:cstheme="majorHAnsi"/>
          <w:b/>
          <w:bCs/>
          <w:szCs w:val="24"/>
        </w:rPr>
        <w:t>the mature partial-cracking SOFC/ammonia propulsion plant and the HSFO/scrubber propulsion plant come out at almost exactly the same initial capital cost in this model.</w:t>
      </w:r>
    </w:p>
    <w:p w14:paraId="26BD3FB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That's not because fuel cells are intrinsically cheap today. It is because we're assuming the large-volume, mature SOFC cost target, while an HSFO ship needs the diesel, fuel tanks and substantial exhaust-treatment equipment.</w:t>
      </w:r>
    </w:p>
    <w:p w14:paraId="4541A8E4" w14:textId="77777777" w:rsidR="009C3A0E" w:rsidRDefault="00994197">
      <w:pPr>
        <w:pStyle w:val="Heading2"/>
        <w:spacing w:before="280"/>
      </w:pPr>
      <w:r>
        <w:t>Fuel-cell replacement is important, but not overwhelming</w:t>
      </w:r>
    </w:p>
    <w:p w14:paraId="02F91E2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For SOFC stacks I modeled a conservative replacement schedule based on the marine SOFC paper: initial ammonia-SOFC life of about </w:t>
      </w:r>
      <w:r>
        <w:rPr>
          <w:rFonts w:eastAsia="Times New Roman" w:cstheme="majorHAnsi"/>
          <w:b/>
          <w:bCs/>
          <w:szCs w:val="24"/>
        </w:rPr>
        <w:t>5 years</w:t>
      </w:r>
      <w:r>
        <w:rPr>
          <w:rFonts w:eastAsia="Times New Roman" w:cstheme="majorHAnsi"/>
          <w:szCs w:val="24"/>
        </w:rPr>
        <w:t xml:space="preserve">, with each subsequent generation having 25% longer life and 42% lower replacement cost. I combine that schedule with DOE's mature </w:t>
      </w:r>
      <w:r>
        <w:rPr>
          <w:rFonts w:eastAsia="Times New Roman" w:cstheme="majorHAnsi"/>
          <w:b/>
          <w:bCs/>
          <w:szCs w:val="24"/>
        </w:rPr>
        <w:t>$225/kW stack-cost target</w:t>
      </w:r>
      <w:r>
        <w:rPr>
          <w:rFonts w:eastAsia="Times New Roman" w:cstheme="majorHAnsi"/>
          <w:szCs w:val="24"/>
        </w:rPr>
        <w:t xml:space="preserve">. </w:t>
      </w:r>
    </w:p>
    <w:p w14:paraId="2A058FA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produces SOFC replacements at approximately years 5, 11.3 and 19.1. Discounted over 25 years, the replacement burden adds only about:</w:t>
      </w:r>
    </w:p>
    <w:p w14:paraId="32651EAA" w14:textId="77777777" w:rsidR="009C3A0E" w:rsidRDefault="00994197" w:rsidP="00120C95">
      <w:pPr>
        <w:pStyle w:val="bblueindent"/>
      </w:pPr>
      <w:r>
        <w:t>$7.5/MWh-shaft.</w:t>
      </w:r>
    </w:p>
    <w:p w14:paraId="6C56292F"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That may initially sound low. The reason is that we're replacing </w:t>
      </w:r>
      <w:r>
        <w:rPr>
          <w:rFonts w:eastAsia="Times New Roman" w:cstheme="majorHAnsi"/>
          <w:b/>
          <w:bCs/>
          <w:szCs w:val="24"/>
        </w:rPr>
        <w:t>the electrochemical stacks</w:t>
      </w:r>
      <w:r>
        <w:rPr>
          <w:rFonts w:eastAsia="Times New Roman" w:cstheme="majorHAnsi"/>
          <w:szCs w:val="24"/>
        </w:rPr>
        <w:t>, not buying a completely new $900/kW propulsion system every five years. The ammonia tanks, motors, power electronics, cracker pressure vessels, heat exchangers, structure and most balance-of-plant equipment remain aboard.</w:t>
      </w:r>
    </w:p>
    <w:p w14:paraId="4076F09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PCFC uncertainty is much greater. I used a deliberately higher $300/kW first stack replacement and obtained approximately </w:t>
      </w:r>
      <w:r>
        <w:rPr>
          <w:rFonts w:eastAsia="Times New Roman" w:cstheme="majorHAnsi"/>
          <w:b/>
          <w:bCs/>
          <w:szCs w:val="24"/>
        </w:rPr>
        <w:t>$10/MWh-shaft</w:t>
      </w:r>
      <w:r>
        <w:rPr>
          <w:rFonts w:eastAsia="Times New Roman" w:cstheme="majorHAnsi"/>
          <w:szCs w:val="24"/>
        </w:rPr>
        <w:t xml:space="preserve"> for replacements. I would regard the $189/MWh PCFC total as much less certain than the SOFC numbers.</w:t>
      </w:r>
    </w:p>
    <w:p w14:paraId="2DF82506" w14:textId="77777777" w:rsidR="009C3A0E" w:rsidRDefault="00994197">
      <w:pPr>
        <w:pStyle w:val="Heading2"/>
        <w:spacing w:before="280"/>
      </w:pPr>
      <w:r>
        <w:t>What 50 MW versus 100 MW means</w:t>
      </w:r>
    </w:p>
    <w:p w14:paraId="23B1270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Using the 31.6% full-power-equivalent operating profile, a 50-MW propulsion system delivers about </w:t>
      </w:r>
      <w:r>
        <w:rPr>
          <w:rFonts w:eastAsia="Times New Roman" w:cstheme="majorHAnsi"/>
          <w:b/>
          <w:bCs/>
          <w:szCs w:val="24"/>
        </w:rPr>
        <w:t>138,000 MWh of shaft energy annually</w:t>
      </w:r>
      <w:r>
        <w:rPr>
          <w:rFonts w:eastAsia="Times New Roman" w:cstheme="majorHAnsi"/>
          <w:szCs w:val="24"/>
        </w:rPr>
        <w:t xml:space="preserve">; a 100-MW system delivers about </w:t>
      </w:r>
      <w:r>
        <w:rPr>
          <w:rFonts w:eastAsia="Times New Roman" w:cstheme="majorHAnsi"/>
          <w:b/>
          <w:bCs/>
          <w:szCs w:val="24"/>
        </w:rPr>
        <w:t>277,000 MWh/year</w:t>
      </w:r>
      <w:r>
        <w:rPr>
          <w:rFonts w:eastAsia="Times New Roman" w:cstheme="majorHAnsi"/>
          <w:szCs w:val="24"/>
        </w:rPr>
        <w:t>.</w:t>
      </w:r>
    </w:p>
    <w:p w14:paraId="5E340FB0" w14:textId="77777777" w:rsidR="009C3A0E" w:rsidRDefault="00994197">
      <w:pPr>
        <w:rPr>
          <w:rFonts w:asciiTheme="majorHAnsi" w:eastAsia="Times New Roman" w:hAnsiTheme="majorHAnsi" w:cstheme="majorHAnsi"/>
          <w:szCs w:val="24"/>
        </w:rPr>
      </w:pPr>
      <w:r>
        <w:rPr>
          <w:rFonts w:eastAsia="Times New Roman" w:cstheme="majorHAnsi"/>
          <w:szCs w:val="24"/>
        </w:rPr>
        <w:t>Discounting 25 years of those outputs at 7%, the corresponding lifetime present-value expenditures are:</w:t>
      </w:r>
    </w:p>
    <w:tbl>
      <w:tblPr>
        <w:tblStyle w:val="gswTableStyle"/>
        <w:tblW w:w="9344" w:type="dxa"/>
        <w:tblLayout w:type="fixed"/>
        <w:tblLook w:val="04A0" w:firstRow="1" w:lastRow="0" w:firstColumn="1" w:lastColumn="0" w:noHBand="0" w:noVBand="1"/>
      </w:tblPr>
      <w:tblGrid>
        <w:gridCol w:w="3046"/>
        <w:gridCol w:w="3380"/>
        <w:gridCol w:w="2918"/>
      </w:tblGrid>
      <w:tr w:rsidR="009C3A0E" w14:paraId="01AB4015" w14:textId="77777777" w:rsidTr="00A6082F">
        <w:trPr>
          <w:cnfStyle w:val="100000000000" w:firstRow="1" w:lastRow="0" w:firstColumn="0" w:lastColumn="0" w:oddVBand="0" w:evenVBand="0" w:oddHBand="0" w:evenHBand="0" w:firstRowFirstColumn="0" w:firstRowLastColumn="0" w:lastRowFirstColumn="0" w:lastRowLastColumn="0"/>
          <w:tblHeader/>
        </w:trPr>
        <w:tc>
          <w:tcPr>
            <w:tcW w:w="3046" w:type="dxa"/>
          </w:tcPr>
          <w:p w14:paraId="0E4AB758" w14:textId="77777777" w:rsidR="009C3A0E" w:rsidRDefault="00994197">
            <w:pPr>
              <w:pStyle w:val="cTableHeader"/>
              <w:spacing w:before="0" w:after="0"/>
            </w:pPr>
            <w:r>
              <w:t>System</w:t>
            </w:r>
          </w:p>
        </w:tc>
        <w:tc>
          <w:tcPr>
            <w:tcW w:w="3380" w:type="dxa"/>
          </w:tcPr>
          <w:p w14:paraId="63686DBA" w14:textId="77777777" w:rsidR="009C3A0E" w:rsidRDefault="00994197">
            <w:pPr>
              <w:pStyle w:val="cTableHeader"/>
              <w:spacing w:before="0" w:after="0"/>
            </w:pPr>
            <w:r>
              <w:t>50-MW ship: 25-year PV cost</w:t>
            </w:r>
          </w:p>
        </w:tc>
        <w:tc>
          <w:tcPr>
            <w:tcW w:w="2918" w:type="dxa"/>
          </w:tcPr>
          <w:p w14:paraId="384672B4" w14:textId="77777777" w:rsidR="009C3A0E" w:rsidRDefault="00994197">
            <w:pPr>
              <w:pStyle w:val="cTableHeader"/>
              <w:spacing w:before="0" w:after="0"/>
            </w:pPr>
            <w:r>
              <w:t>100-MW ship: 25-year PV cost</w:t>
            </w:r>
          </w:p>
        </w:tc>
      </w:tr>
      <w:tr w:rsidR="009C3A0E" w14:paraId="2EF67930" w14:textId="77777777" w:rsidTr="00A6082F">
        <w:tc>
          <w:tcPr>
            <w:tcW w:w="3046" w:type="dxa"/>
          </w:tcPr>
          <w:p w14:paraId="21C60D31" w14:textId="77777777" w:rsidR="009C3A0E" w:rsidRDefault="00994197">
            <w:pPr>
              <w:pStyle w:val="cTableBody"/>
              <w:spacing w:before="0"/>
            </w:pPr>
            <w:r>
              <w:t>Direct SOFC + $365/t NH₃</w:t>
            </w:r>
          </w:p>
        </w:tc>
        <w:tc>
          <w:tcPr>
            <w:tcW w:w="3380" w:type="dxa"/>
          </w:tcPr>
          <w:p w14:paraId="45F4E70C" w14:textId="77777777" w:rsidR="009C3A0E" w:rsidRDefault="00994197">
            <w:pPr>
              <w:pStyle w:val="cTableBody"/>
              <w:spacing w:before="0"/>
            </w:pPr>
            <w:r>
              <w:t>$267M</w:t>
            </w:r>
          </w:p>
        </w:tc>
        <w:tc>
          <w:tcPr>
            <w:tcW w:w="2918" w:type="dxa"/>
          </w:tcPr>
          <w:p w14:paraId="5F508476" w14:textId="77777777" w:rsidR="009C3A0E" w:rsidRDefault="00994197">
            <w:pPr>
              <w:pStyle w:val="cTableBody"/>
              <w:spacing w:before="0"/>
            </w:pPr>
            <w:r>
              <w:t>$535M</w:t>
            </w:r>
          </w:p>
        </w:tc>
      </w:tr>
      <w:tr w:rsidR="009C3A0E" w14:paraId="55556720" w14:textId="77777777" w:rsidTr="00A6082F">
        <w:tc>
          <w:tcPr>
            <w:tcW w:w="3046" w:type="dxa"/>
          </w:tcPr>
          <w:p w14:paraId="4093E381" w14:textId="77777777" w:rsidR="009C3A0E" w:rsidRDefault="00994197">
            <w:pPr>
              <w:pStyle w:val="cTableBody"/>
              <w:spacing w:before="0"/>
            </w:pPr>
            <w:r>
              <w:t>Partial-cracking SOFC + $365/t NH₃</w:t>
            </w:r>
          </w:p>
        </w:tc>
        <w:tc>
          <w:tcPr>
            <w:tcW w:w="3380" w:type="dxa"/>
          </w:tcPr>
          <w:p w14:paraId="048BA721" w14:textId="77777777" w:rsidR="009C3A0E" w:rsidRDefault="00994197">
            <w:pPr>
              <w:pStyle w:val="cTableBody"/>
              <w:spacing w:before="0"/>
            </w:pPr>
            <w:r>
              <w:t>$266M</w:t>
            </w:r>
          </w:p>
        </w:tc>
        <w:tc>
          <w:tcPr>
            <w:tcW w:w="2918" w:type="dxa"/>
          </w:tcPr>
          <w:p w14:paraId="7C97599A" w14:textId="77777777" w:rsidR="009C3A0E" w:rsidRDefault="00994197">
            <w:pPr>
              <w:pStyle w:val="cTableBody"/>
              <w:spacing w:before="0"/>
            </w:pPr>
            <w:r>
              <w:t>$532M</w:t>
            </w:r>
          </w:p>
        </w:tc>
      </w:tr>
      <w:tr w:rsidR="009C3A0E" w14:paraId="3D26B9D5" w14:textId="77777777" w:rsidTr="00A6082F">
        <w:tc>
          <w:tcPr>
            <w:tcW w:w="3046" w:type="dxa"/>
          </w:tcPr>
          <w:p w14:paraId="48620BF8" w14:textId="77777777" w:rsidR="009C3A0E" w:rsidRDefault="00994197">
            <w:pPr>
              <w:pStyle w:val="cTableBody"/>
              <w:spacing w:before="0"/>
            </w:pPr>
            <w:r>
              <w:t>PCFC + $365/t NH₃</w:t>
            </w:r>
          </w:p>
        </w:tc>
        <w:tc>
          <w:tcPr>
            <w:tcW w:w="3380" w:type="dxa"/>
          </w:tcPr>
          <w:p w14:paraId="7471FEA9" w14:textId="77777777" w:rsidR="009C3A0E" w:rsidRDefault="00994197">
            <w:pPr>
              <w:pStyle w:val="cTableBody"/>
              <w:spacing w:before="0"/>
            </w:pPr>
            <w:r>
              <w:t>$304M</w:t>
            </w:r>
          </w:p>
        </w:tc>
        <w:tc>
          <w:tcPr>
            <w:tcW w:w="2918" w:type="dxa"/>
          </w:tcPr>
          <w:p w14:paraId="544383DE" w14:textId="77777777" w:rsidR="009C3A0E" w:rsidRDefault="00994197">
            <w:pPr>
              <w:pStyle w:val="cTableBody"/>
              <w:spacing w:before="0"/>
            </w:pPr>
            <w:r>
              <w:t>$609M</w:t>
            </w:r>
          </w:p>
        </w:tc>
      </w:tr>
      <w:tr w:rsidR="009C3A0E" w14:paraId="46849026" w14:textId="77777777" w:rsidTr="00A6082F">
        <w:tc>
          <w:tcPr>
            <w:tcW w:w="3046" w:type="dxa"/>
          </w:tcPr>
          <w:p w14:paraId="11B40696" w14:textId="77777777" w:rsidR="009C3A0E" w:rsidRDefault="00994197">
            <w:pPr>
              <w:pStyle w:val="cTableBody"/>
              <w:spacing w:before="0"/>
            </w:pPr>
            <w:r>
              <w:t>HSFO + scrubber</w:t>
            </w:r>
          </w:p>
        </w:tc>
        <w:tc>
          <w:tcPr>
            <w:tcW w:w="3380" w:type="dxa"/>
          </w:tcPr>
          <w:p w14:paraId="426D52AD" w14:textId="77777777" w:rsidR="009C3A0E" w:rsidRDefault="00994197">
            <w:pPr>
              <w:pStyle w:val="cTableBody"/>
              <w:spacing w:before="0"/>
            </w:pPr>
            <w:r>
              <w:t>$247M</w:t>
            </w:r>
          </w:p>
        </w:tc>
        <w:tc>
          <w:tcPr>
            <w:tcW w:w="2918" w:type="dxa"/>
          </w:tcPr>
          <w:p w14:paraId="77099ACD" w14:textId="77777777" w:rsidR="009C3A0E" w:rsidRDefault="00994197">
            <w:pPr>
              <w:pStyle w:val="cTableBody"/>
              <w:spacing w:before="0"/>
            </w:pPr>
            <w:r>
              <w:t>$494M</w:t>
            </w:r>
          </w:p>
        </w:tc>
      </w:tr>
      <w:tr w:rsidR="009C3A0E" w14:paraId="5051C084" w14:textId="77777777" w:rsidTr="00A6082F">
        <w:tc>
          <w:tcPr>
            <w:tcW w:w="3046" w:type="dxa"/>
          </w:tcPr>
          <w:p w14:paraId="669AEE60" w14:textId="77777777" w:rsidR="009C3A0E" w:rsidRDefault="00994197">
            <w:pPr>
              <w:pStyle w:val="cTableBody"/>
              <w:spacing w:before="0"/>
            </w:pPr>
            <w:r>
              <w:t>VLSFO</w:t>
            </w:r>
          </w:p>
        </w:tc>
        <w:tc>
          <w:tcPr>
            <w:tcW w:w="3380" w:type="dxa"/>
          </w:tcPr>
          <w:p w14:paraId="60B7BA48" w14:textId="77777777" w:rsidR="009C3A0E" w:rsidRDefault="00994197">
            <w:pPr>
              <w:pStyle w:val="cTableBody"/>
              <w:spacing w:before="0"/>
            </w:pPr>
            <w:r>
              <w:t>$295M</w:t>
            </w:r>
          </w:p>
        </w:tc>
        <w:tc>
          <w:tcPr>
            <w:tcW w:w="2918" w:type="dxa"/>
          </w:tcPr>
          <w:p w14:paraId="03723B18" w14:textId="77777777" w:rsidR="009C3A0E" w:rsidRDefault="00994197">
            <w:pPr>
              <w:pStyle w:val="cTableBody"/>
              <w:spacing w:before="0"/>
            </w:pPr>
            <w:r>
              <w:t>$590M</w:t>
            </w:r>
          </w:p>
        </w:tc>
      </w:tr>
    </w:tbl>
    <w:p w14:paraId="6B5355A7" w14:textId="77777777" w:rsidR="009C3A0E" w:rsidRDefault="00994197">
      <w:pPr>
        <w:rPr>
          <w:rFonts w:asciiTheme="majorHAnsi" w:eastAsia="Times New Roman" w:hAnsiTheme="majorHAnsi" w:cstheme="majorHAnsi"/>
          <w:szCs w:val="24"/>
        </w:rPr>
      </w:pPr>
      <w:r>
        <w:rPr>
          <w:rFonts w:eastAsia="Times New Roman" w:cstheme="majorHAnsi"/>
          <w:szCs w:val="24"/>
        </w:rPr>
        <w:t>The $/MWh number is nearly identical at 50 and 100 MW in my calculation because I've conservatively scaled equipment approximately linearly with power. In reality, the 100-MW system should get some economies of scale in tanks, heat exchangers, controls and other balance-of-plant equipment, so the 100-MW ammonia case might be a few percent cheaper per MWh.</w:t>
      </w:r>
    </w:p>
    <w:p w14:paraId="7709CF5E" w14:textId="77777777" w:rsidR="009C3A0E" w:rsidRDefault="00994197">
      <w:pPr>
        <w:pStyle w:val="Heading2"/>
        <w:spacing w:before="280"/>
      </w:pPr>
      <w:r>
        <w:t>Why partial cracking still looks best</w:t>
      </w:r>
    </w:p>
    <w:p w14:paraId="4E6531F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direct-ammonia SOFC and partial-cracking SOFC are effectively tied economically: </w:t>
      </w:r>
      <w:r>
        <w:rPr>
          <w:rFonts w:eastAsia="Times New Roman" w:cstheme="majorHAnsi"/>
          <w:b/>
          <w:bCs/>
          <w:szCs w:val="24"/>
        </w:rPr>
        <w:t>$166 versus $165/MWh</w:t>
      </w:r>
      <w:r>
        <w:rPr>
          <w:rFonts w:eastAsia="Times New Roman" w:cstheme="majorHAnsi"/>
          <w:szCs w:val="24"/>
        </w:rPr>
        <w:t>. That difference is well below the uncertainty in the underlying assumptions.</w:t>
      </w:r>
    </w:p>
    <w:p w14:paraId="1B3AFBC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would nevertheless choose the </w:t>
      </w:r>
      <w:r>
        <w:rPr>
          <w:rFonts w:eastAsia="Times New Roman" w:cstheme="majorHAnsi"/>
          <w:b/>
          <w:bCs/>
          <w:szCs w:val="24"/>
        </w:rPr>
        <w:t>partial external cracker + SOFC</w:t>
      </w:r>
      <w:r>
        <w:rPr>
          <w:rFonts w:eastAsia="Times New Roman" w:cstheme="majorHAnsi"/>
          <w:szCs w:val="24"/>
        </w:rPr>
        <w:t>.</w:t>
      </w:r>
    </w:p>
    <w:p w14:paraId="40DA688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At ~600–700°C, hot SOFC exhaust can provide almost all the thermal duty for the ammonia cracker, ammonia vaporizer and preheater. Therefore, cracking does not require buying large amounts of additional fuel or electricity. Yet partial cracking reduces ammonia exposure inside the fuel-cell stack, gives much better control over thermal gradients and makes the catalyst something that can be serviced independently of the expensive electrochemical stack.</w:t>
      </w:r>
    </w:p>
    <w:p w14:paraId="15E8A4F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In other words, you give up very little efficiency or money in return for what I expect would be materially better durability and maintainability.</w:t>
      </w:r>
    </w:p>
    <w:p w14:paraId="190E3C41" w14:textId="77777777" w:rsidR="009C3A0E" w:rsidRDefault="00994197">
      <w:pPr>
        <w:pStyle w:val="Heading2"/>
        <w:spacing w:before="280"/>
      </w:pPr>
      <w:r>
        <w:t>An especially useful break-even number</w:t>
      </w:r>
    </w:p>
    <w:p w14:paraId="522A41E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With the assumptions above, the optimized partial-SOFC ship costs about </w:t>
      </w:r>
      <w:r>
        <w:rPr>
          <w:rFonts w:eastAsia="Times New Roman" w:cstheme="majorHAnsi"/>
          <w:b/>
          <w:bCs/>
          <w:szCs w:val="24"/>
        </w:rPr>
        <w:t>$165/MWh-shaft</w:t>
      </w:r>
      <w:r>
        <w:rPr>
          <w:rFonts w:eastAsia="Times New Roman" w:cstheme="majorHAnsi"/>
          <w:szCs w:val="24"/>
        </w:rPr>
        <w:t>.</w:t>
      </w:r>
    </w:p>
    <w:p w14:paraId="3A2E64C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At today's $588.50/t Singapore HSFO price, the HSFO ship is about $153/MWh. For the ammonia ship to exactly match it, green ammonia would need to fall from your assumed </w:t>
      </w:r>
      <w:r>
        <w:rPr>
          <w:rFonts w:eastAsia="Times New Roman" w:cstheme="majorHAnsi"/>
          <w:b/>
          <w:bCs/>
          <w:szCs w:val="24"/>
        </w:rPr>
        <w:t>$365/t to roughly $326/t</w:t>
      </w:r>
      <w:r>
        <w:rPr>
          <w:rFonts w:eastAsia="Times New Roman" w:cstheme="majorHAnsi"/>
          <w:szCs w:val="24"/>
        </w:rPr>
        <w:t>.</w:t>
      </w:r>
    </w:p>
    <w:p w14:paraId="20DBF7F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That's only about an </w:t>
      </w:r>
      <w:r>
        <w:rPr>
          <w:rFonts w:eastAsia="Times New Roman" w:cstheme="majorHAnsi"/>
          <w:b/>
          <w:bCs/>
          <w:szCs w:val="24"/>
        </w:rPr>
        <w:t>11% reduction in ammonia price</w:t>
      </w:r>
      <w:r>
        <w:rPr>
          <w:rFonts w:eastAsia="Times New Roman" w:cstheme="majorHAnsi"/>
          <w:szCs w:val="24"/>
        </w:rPr>
        <w:t>.</w:t>
      </w:r>
    </w:p>
    <w:p w14:paraId="31C3720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Conversely, holding ammonia at $365/t, HSFO would reach parity at roughly </w:t>
      </w:r>
      <w:r>
        <w:rPr>
          <w:rFonts w:eastAsia="Times New Roman" w:cstheme="majorHAnsi"/>
          <w:b/>
          <w:bCs/>
          <w:szCs w:val="24"/>
        </w:rPr>
        <w:t>$650/t</w:t>
      </w:r>
      <w:r>
        <w:rPr>
          <w:rFonts w:eastAsia="Times New Roman" w:cstheme="majorHAnsi"/>
          <w:szCs w:val="24"/>
        </w:rPr>
        <w:t>. That's not remotely an implausible bunker-fuel price historically.</w:t>
      </w:r>
    </w:p>
    <w:p w14:paraId="31FA471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Against VLSFO the situation is already reversed. The green-ammonia system breaks even with VLSFO at an ammonia price of roughly </w:t>
      </w:r>
      <w:r>
        <w:rPr>
          <w:rFonts w:eastAsia="Times New Roman" w:cstheme="majorHAnsi"/>
          <w:b/>
          <w:bCs/>
          <w:szCs w:val="24"/>
        </w:rPr>
        <w:t>$426/t</w:t>
      </w:r>
      <w:r>
        <w:rPr>
          <w:rFonts w:eastAsia="Times New Roman" w:cstheme="majorHAnsi"/>
          <w:szCs w:val="24"/>
        </w:rPr>
        <w:t>. Thus, at $365/t ammonia:</w:t>
      </w:r>
    </w:p>
    <w:p w14:paraId="6986214F" w14:textId="77777777" w:rsidR="009C3A0E" w:rsidRDefault="00994197" w:rsidP="00120C95">
      <w:pPr>
        <w:pStyle w:val="bblueindent"/>
      </w:pPr>
      <w:r>
        <w:t>Green NH₃ + partial SOFC: ~$165/MWh-shaft</w:t>
      </w:r>
    </w:p>
    <w:p w14:paraId="59B8B96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versus:</w:t>
      </w:r>
    </w:p>
    <w:p w14:paraId="1EAC8460" w14:textId="77777777" w:rsidR="009C3A0E" w:rsidRDefault="00994197" w:rsidP="00120C95">
      <w:pPr>
        <w:pStyle w:val="bblueindent"/>
      </w:pPr>
      <w:r>
        <w:t>VLSFO: ~$183/MWh-shaft.</w:t>
      </w:r>
    </w:p>
    <w:p w14:paraId="5B5F0AF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So, ammonia has roughly an </w:t>
      </w:r>
      <w:r>
        <w:rPr>
          <w:rFonts w:eastAsia="Times New Roman" w:cstheme="majorHAnsi"/>
          <w:b/>
          <w:bCs/>
          <w:szCs w:val="24"/>
        </w:rPr>
        <w:t>$18/MWh-shaft advantage</w:t>
      </w:r>
      <w:r>
        <w:rPr>
          <w:rFonts w:eastAsia="Times New Roman" w:cstheme="majorHAnsi"/>
          <w:szCs w:val="24"/>
        </w:rPr>
        <w:t>, or about 10%.</w:t>
      </w:r>
    </w:p>
    <w:p w14:paraId="6833EF55" w14:textId="77777777" w:rsidR="009C3A0E" w:rsidRDefault="00994197">
      <w:pPr>
        <w:pStyle w:val="Heading2"/>
        <w:spacing w:before="280"/>
      </w:pPr>
      <w:r>
        <w:t>One important cost I have not included</w:t>
      </w:r>
    </w:p>
    <w:p w14:paraId="2B716EA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There is a potentially meaningful penalty that does </w:t>
      </w:r>
      <w:r>
        <w:rPr>
          <w:rFonts w:eastAsia="Times New Roman" w:cstheme="majorHAnsi"/>
          <w:b/>
          <w:bCs/>
          <w:szCs w:val="24"/>
        </w:rPr>
        <w:t>not</w:t>
      </w:r>
      <w:r>
        <w:rPr>
          <w:rFonts w:eastAsia="Times New Roman" w:cstheme="majorHAnsi"/>
          <w:szCs w:val="24"/>
        </w:rPr>
        <w:t xml:space="preserve"> show up in $/MWh-shaft: lost cargo space.</w:t>
      </w:r>
    </w:p>
    <w:p w14:paraId="39AF40FB"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published 56.38-MW ship analysis estimated roughly </w:t>
      </w:r>
      <w:r>
        <w:rPr>
          <w:rFonts w:eastAsia="Times New Roman" w:cstheme="majorHAnsi"/>
          <w:b/>
          <w:bCs/>
          <w:szCs w:val="24"/>
        </w:rPr>
        <w:t>32,760 m³ of ammonia tankage versus 15,142 m³ of HFO tankage</w:t>
      </w:r>
      <w:r>
        <w:rPr>
          <w:rFonts w:eastAsia="Times New Roman" w:cstheme="majorHAnsi"/>
          <w:szCs w:val="24"/>
        </w:rPr>
        <w:t xml:space="preserve">, while its SOFC machinery occupied about 3,132 m³ versus 1,289 m³ for an HFO engine. The authors explicitly identify the low volumetric power density of SOFC propulsion as a potential cargo-space problem. </w:t>
      </w:r>
    </w:p>
    <w:p w14:paraId="135CB32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Our 65%-efficient system would reduce ammonia tank volume somewhat compared with their 60% case, but ammonia still needs approximately twice the fuel-storage volume of HFO for the same voyage. If those extra tanks displace paying containers, the economically relevant metric becomes </w:t>
      </w:r>
      <w:r>
        <w:rPr>
          <w:rFonts w:eastAsia="Times New Roman" w:cstheme="majorHAnsi"/>
          <w:b/>
          <w:bCs/>
          <w:szCs w:val="24"/>
        </w:rPr>
        <w:t>$/TEU-mile</w:t>
      </w:r>
      <w:r>
        <w:rPr>
          <w:rFonts w:eastAsia="Times New Roman" w:cstheme="majorHAnsi"/>
          <w:szCs w:val="24"/>
        </w:rPr>
        <w:t>, not merely $/MWh-shaft.</w:t>
      </w:r>
    </w:p>
    <w:p w14:paraId="6650B99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Conversely, I have also </w:t>
      </w:r>
      <w:r>
        <w:rPr>
          <w:rFonts w:eastAsia="Times New Roman" w:cstheme="majorHAnsi"/>
          <w:b/>
          <w:bCs/>
          <w:szCs w:val="24"/>
        </w:rPr>
        <w:t>not imposed a carbon price on HSFO or VLSFO</w:t>
      </w:r>
      <w:r>
        <w:rPr>
          <w:rFonts w:eastAsia="Times New Roman" w:cstheme="majorHAnsi"/>
          <w:szCs w:val="24"/>
        </w:rPr>
        <w:t xml:space="preserve">. The same study uses an HFO combustion factor of 3.114 tonnes of CO₂ per tonne of fuel. A $100/t-CO₂ charge would add roughly </w:t>
      </w:r>
      <w:r>
        <w:rPr>
          <w:rFonts w:eastAsia="Times New Roman" w:cstheme="majorHAnsi"/>
          <w:b/>
          <w:bCs/>
          <w:szCs w:val="24"/>
        </w:rPr>
        <w:t>$55–60/MWh-shaft</w:t>
      </w:r>
      <w:r>
        <w:rPr>
          <w:rFonts w:eastAsia="Times New Roman" w:cstheme="majorHAnsi"/>
          <w:szCs w:val="24"/>
        </w:rPr>
        <w:t xml:space="preserve"> to fossil propulsion, immediately making the $165/MWh ammonia/SOFC system considerably cheaper.</w:t>
      </w:r>
    </w:p>
    <w:p w14:paraId="41EC2C45" w14:textId="77777777" w:rsidR="009C3A0E" w:rsidRDefault="00994197">
      <w:pPr>
        <w:pStyle w:val="Heading2"/>
        <w:spacing w:before="280"/>
      </w:pPr>
      <w:r>
        <w:t>Bottom line</w:t>
      </w:r>
    </w:p>
    <w:p w14:paraId="1C6B342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For the technology you are envisioning—</w:t>
      </w:r>
      <w:r>
        <w:rPr>
          <w:rFonts w:eastAsia="Times New Roman" w:cstheme="majorHAnsi"/>
          <w:b/>
          <w:bCs/>
          <w:szCs w:val="24"/>
        </w:rPr>
        <w:t>$365/t factory-produced nuclear green ammonia plus a highly optimized, waste-heat-integrated partial-cracking SOFC electric propulsion plant</w:t>
      </w:r>
      <w:r>
        <w:rPr>
          <w:rFonts w:eastAsia="Times New Roman" w:cstheme="majorHAnsi"/>
          <w:szCs w:val="24"/>
        </w:rPr>
        <w:t xml:space="preserve">—I would currently use </w:t>
      </w:r>
      <w:r>
        <w:rPr>
          <w:rFonts w:eastAsia="Times New Roman" w:cstheme="majorHAnsi"/>
          <w:b/>
          <w:bCs/>
          <w:szCs w:val="24"/>
        </w:rPr>
        <w:t>about $165/MWh of shaft energy</w:t>
      </w:r>
      <w:r>
        <w:rPr>
          <w:rFonts w:eastAsia="Times New Roman" w:cstheme="majorHAnsi"/>
          <w:szCs w:val="24"/>
        </w:rPr>
        <w:t xml:space="preserve"> as the central 25-year planning number.</w:t>
      </w:r>
    </w:p>
    <w:p w14:paraId="57BD656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That compares with roughly </w:t>
      </w:r>
      <w:r>
        <w:rPr>
          <w:rFonts w:eastAsia="Times New Roman" w:cstheme="majorHAnsi"/>
          <w:b/>
          <w:bCs/>
          <w:szCs w:val="24"/>
        </w:rPr>
        <w:t>$153/MWh for new HSFO + scrubber</w:t>
      </w:r>
      <w:r>
        <w:rPr>
          <w:rFonts w:eastAsia="Times New Roman" w:cstheme="majorHAnsi"/>
          <w:szCs w:val="24"/>
        </w:rPr>
        <w:t xml:space="preserve"> and </w:t>
      </w:r>
      <w:r>
        <w:rPr>
          <w:rFonts w:eastAsia="Times New Roman" w:cstheme="majorHAnsi"/>
          <w:b/>
          <w:bCs/>
          <w:szCs w:val="24"/>
        </w:rPr>
        <w:t>$183/MWh for new VLSFO</w:t>
      </w:r>
      <w:r>
        <w:rPr>
          <w:rFonts w:eastAsia="Times New Roman" w:cstheme="majorHAnsi"/>
          <w:szCs w:val="24"/>
        </w:rPr>
        <w:t xml:space="preserve"> at today's Singapore bunker prices.</w:t>
      </w:r>
    </w:p>
    <w:p w14:paraId="17E8366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result suggests something more consequential than just “green shipping costs more”: </w:t>
      </w:r>
      <w:r>
        <w:rPr>
          <w:rFonts w:eastAsia="Times New Roman" w:cstheme="majorHAnsi"/>
          <w:b/>
          <w:bCs/>
          <w:szCs w:val="24"/>
        </w:rPr>
        <w:t>if the $365/t automated-PWR ammonia target and ~$900/kW mature marine SOFC system can actually be achieved, zero-direct-CO₂ ammonia propulsion could plausibly be cheaper than VLSFO without any carbon subsidy and only modestly more expensive than HSFO.</w:t>
      </w:r>
      <w:r>
        <w:rPr>
          <w:rFonts w:eastAsia="Times New Roman" w:cstheme="majorHAnsi"/>
          <w:szCs w:val="24"/>
        </w:rPr>
        <w:t xml:space="preserve"> The remaining economic question I would investigate next is the </w:t>
      </w:r>
      <w:r>
        <w:rPr>
          <w:rFonts w:eastAsia="Times New Roman" w:cstheme="majorHAnsi"/>
          <w:b/>
          <w:bCs/>
          <w:szCs w:val="24"/>
        </w:rPr>
        <w:t>cargo-space penalty in $/TEU-mile</w:t>
      </w:r>
      <w:r>
        <w:rPr>
          <w:rFonts w:eastAsia="Times New Roman" w:cstheme="majorHAnsi"/>
          <w:szCs w:val="24"/>
        </w:rPr>
        <w:t>, because that is probably now a larger economic uncertainty than the cracker itself.</w:t>
      </w:r>
    </w:p>
    <w:p w14:paraId="427CBFCD" w14:textId="77777777" w:rsidR="009C3A0E" w:rsidRDefault="00994197">
      <w:pPr>
        <w:pStyle w:val="Heading1"/>
        <w:spacing w:before="280" w:after="280"/>
        <w:rPr>
          <w:rFonts w:cstheme="majorHAnsi"/>
        </w:rPr>
      </w:pPr>
      <w:bookmarkStart w:id="72" w:name="_Toc237345534"/>
      <w:bookmarkStart w:id="73" w:name="_Toc237471116"/>
      <w:bookmarkStart w:id="74" w:name="_Toc238129771"/>
      <w:bookmarkStart w:id="75" w:name="_Toc238205560"/>
      <w:r>
        <w:rPr>
          <w:rFonts w:cstheme="majorHAnsi"/>
        </w:rPr>
        <w:t>Liquid Ammonia Production Quantity</w:t>
      </w:r>
      <w:bookmarkEnd w:id="72"/>
      <w:bookmarkEnd w:id="73"/>
      <w:bookmarkEnd w:id="74"/>
      <w:bookmarkEnd w:id="75"/>
    </w:p>
    <w:p w14:paraId="46D6EAE6" w14:textId="77777777" w:rsidR="009C3A0E" w:rsidRDefault="00994197">
      <w:pPr>
        <w:pStyle w:val="cUserPromptText"/>
        <w:spacing w:before="280" w:after="280"/>
        <w:rPr>
          <w:rFonts w:asciiTheme="majorHAnsi" w:hAnsiTheme="majorHAnsi" w:cstheme="majorHAnsi"/>
        </w:rPr>
      </w:pPr>
      <w:r>
        <w:rPr>
          <w:rStyle w:val="UserPromptHeadingChar"/>
        </w:rPr>
        <w:t xml:space="preserve">Prompt to AI: </w:t>
      </w:r>
      <w:r>
        <w:rPr>
          <w:rFonts w:cstheme="majorHAnsi"/>
        </w:rPr>
        <w:t>Ammonia is currently used to make fertilizer for agriculture. Also, ammonia could be used to power large ships by feeding liquid ammonia into a high temperature fuel cell (HTFC) on ships, converting it to electricity, and then feeding that into an electrical motor. Also, ammonia could be used to power aerosol production on ships that implement Marine Cloud Brightening (MCB), to solve the global warming problem (i.e. create salt water aerosol, via electricity, via high temperature fuel cell, via ammonia). In</w:t>
      </w:r>
      <w:r>
        <w:rPr>
          <w:rFonts w:cstheme="majorHAnsi"/>
        </w:rPr>
        <w:t xml:space="preserve"> units of millions of tonnes per year (Mt/year ammonia), what is the current: (a) global consumption of ammonia, (b) amount that would be needed to power large ships (via HTFC), and (c) amount that would be needed for MCB (via HTFC). If we replaced current global ammonia production with green ammonia (made without emitting CO2), then what percent of global CO2 emissions would be eliminated? If we replaced fossil fuel on large ships with green ammonia, then what percent of CO2 emissions would be eliminated?</w:t>
      </w:r>
    </w:p>
    <w:p w14:paraId="3DFE41B6" w14:textId="77777777" w:rsidR="009C3A0E" w:rsidRDefault="00994197">
      <w:pPr>
        <w:spacing w:before="280" w:after="280"/>
      </w:pPr>
      <w:r>
        <w:rPr>
          <w:b/>
          <w:color w:val="4F81BD"/>
          <w:u w:val="single"/>
        </w:rPr>
        <w:t>Response From AI:</w:t>
      </w:r>
    </w:p>
    <w:p w14:paraId="5E2BB9E2" w14:textId="77777777" w:rsidR="009C3A0E" w:rsidRDefault="00994197">
      <w:pPr>
        <w:rPr>
          <w:rFonts w:asciiTheme="majorHAnsi" w:eastAsia="Times New Roman" w:hAnsiTheme="majorHAnsi" w:cstheme="majorHAnsi"/>
          <w:szCs w:val="24"/>
        </w:rPr>
      </w:pPr>
      <w:r>
        <w:rPr>
          <w:rFonts w:eastAsia="Times New Roman" w:cstheme="majorHAnsi"/>
          <w:szCs w:val="24"/>
        </w:rPr>
        <w:t xml:space="preserve">Page 94–96 of </w:t>
      </w:r>
      <w:r>
        <w:rPr>
          <w:rFonts w:eastAsia="Times New Roman" w:cstheme="majorHAnsi"/>
          <w:b/>
          <w:bCs/>
          <w:szCs w:val="24"/>
        </w:rPr>
        <w:t>“Discussion, Electricity and Ammonia Cost, v1a.docx”</w:t>
      </w:r>
      <w:r>
        <w:rPr>
          <w:rFonts w:eastAsia="Times New Roman" w:cstheme="majorHAnsi"/>
          <w:szCs w:val="24"/>
        </w:rPr>
        <w:t xml:space="preserve"> uses </w:t>
      </w:r>
      <w:r>
        <w:rPr>
          <w:rFonts w:eastAsia="Times New Roman" w:cstheme="majorHAnsi"/>
          <w:b/>
          <w:bCs/>
          <w:szCs w:val="24"/>
        </w:rPr>
        <w:t>1,500 TWh/year of electricity as the central MCB planning value</w:t>
      </w:r>
      <w:r>
        <w:rPr>
          <w:rFonts w:eastAsia="Times New Roman" w:cstheme="majorHAnsi"/>
          <w:szCs w:val="24"/>
        </w:rPr>
        <w:t xml:space="preserve"> (Marine Cloud Brightening), with a very broad 400–3,000 TWh/year range. At the document's 55% net ammonia-to-electricity efficiency, 1,500 TWh corresponds to about </w:t>
      </w:r>
      <w:r>
        <w:rPr>
          <w:rFonts w:eastAsia="Times New Roman" w:cstheme="majorHAnsi"/>
          <w:b/>
          <w:bCs/>
          <w:szCs w:val="24"/>
        </w:rPr>
        <w:t>528 Mt of ammonia per year</w:t>
      </w:r>
      <w:r>
        <w:rPr>
          <w:rFonts w:eastAsia="Times New Roman" w:cstheme="majorHAnsi"/>
          <w:szCs w:val="24"/>
        </w:rPr>
        <w:t xml:space="preserve"> (i.e. “Mt” refers to millions of tonnes).</w:t>
      </w:r>
    </w:p>
    <w:tbl>
      <w:tblPr>
        <w:tblStyle w:val="gswTableStyle"/>
        <w:tblW w:w="10152" w:type="dxa"/>
        <w:tblLayout w:type="fixed"/>
        <w:tblLook w:val="04A0" w:firstRow="1" w:lastRow="0" w:firstColumn="1" w:lastColumn="0" w:noHBand="0" w:noVBand="1"/>
      </w:tblPr>
      <w:tblGrid>
        <w:gridCol w:w="3507"/>
        <w:gridCol w:w="2602"/>
        <w:gridCol w:w="4043"/>
      </w:tblGrid>
      <w:tr w:rsidR="009C3A0E" w14:paraId="1C6DA797" w14:textId="77777777" w:rsidTr="009C3A0E">
        <w:trPr>
          <w:cnfStyle w:val="100000000000" w:firstRow="1" w:lastRow="0" w:firstColumn="0" w:lastColumn="0" w:oddVBand="0" w:evenVBand="0" w:oddHBand="0" w:evenHBand="0" w:firstRowFirstColumn="0" w:firstRowLastColumn="0" w:lastRowFirstColumn="0" w:lastRowLastColumn="0"/>
          <w:tblHeader/>
        </w:trPr>
        <w:tc>
          <w:tcPr>
            <w:tcW w:w="3507" w:type="dxa"/>
          </w:tcPr>
          <w:p w14:paraId="4E86F9FA" w14:textId="77777777" w:rsidR="009C3A0E" w:rsidRDefault="00994197">
            <w:pPr>
              <w:pStyle w:val="cTableHeader"/>
              <w:spacing w:before="0" w:after="0"/>
            </w:pPr>
            <w:r>
              <w:t>Ammonia use</w:t>
            </w:r>
          </w:p>
        </w:tc>
        <w:tc>
          <w:tcPr>
            <w:tcW w:w="2602" w:type="dxa"/>
          </w:tcPr>
          <w:p w14:paraId="2B30D4B9" w14:textId="05725914" w:rsidR="009C3A0E" w:rsidRDefault="00994197">
            <w:pPr>
              <w:pStyle w:val="cTableHeader"/>
              <w:spacing w:before="0" w:after="0"/>
            </w:pPr>
            <w:r>
              <w:t>Central requirement</w:t>
            </w:r>
            <w:r w:rsidR="000A03B6">
              <w:br/>
              <w:t>(million tons</w:t>
            </w:r>
            <w:r>
              <w:t xml:space="preserve"> NH₃/year</w:t>
            </w:r>
            <w:r w:rsidR="000A03B6">
              <w:t>)</w:t>
            </w:r>
          </w:p>
        </w:tc>
        <w:tc>
          <w:tcPr>
            <w:tcW w:w="4043" w:type="dxa"/>
          </w:tcPr>
          <w:p w14:paraId="0B5D7C13" w14:textId="77777777" w:rsidR="009C3A0E" w:rsidRDefault="00994197">
            <w:pPr>
              <w:pStyle w:val="cTableHeader"/>
              <w:spacing w:before="0" w:after="0"/>
            </w:pPr>
            <w:r>
              <w:t>Basis</w:t>
            </w:r>
          </w:p>
        </w:tc>
      </w:tr>
      <w:tr w:rsidR="009C3A0E" w14:paraId="044784CD" w14:textId="77777777" w:rsidTr="009C3A0E">
        <w:tc>
          <w:tcPr>
            <w:tcW w:w="3507" w:type="dxa"/>
          </w:tcPr>
          <w:p w14:paraId="35C318A8" w14:textId="77777777" w:rsidR="009C3A0E" w:rsidRDefault="00994197">
            <w:pPr>
              <w:pStyle w:val="cTableBody"/>
              <w:spacing w:before="0"/>
            </w:pPr>
            <w:r>
              <w:t>A. Current global ammonia consumption</w:t>
            </w:r>
          </w:p>
        </w:tc>
        <w:tc>
          <w:tcPr>
            <w:tcW w:w="2602" w:type="dxa"/>
          </w:tcPr>
          <w:p w14:paraId="1895C5D7" w14:textId="77777777" w:rsidR="009C3A0E" w:rsidRDefault="00994197">
            <w:pPr>
              <w:pStyle w:val="cTableBody"/>
              <w:spacing w:before="0"/>
            </w:pPr>
            <w:r>
              <w:t>~190 Mt/y</w:t>
            </w:r>
          </w:p>
        </w:tc>
        <w:tc>
          <w:tcPr>
            <w:tcW w:w="4043" w:type="dxa"/>
          </w:tcPr>
          <w:p w14:paraId="44D396A8" w14:textId="77777777" w:rsidR="009C3A0E" w:rsidRDefault="00994197">
            <w:pPr>
              <w:pStyle w:val="cTableBody"/>
              <w:spacing w:before="0"/>
            </w:pPr>
            <w:r>
              <w:t>Current global production/consumption proxy</w:t>
            </w:r>
          </w:p>
        </w:tc>
      </w:tr>
      <w:tr w:rsidR="009C3A0E" w14:paraId="51ECAA63" w14:textId="77777777" w:rsidTr="009C3A0E">
        <w:tc>
          <w:tcPr>
            <w:tcW w:w="3507" w:type="dxa"/>
          </w:tcPr>
          <w:p w14:paraId="46BE50D0" w14:textId="77777777" w:rsidR="009C3A0E" w:rsidRDefault="00994197">
            <w:pPr>
              <w:pStyle w:val="cTableBody"/>
              <w:spacing w:before="0"/>
            </w:pPr>
            <w:r>
              <w:t>B. Power large ships with green NH₃ + optimized HTFC</w:t>
            </w:r>
          </w:p>
        </w:tc>
        <w:tc>
          <w:tcPr>
            <w:tcW w:w="2602" w:type="dxa"/>
          </w:tcPr>
          <w:p w14:paraId="0E2F1914" w14:textId="77777777" w:rsidR="009C3A0E" w:rsidRDefault="00994197">
            <w:pPr>
              <w:pStyle w:val="cTableBody"/>
              <w:spacing w:before="0"/>
            </w:pPr>
            <w:r>
              <w:t>~380 Mt/y</w:t>
            </w:r>
          </w:p>
        </w:tc>
        <w:tc>
          <w:tcPr>
            <w:tcW w:w="4043" w:type="dxa"/>
          </w:tcPr>
          <w:p w14:paraId="3FE1BBC1" w14:textId="77777777" w:rsidR="009C3A0E" w:rsidRDefault="00994197">
            <w:pPr>
              <w:pStyle w:val="cTableBody"/>
              <w:spacing w:before="0"/>
            </w:pPr>
            <w:r>
              <w:t>Ships ≥5,000 GT; ~65% ammonia-to-useful-power efficiency</w:t>
            </w:r>
          </w:p>
        </w:tc>
      </w:tr>
      <w:tr w:rsidR="009C3A0E" w14:paraId="114B96F3" w14:textId="77777777" w:rsidTr="009C3A0E">
        <w:tc>
          <w:tcPr>
            <w:tcW w:w="3507" w:type="dxa"/>
          </w:tcPr>
          <w:p w14:paraId="7F51788B" w14:textId="77777777" w:rsidR="009C3A0E" w:rsidRDefault="00994197">
            <w:pPr>
              <w:pStyle w:val="cTableBody"/>
              <w:spacing w:before="0"/>
            </w:pPr>
            <w:r>
              <w:t>C. MCB aerosol production, using document assumption</w:t>
            </w:r>
          </w:p>
        </w:tc>
        <w:tc>
          <w:tcPr>
            <w:tcW w:w="2602" w:type="dxa"/>
          </w:tcPr>
          <w:p w14:paraId="738A71DE" w14:textId="77777777" w:rsidR="009C3A0E" w:rsidRDefault="00994197">
            <w:pPr>
              <w:pStyle w:val="cTableBody"/>
              <w:spacing w:before="0"/>
            </w:pPr>
            <w:r>
              <w:t>~528 Mt/y</w:t>
            </w:r>
          </w:p>
        </w:tc>
        <w:tc>
          <w:tcPr>
            <w:tcW w:w="4043" w:type="dxa"/>
          </w:tcPr>
          <w:p w14:paraId="213F37C7" w14:textId="77777777" w:rsidR="009C3A0E" w:rsidRDefault="00994197">
            <w:pPr>
              <w:pStyle w:val="cTableBody"/>
              <w:spacing w:before="0"/>
            </w:pPr>
            <w:r>
              <w:t>1,500 TWh/y electricity; 55% HTFC efficiency</w:t>
            </w:r>
          </w:p>
        </w:tc>
      </w:tr>
      <w:tr w:rsidR="009C3A0E" w14:paraId="3CE0B7C1" w14:textId="77777777" w:rsidTr="009C3A0E">
        <w:tc>
          <w:tcPr>
            <w:tcW w:w="3507" w:type="dxa"/>
          </w:tcPr>
          <w:p w14:paraId="1BEAB0F6" w14:textId="77777777" w:rsidR="009C3A0E" w:rsidRDefault="00994197">
            <w:pPr>
              <w:pStyle w:val="cTableBody"/>
              <w:spacing w:before="0"/>
            </w:pPr>
            <w:r>
              <w:t>C-alt. MCB with our newer optimized 65% HTFC</w:t>
            </w:r>
          </w:p>
        </w:tc>
        <w:tc>
          <w:tcPr>
            <w:tcW w:w="2602" w:type="dxa"/>
          </w:tcPr>
          <w:p w14:paraId="15938830" w14:textId="77777777" w:rsidR="009C3A0E" w:rsidRDefault="00994197">
            <w:pPr>
              <w:pStyle w:val="cTableBody"/>
              <w:spacing w:before="0"/>
            </w:pPr>
            <w:r>
              <w:t>~447 Mt/y</w:t>
            </w:r>
          </w:p>
        </w:tc>
        <w:tc>
          <w:tcPr>
            <w:tcW w:w="4043" w:type="dxa"/>
          </w:tcPr>
          <w:p w14:paraId="57DC6377" w14:textId="77777777" w:rsidR="009C3A0E" w:rsidRDefault="00994197">
            <w:pPr>
              <w:pStyle w:val="cTableBody"/>
              <w:spacing w:before="0"/>
            </w:pPr>
            <w:r>
              <w:t>Same 1,500 TWh/y, but 65% efficiency</w:t>
            </w:r>
          </w:p>
        </w:tc>
      </w:tr>
      <w:tr w:rsidR="009C3A0E" w14:paraId="4E13AC7A" w14:textId="77777777" w:rsidTr="009C3A0E">
        <w:tc>
          <w:tcPr>
            <w:tcW w:w="3507" w:type="dxa"/>
          </w:tcPr>
          <w:p w14:paraId="13F633B1" w14:textId="77777777" w:rsidR="009C3A0E" w:rsidRDefault="00994197">
            <w:pPr>
              <w:pStyle w:val="cTableBody"/>
              <w:spacing w:before="0"/>
            </w:pPr>
            <w:r>
              <w:t>A + B + C</w:t>
            </w:r>
          </w:p>
        </w:tc>
        <w:tc>
          <w:tcPr>
            <w:tcW w:w="2602" w:type="dxa"/>
          </w:tcPr>
          <w:p w14:paraId="6729D933" w14:textId="77777777" w:rsidR="009C3A0E" w:rsidRDefault="00994197">
            <w:pPr>
              <w:pStyle w:val="cTableBody"/>
              <w:spacing w:before="0"/>
            </w:pPr>
            <w:r>
              <w:t>~1,100 Mt/y</w:t>
            </w:r>
          </w:p>
        </w:tc>
        <w:tc>
          <w:tcPr>
            <w:tcW w:w="4043" w:type="dxa"/>
          </w:tcPr>
          <w:p w14:paraId="4B7E79CE" w14:textId="77777777" w:rsidR="009C3A0E" w:rsidRDefault="00994197">
            <w:pPr>
              <w:pStyle w:val="cTableBody"/>
              <w:spacing w:before="0"/>
            </w:pPr>
            <w:r>
              <w:t>Using the document's 55% MCB case</w:t>
            </w:r>
          </w:p>
        </w:tc>
      </w:tr>
      <w:tr w:rsidR="009C3A0E" w14:paraId="23583E09" w14:textId="77777777" w:rsidTr="009C3A0E">
        <w:tc>
          <w:tcPr>
            <w:tcW w:w="3507" w:type="dxa"/>
          </w:tcPr>
          <w:p w14:paraId="63CC9996" w14:textId="77777777" w:rsidR="009C3A0E" w:rsidRDefault="00994197">
            <w:pPr>
              <w:pStyle w:val="cTableBody"/>
              <w:spacing w:before="0"/>
            </w:pPr>
            <w:r>
              <w:t>A + B + C-alt.</w:t>
            </w:r>
          </w:p>
        </w:tc>
        <w:tc>
          <w:tcPr>
            <w:tcW w:w="2602" w:type="dxa"/>
          </w:tcPr>
          <w:p w14:paraId="3B2D0475" w14:textId="77777777" w:rsidR="009C3A0E" w:rsidRDefault="00994197">
            <w:pPr>
              <w:pStyle w:val="cTableBody"/>
              <w:spacing w:before="0"/>
            </w:pPr>
            <w:r>
              <w:t>~1,015 Mt/y</w:t>
            </w:r>
          </w:p>
        </w:tc>
        <w:tc>
          <w:tcPr>
            <w:tcW w:w="4043" w:type="dxa"/>
          </w:tcPr>
          <w:p w14:paraId="4910C4BC" w14:textId="77777777" w:rsidR="009C3A0E" w:rsidRDefault="00994197">
            <w:pPr>
              <w:pStyle w:val="cTableBody"/>
              <w:spacing w:before="0"/>
            </w:pPr>
            <w:r>
              <w:t>Using 65% HTFC for both ships and MCB</w:t>
            </w:r>
          </w:p>
        </w:tc>
      </w:tr>
    </w:tbl>
    <w:p w14:paraId="0B509BAA" w14:textId="77777777" w:rsidR="009C3A0E" w:rsidRDefault="00994197">
      <w:pPr>
        <w:rPr>
          <w:rFonts w:asciiTheme="majorHAnsi" w:eastAsia="Times New Roman" w:hAnsiTheme="majorHAnsi" w:cstheme="majorHAnsi"/>
          <w:szCs w:val="24"/>
        </w:rPr>
      </w:pPr>
      <w:r>
        <w:rPr>
          <w:rFonts w:eastAsia="Times New Roman" w:cstheme="majorHAnsi"/>
          <w:szCs w:val="24"/>
        </w:rPr>
        <w:t xml:space="preserve">So, </w:t>
      </w:r>
      <w:r>
        <w:rPr>
          <w:rFonts w:eastAsia="Times New Roman" w:cstheme="majorHAnsi"/>
          <w:b/>
          <w:bCs/>
          <w:szCs w:val="24"/>
        </w:rPr>
        <w:t>MCB could be one of the largest ammonia uses in the world</w:t>
      </w:r>
      <w:r>
        <w:rPr>
          <w:rFonts w:eastAsia="Times New Roman" w:cstheme="majorHAnsi"/>
          <w:szCs w:val="24"/>
        </w:rPr>
        <w:t>, comparable to or larger than the entire shipping requirement.</w:t>
      </w:r>
    </w:p>
    <w:p w14:paraId="2E708BAC" w14:textId="77777777" w:rsidR="009C3A0E" w:rsidRDefault="00994197">
      <w:pPr>
        <w:pStyle w:val="Heading3"/>
        <w:spacing w:before="280" w:after="280"/>
      </w:pPr>
      <w:r>
        <w:t>A. Current ammonia: about 190 Mt/year</w:t>
      </w:r>
    </w:p>
    <w:p w14:paraId="2EAB00D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International Fertilizer Association estimates that global ammonia output reached </w:t>
      </w:r>
      <w:r>
        <w:rPr>
          <w:rFonts w:eastAsia="Times New Roman" w:cstheme="majorHAnsi"/>
          <w:b/>
          <w:bCs/>
          <w:szCs w:val="24"/>
        </w:rPr>
        <w:t>190.5 Mt in 2024</w:t>
      </w:r>
      <w:r>
        <w:rPr>
          <w:rFonts w:eastAsia="Times New Roman" w:cstheme="majorHAnsi"/>
          <w:szCs w:val="24"/>
        </w:rPr>
        <w:t xml:space="preserve">. At the global level, production is a reasonable proxy for consumption because inventories are small relative to annual production. </w:t>
      </w:r>
    </w:p>
    <w:p w14:paraId="714B997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So, I would round this to:</w:t>
      </w:r>
    </w:p>
    <w:p w14:paraId="7C4B128A" w14:textId="77777777" w:rsidR="009C3A0E" w:rsidRDefault="00994197" w:rsidP="00155E94">
      <w:pPr>
        <w:pStyle w:val="bblueindent"/>
      </w:pPr>
      <w:r>
        <w:t>Current ammonia consumption ≈ 190 Mt NH₃/year.</w:t>
      </w:r>
    </w:p>
    <w:p w14:paraId="67132DD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Most of this ultimately supports nitrogen fertilizer production, although ammonia also has industrial uses.</w:t>
      </w:r>
    </w:p>
    <w:p w14:paraId="65D29F18" w14:textId="77777777" w:rsidR="009C3A0E" w:rsidRDefault="00994197">
      <w:pPr>
        <w:pStyle w:val="Heading3"/>
        <w:spacing w:before="280" w:after="280"/>
      </w:pPr>
      <w:r>
        <w:t>B. Large ships: approximately 380 Mt NH₃/year</w:t>
      </w:r>
    </w:p>
    <w:p w14:paraId="5C2E3D9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latest IMO DCS data indicate that ships of </w:t>
      </w:r>
      <w:r>
        <w:rPr>
          <w:rFonts w:eastAsia="Times New Roman" w:cstheme="majorHAnsi"/>
          <w:b/>
          <w:bCs/>
          <w:szCs w:val="24"/>
        </w:rPr>
        <w:t>5,000 gross tonnes and above used about 223 Mt of fuel in 2024</w:t>
      </w:r>
      <w:r>
        <w:rPr>
          <w:rFonts w:eastAsia="Times New Roman" w:cstheme="majorHAnsi"/>
          <w:szCs w:val="24"/>
        </w:rPr>
        <w:t xml:space="preserve">. These ships account for more than 85% of international shipping emissions. The 2024 increase partly reflected longer voyages associated with Red Sea/Suez rerouting. </w:t>
      </w:r>
    </w:p>
    <w:p w14:paraId="74FD12C8"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For a simple energy-equivalent conversion, I use approximately 40–41 MJ/kg for today's oil-dominated marine fuel mix, about 50% useful conversion efficiency for large modern marine engines, </w:t>
      </w:r>
      <w:r>
        <w:rPr>
          <w:rFonts w:eastAsia="Times New Roman" w:cstheme="majorHAnsi"/>
          <w:b/>
          <w:bCs/>
          <w:szCs w:val="24"/>
        </w:rPr>
        <w:t>18.6 MJ/kg LHV for ammonia</w:t>
      </w:r>
      <w:r>
        <w:rPr>
          <w:rFonts w:eastAsia="Times New Roman" w:cstheme="majorHAnsi"/>
          <w:szCs w:val="24"/>
        </w:rPr>
        <w:t xml:space="preserve">, and our optimized partial-cracking SOFC/HTFC system at about </w:t>
      </w:r>
      <w:r>
        <w:rPr>
          <w:rFonts w:eastAsia="Times New Roman" w:cstheme="majorHAnsi"/>
          <w:b/>
          <w:bCs/>
          <w:szCs w:val="24"/>
        </w:rPr>
        <w:t>65% ammonia-to-useful electrical/mechanical energy</w:t>
      </w:r>
      <w:r>
        <w:rPr>
          <w:rFonts w:eastAsia="Times New Roman" w:cstheme="majorHAnsi"/>
          <w:szCs w:val="24"/>
        </w:rPr>
        <w:t>.</w:t>
      </w:r>
    </w:p>
    <w:p w14:paraId="2BC66F7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gives approximately:</w:t>
      </w:r>
    </w:p>
    <w:p w14:paraId="76AE8516" w14:textId="77777777" w:rsidR="009C3A0E" w:rsidRDefault="00994197" w:rsidP="00155E94">
      <w:pPr>
        <w:pStyle w:val="bblueindent"/>
      </w:pPr>
      <w:r>
        <w:t>≈ 380 Mt NH₃/year to replace the fossil fuel currently consumed by the large-ship fleet.</w:t>
      </w:r>
    </w:p>
    <w:p w14:paraId="203495EE"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would regard roughly </w:t>
      </w:r>
      <w:r>
        <w:rPr>
          <w:rFonts w:eastAsia="Times New Roman" w:cstheme="majorHAnsi"/>
          <w:b/>
          <w:bCs/>
          <w:szCs w:val="24"/>
        </w:rPr>
        <w:t>350–420 Mt/year</w:t>
      </w:r>
      <w:r>
        <w:rPr>
          <w:rFonts w:eastAsia="Times New Roman" w:cstheme="majorHAnsi"/>
          <w:szCs w:val="24"/>
        </w:rPr>
        <w:t xml:space="preserve"> as a reasonable planning range because average existing-engine efficiency and future HTFC efficiency are uncertain.</w:t>
      </w:r>
    </w:p>
    <w:p w14:paraId="1C688588" w14:textId="77777777" w:rsidR="009C3A0E" w:rsidRDefault="00994197">
      <w:pPr>
        <w:pStyle w:val="Heading3"/>
        <w:spacing w:before="280" w:after="280"/>
      </w:pPr>
      <w:r>
        <w:t>C. MCB: approximately 528 Mt/year using your document</w:t>
      </w:r>
    </w:p>
    <w:p w14:paraId="70D7837A"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This is the major correction.</w:t>
      </w:r>
    </w:p>
    <w:p w14:paraId="16DBCDB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Your document says the central MCB planning requirement is:</w:t>
      </w:r>
    </w:p>
    <w:p w14:paraId="096EC836" w14:textId="77777777" w:rsidR="009C3A0E" w:rsidRDefault="00994197" w:rsidP="00155E94">
      <w:pPr>
        <w:pStyle w:val="bblueindent"/>
      </w:pPr>
      <w:r>
        <w:t>1,500 TWh-electric/year</w:t>
      </w:r>
    </w:p>
    <w:p w14:paraId="7A0368F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with approximately </w:t>
      </w:r>
      <w:r>
        <w:rPr>
          <w:rFonts w:eastAsia="Times New Roman" w:cstheme="majorHAnsi"/>
          <w:b/>
          <w:bCs/>
          <w:szCs w:val="24"/>
        </w:rPr>
        <w:t>400–3,000 TWh/year</w:t>
      </w:r>
      <w:r>
        <w:rPr>
          <w:rFonts w:eastAsia="Times New Roman" w:cstheme="majorHAnsi"/>
          <w:szCs w:val="24"/>
        </w:rPr>
        <w:t xml:space="preserve"> as the preliminary range. It derives this from climate-model particle requirements and measured power demand from a first-generation aerosol nozzle, while emphasizing that spray-generator efficiency is highly uncertain. </w:t>
      </w:r>
    </w:p>
    <w:p w14:paraId="6FDF22D9" w14:textId="77777777" w:rsidR="009C3A0E" w:rsidRDefault="00994197">
      <w:pPr>
        <w:spacing w:before="280" w:after="280"/>
        <w:rPr>
          <w:rFonts w:asciiTheme="majorHAnsi" w:eastAsia="Times New Roman" w:hAnsiTheme="majorHAnsi" w:cstheme="majorHAnsi"/>
          <w:szCs w:val="24"/>
        </w:rPr>
      </w:pPr>
      <w:r>
        <w:t>The document then assumes 55% net ammonia-to-electricity efficiency. Ammonia contains approximately 5.17 MWhₜₕ/t on an LHV basis. Therefore 1,500 TWhₑ / (0.55 × 5.17 MWhₜₕ/t) ≈ 528 Mt NH₃/year.</w:t>
      </w:r>
    </w:p>
    <w:p w14:paraId="5E48CB8D"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That is exactly the conclusion reached on pages 95–96 of the file: </w:t>
      </w:r>
      <w:r>
        <w:rPr>
          <w:rFonts w:eastAsia="Times New Roman" w:cstheme="majorHAnsi"/>
          <w:b/>
          <w:bCs/>
          <w:szCs w:val="24"/>
        </w:rPr>
        <w:t>about 530 Mt NH₃/year</w:t>
      </w:r>
      <w:r>
        <w:rPr>
          <w:rFonts w:eastAsia="Times New Roman" w:cstheme="majorHAnsi"/>
          <w:szCs w:val="24"/>
        </w:rPr>
        <w:t xml:space="preserve"> for the central MCB spray-system case. </w:t>
      </w:r>
    </w:p>
    <w:p w14:paraId="29B5CFA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document's complete MCB range is approximately </w:t>
      </w:r>
      <w:r>
        <w:rPr>
          <w:rFonts w:eastAsia="Times New Roman" w:cstheme="majorHAnsi"/>
          <w:b/>
          <w:bCs/>
          <w:szCs w:val="24"/>
        </w:rPr>
        <w:t>141 Mt/y at 400 TWh</w:t>
      </w:r>
      <w:r>
        <w:rPr>
          <w:rFonts w:eastAsia="Times New Roman" w:cstheme="majorHAnsi"/>
          <w:szCs w:val="24"/>
        </w:rPr>
        <w:t xml:space="preserve">, </w:t>
      </w:r>
      <w:r>
        <w:rPr>
          <w:rFonts w:eastAsia="Times New Roman" w:cstheme="majorHAnsi"/>
          <w:b/>
          <w:bCs/>
          <w:szCs w:val="24"/>
        </w:rPr>
        <w:t>528 Mt/y at 1,500 TWh</w:t>
      </w:r>
      <w:r>
        <w:rPr>
          <w:rFonts w:eastAsia="Times New Roman" w:cstheme="majorHAnsi"/>
          <w:szCs w:val="24"/>
        </w:rPr>
        <w:t xml:space="preserve">, and </w:t>
      </w:r>
      <w:r>
        <w:rPr>
          <w:rFonts w:eastAsia="Times New Roman" w:cstheme="majorHAnsi"/>
          <w:b/>
          <w:bCs/>
          <w:szCs w:val="24"/>
        </w:rPr>
        <w:t>1.06 billion tonnes/year at 3,000 TWh</w:t>
      </w:r>
      <w:r>
        <w:rPr>
          <w:rFonts w:eastAsia="Times New Roman" w:cstheme="majorHAnsi"/>
          <w:szCs w:val="24"/>
        </w:rPr>
        <w:t xml:space="preserve">. It also notes that adding 15–25% for propulsion and auxiliaries would raise the central all-in numbers to roughly </w:t>
      </w:r>
      <w:r>
        <w:rPr>
          <w:rFonts w:eastAsia="Times New Roman" w:cstheme="majorHAnsi"/>
          <w:b/>
          <w:bCs/>
          <w:szCs w:val="24"/>
        </w:rPr>
        <w:t>607–660 Mt NH₃/year</w:t>
      </w:r>
      <w:r>
        <w:rPr>
          <w:rFonts w:eastAsia="Times New Roman" w:cstheme="majorHAnsi"/>
          <w:szCs w:val="24"/>
        </w:rPr>
        <w:t xml:space="preserve">. </w:t>
      </w:r>
    </w:p>
    <w:p w14:paraId="3EEBA43D" w14:textId="77777777" w:rsidR="009C3A0E" w:rsidRDefault="00994197">
      <w:pPr>
        <w:pStyle w:val="Heading3"/>
        <w:spacing w:before="280" w:after="280"/>
      </w:pPr>
      <w:r>
        <w:t>What if we use the newer 65%-efficient HTFC?</w:t>
      </w:r>
    </w:p>
    <w:p w14:paraId="710893F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Since our subsequent ship analysis developed a more aggressive optimized high-temperature fuel-cell system at about 65%, it is useful to update the same 1,500-TWh MCB requirement.</w:t>
      </w:r>
    </w:p>
    <w:p w14:paraId="7120984F" w14:textId="6A86BD04" w:rsidR="009C3A0E" w:rsidRDefault="00994197" w:rsidP="00201BFA">
      <w:pPr>
        <w:pStyle w:val="bblueindent"/>
        <w:tabs>
          <w:tab w:val="left" w:pos="4500"/>
        </w:tabs>
        <w:spacing w:before="160" w:beforeAutospacing="0" w:after="160" w:afterAutospacing="0"/>
        <w:ind w:right="14"/>
      </w:pPr>
      <w:r>
        <w:t xml:space="preserve">Your existing document: </w:t>
      </w:r>
      <w:r w:rsidR="00201BFA">
        <w:tab/>
      </w:r>
      <w:r>
        <w:t>~528 Mt/year, using 55%.</w:t>
      </w:r>
    </w:p>
    <w:p w14:paraId="0A7FF009" w14:textId="4E0E2C2D" w:rsidR="009C3A0E" w:rsidRDefault="00994197" w:rsidP="00201BFA">
      <w:pPr>
        <w:pStyle w:val="bblueindent"/>
        <w:tabs>
          <w:tab w:val="left" w:pos="4500"/>
        </w:tabs>
        <w:spacing w:before="160" w:beforeAutospacing="0" w:after="160" w:afterAutospacing="0"/>
        <w:ind w:right="14"/>
      </w:pPr>
      <w:r>
        <w:t xml:space="preserve">Our newer optimized HTFC assumption: </w:t>
      </w:r>
      <w:r w:rsidR="00201BFA">
        <w:tab/>
      </w:r>
      <w:r>
        <w:t>~447 Mt/year, using 65%.</w:t>
      </w:r>
    </w:p>
    <w:p w14:paraId="69283AF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I would </w:t>
      </w:r>
      <w:r>
        <w:rPr>
          <w:rFonts w:eastAsia="Times New Roman" w:cstheme="majorHAnsi"/>
          <w:b/>
          <w:bCs/>
          <w:szCs w:val="24"/>
        </w:rPr>
        <w:t>not silently change the document's 530-Mt number</w:t>
      </w:r>
      <w:r>
        <w:rPr>
          <w:rFonts w:eastAsia="Times New Roman" w:cstheme="majorHAnsi"/>
          <w:szCs w:val="24"/>
        </w:rPr>
        <w:t xml:space="preserve">, because 55% is the explicit assumption behind it. But for future engineering work, I think </w:t>
      </w:r>
      <w:r>
        <w:rPr>
          <w:rFonts w:eastAsia="Times New Roman" w:cstheme="majorHAnsi"/>
          <w:b/>
          <w:bCs/>
          <w:szCs w:val="24"/>
        </w:rPr>
        <w:t>~450 Mt/year</w:t>
      </w:r>
      <w:r>
        <w:rPr>
          <w:rFonts w:eastAsia="Times New Roman" w:cstheme="majorHAnsi"/>
          <w:szCs w:val="24"/>
        </w:rPr>
        <w:t xml:space="preserve"> is a reasonable aspirational central number if the high-efficiency SOFC system actually reaches 65% net electricity output.</w:t>
      </w:r>
    </w:p>
    <w:p w14:paraId="476A402A" w14:textId="77777777" w:rsidR="009C3A0E" w:rsidRDefault="00994197">
      <w:pPr>
        <w:pStyle w:val="Heading2"/>
        <w:spacing w:before="280"/>
      </w:pPr>
      <w:r>
        <w:t>The scale is much larger than I previously indicated</w:t>
      </w:r>
    </w:p>
    <w:p w14:paraId="522C5476" w14:textId="77777777" w:rsidR="009C3A0E" w:rsidRDefault="00994197">
      <w:pPr>
        <w:spacing w:before="280" w:after="280"/>
        <w:rPr>
          <w:rFonts w:asciiTheme="majorHAnsi" w:eastAsia="Times New Roman" w:hAnsiTheme="majorHAnsi" w:cstheme="majorHAnsi"/>
          <w:szCs w:val="24"/>
        </w:rPr>
      </w:pPr>
      <w:r>
        <w:t>Using the original document assumptions: 190 + 380 + 528 ≈ 1,098 Mt NH₃/year,</w:t>
      </w:r>
    </w:p>
    <w:p w14:paraId="09B11E78" w14:textId="77777777" w:rsidR="009C3A0E" w:rsidRDefault="00994197" w:rsidP="00155E94">
      <w:pPr>
        <w:pStyle w:val="bblueindent"/>
      </w:pPr>
      <w:r>
        <w:t>or approximately 1.1 billion tonnes of ammonia per year.</w:t>
      </w:r>
    </w:p>
    <w:p w14:paraId="6AEA8EC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That's about:</w:t>
      </w:r>
    </w:p>
    <w:p w14:paraId="43743013" w14:textId="77777777" w:rsidR="009C3A0E" w:rsidRDefault="00994197">
      <w:pPr>
        <w:spacing w:before="280" w:after="280"/>
        <w:rPr>
          <w:rFonts w:asciiTheme="majorHAnsi" w:eastAsia="Times New Roman" w:hAnsiTheme="majorHAnsi" w:cstheme="majorHAnsi"/>
          <w:szCs w:val="24"/>
        </w:rPr>
      </w:pPr>
      <w:r>
        <w:t>1,098 / 190 ≈ 5.8× today's entire ammonia industry.</w:t>
      </w:r>
    </w:p>
    <w:p w14:paraId="5B652357" w14:textId="77777777" w:rsidR="009C3A0E" w:rsidRDefault="00994197">
      <w:pPr>
        <w:spacing w:before="280" w:after="280"/>
        <w:rPr>
          <w:rFonts w:asciiTheme="majorHAnsi" w:eastAsia="Times New Roman" w:hAnsiTheme="majorHAnsi" w:cstheme="majorHAnsi"/>
          <w:szCs w:val="24"/>
        </w:rPr>
      </w:pPr>
      <w:r>
        <w:t>Using the newer 65%-efficient HTFC for MCB: 190 + 380 + 447 ≈ 1,017 Mt NH₃/year,</w:t>
      </w:r>
    </w:p>
    <w:p w14:paraId="5209A3A9"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or about </w:t>
      </w:r>
      <w:r>
        <w:rPr>
          <w:rFonts w:eastAsia="Times New Roman" w:cstheme="majorHAnsi"/>
          <w:b/>
          <w:bCs/>
          <w:szCs w:val="24"/>
        </w:rPr>
        <w:t>1.0 billion tonnes/year</w:t>
      </w:r>
      <w:r>
        <w:rPr>
          <w:rFonts w:eastAsia="Times New Roman" w:cstheme="majorHAnsi"/>
          <w:szCs w:val="24"/>
        </w:rPr>
        <w:t xml:space="preserve">, approximately </w:t>
      </w:r>
      <w:r>
        <w:rPr>
          <w:rFonts w:eastAsia="Times New Roman" w:cstheme="majorHAnsi"/>
          <w:b/>
          <w:bCs/>
          <w:szCs w:val="24"/>
        </w:rPr>
        <w:t>5.3× present global ammonia production</w:t>
      </w:r>
      <w:r>
        <w:rPr>
          <w:rFonts w:eastAsia="Times New Roman" w:cstheme="majorHAnsi"/>
          <w:szCs w:val="24"/>
        </w:rPr>
        <w:t>.</w:t>
      </w:r>
    </w:p>
    <w:p w14:paraId="56D8692E" w14:textId="77777777" w:rsidR="009C3A0E" w:rsidRDefault="00994197">
      <w:pPr>
        <w:rPr>
          <w:rFonts w:asciiTheme="majorHAnsi" w:eastAsia="Times New Roman" w:hAnsiTheme="majorHAnsi" w:cstheme="majorHAnsi"/>
          <w:szCs w:val="24"/>
        </w:rPr>
      </w:pPr>
      <w:r>
        <w:rPr>
          <w:rFonts w:eastAsia="Times New Roman" w:cstheme="majorHAnsi"/>
          <w:szCs w:val="24"/>
        </w:rPr>
        <w:t>So, an appropriate high-level table is:</w:t>
      </w:r>
    </w:p>
    <w:tbl>
      <w:tblPr>
        <w:tblStyle w:val="gswTableStyle"/>
        <w:tblW w:w="9100" w:type="dxa"/>
        <w:tblLayout w:type="fixed"/>
        <w:tblLook w:val="04A0" w:firstRow="1" w:lastRow="0" w:firstColumn="1" w:lastColumn="0" w:noHBand="0" w:noVBand="1"/>
      </w:tblPr>
      <w:tblGrid>
        <w:gridCol w:w="3265"/>
        <w:gridCol w:w="1907"/>
        <w:gridCol w:w="3928"/>
      </w:tblGrid>
      <w:tr w:rsidR="009C3A0E" w14:paraId="1249CE0A" w14:textId="77777777" w:rsidTr="00201BFA">
        <w:trPr>
          <w:cnfStyle w:val="100000000000" w:firstRow="1" w:lastRow="0" w:firstColumn="0" w:lastColumn="0" w:oddVBand="0" w:evenVBand="0" w:oddHBand="0" w:evenHBand="0" w:firstRowFirstColumn="0" w:firstRowLastColumn="0" w:lastRowFirstColumn="0" w:lastRowLastColumn="0"/>
          <w:tblHeader/>
        </w:trPr>
        <w:tc>
          <w:tcPr>
            <w:tcW w:w="3265" w:type="dxa"/>
          </w:tcPr>
          <w:p w14:paraId="4747DAEF" w14:textId="77777777" w:rsidR="009C3A0E" w:rsidRDefault="00994197" w:rsidP="006D7F87">
            <w:pPr>
              <w:pStyle w:val="cTableHeader"/>
              <w:keepNext/>
              <w:spacing w:before="0" w:after="0"/>
            </w:pPr>
            <w:r>
              <w:t>Application</w:t>
            </w:r>
          </w:p>
        </w:tc>
        <w:tc>
          <w:tcPr>
            <w:tcW w:w="1907" w:type="dxa"/>
          </w:tcPr>
          <w:p w14:paraId="2AA6D8C5" w14:textId="77777777" w:rsidR="009C3A0E" w:rsidRDefault="00994197" w:rsidP="006D7F87">
            <w:pPr>
              <w:pStyle w:val="cTableHeader"/>
              <w:keepNext/>
              <w:spacing w:before="0" w:after="0"/>
            </w:pPr>
            <w:r>
              <w:t>NH₃ demand, Mt/y</w:t>
            </w:r>
          </w:p>
        </w:tc>
        <w:tc>
          <w:tcPr>
            <w:tcW w:w="3928" w:type="dxa"/>
          </w:tcPr>
          <w:p w14:paraId="5DD6BE27" w14:textId="77777777" w:rsidR="009C3A0E" w:rsidRDefault="00994197" w:rsidP="006D7F87">
            <w:pPr>
              <w:pStyle w:val="cTableHeader"/>
              <w:keepNext/>
              <w:spacing w:before="0" w:after="0"/>
            </w:pPr>
            <w:r>
              <w:t>Multiple of today's ~190 Mt/y production</w:t>
            </w:r>
          </w:p>
        </w:tc>
      </w:tr>
      <w:tr w:rsidR="009C3A0E" w14:paraId="0583ACD2" w14:textId="77777777" w:rsidTr="00201BFA">
        <w:tc>
          <w:tcPr>
            <w:tcW w:w="3265" w:type="dxa"/>
          </w:tcPr>
          <w:p w14:paraId="34721061" w14:textId="77777777" w:rsidR="009C3A0E" w:rsidRDefault="00994197" w:rsidP="006D7F87">
            <w:pPr>
              <w:pStyle w:val="cTableBody"/>
              <w:keepNext/>
              <w:spacing w:before="0" w:beforeAutospacing="0"/>
            </w:pPr>
            <w:r>
              <w:t>Existing ammonia uses</w:t>
            </w:r>
          </w:p>
        </w:tc>
        <w:tc>
          <w:tcPr>
            <w:tcW w:w="1907" w:type="dxa"/>
          </w:tcPr>
          <w:p w14:paraId="16EB1C4D" w14:textId="77777777" w:rsidR="009C3A0E" w:rsidRDefault="00994197" w:rsidP="006D7F87">
            <w:pPr>
              <w:pStyle w:val="cTableBody"/>
              <w:keepNext/>
              <w:spacing w:before="0" w:beforeAutospacing="0"/>
            </w:pPr>
            <w:r>
              <w:t>190</w:t>
            </w:r>
          </w:p>
        </w:tc>
        <w:tc>
          <w:tcPr>
            <w:tcW w:w="3928" w:type="dxa"/>
          </w:tcPr>
          <w:p w14:paraId="54A97F40" w14:textId="77777777" w:rsidR="009C3A0E" w:rsidRDefault="00994197" w:rsidP="006D7F87">
            <w:pPr>
              <w:pStyle w:val="cTableBody"/>
              <w:keepNext/>
              <w:spacing w:before="0" w:beforeAutospacing="0"/>
            </w:pPr>
            <w:r>
              <w:t>1.0×</w:t>
            </w:r>
          </w:p>
        </w:tc>
      </w:tr>
      <w:tr w:rsidR="009C3A0E" w14:paraId="530B163E" w14:textId="77777777" w:rsidTr="00201BFA">
        <w:tc>
          <w:tcPr>
            <w:tcW w:w="3265" w:type="dxa"/>
          </w:tcPr>
          <w:p w14:paraId="27899D5A" w14:textId="77777777" w:rsidR="009C3A0E" w:rsidRDefault="00994197" w:rsidP="006D7F87">
            <w:pPr>
              <w:pStyle w:val="cTableBody"/>
              <w:keepNext/>
              <w:spacing w:before="0" w:beforeAutospacing="0"/>
            </w:pPr>
            <w:r>
              <w:t>Large shipping</w:t>
            </w:r>
          </w:p>
        </w:tc>
        <w:tc>
          <w:tcPr>
            <w:tcW w:w="1907" w:type="dxa"/>
          </w:tcPr>
          <w:p w14:paraId="65664DD9" w14:textId="77777777" w:rsidR="009C3A0E" w:rsidRDefault="00994197" w:rsidP="006D7F87">
            <w:pPr>
              <w:pStyle w:val="cTableBody"/>
              <w:keepNext/>
              <w:spacing w:before="0" w:beforeAutospacing="0"/>
            </w:pPr>
            <w:r>
              <w:t>~380</w:t>
            </w:r>
          </w:p>
        </w:tc>
        <w:tc>
          <w:tcPr>
            <w:tcW w:w="3928" w:type="dxa"/>
          </w:tcPr>
          <w:p w14:paraId="20C57AF7" w14:textId="77777777" w:rsidR="009C3A0E" w:rsidRDefault="00994197" w:rsidP="006D7F87">
            <w:pPr>
              <w:pStyle w:val="cTableBody"/>
              <w:keepNext/>
              <w:spacing w:before="0" w:beforeAutospacing="0"/>
            </w:pPr>
            <w:r>
              <w:t>2.0×</w:t>
            </w:r>
          </w:p>
        </w:tc>
      </w:tr>
      <w:tr w:rsidR="009C3A0E" w14:paraId="1780680C" w14:textId="77777777" w:rsidTr="00201BFA">
        <w:tc>
          <w:tcPr>
            <w:tcW w:w="3265" w:type="dxa"/>
          </w:tcPr>
          <w:p w14:paraId="6B61316C" w14:textId="77777777" w:rsidR="009C3A0E" w:rsidRDefault="00994197">
            <w:pPr>
              <w:pStyle w:val="cTableBody"/>
              <w:spacing w:before="0"/>
            </w:pPr>
            <w:r>
              <w:t>MCB, document 55% HTFC case</w:t>
            </w:r>
          </w:p>
        </w:tc>
        <w:tc>
          <w:tcPr>
            <w:tcW w:w="1907" w:type="dxa"/>
          </w:tcPr>
          <w:p w14:paraId="0AB1E177" w14:textId="77777777" w:rsidR="009C3A0E" w:rsidRDefault="00994197">
            <w:pPr>
              <w:pStyle w:val="cTableBody"/>
              <w:spacing w:before="0"/>
            </w:pPr>
            <w:r>
              <w:t>~528</w:t>
            </w:r>
          </w:p>
        </w:tc>
        <w:tc>
          <w:tcPr>
            <w:tcW w:w="3928" w:type="dxa"/>
          </w:tcPr>
          <w:p w14:paraId="652354FD" w14:textId="77777777" w:rsidR="009C3A0E" w:rsidRDefault="00994197">
            <w:pPr>
              <w:pStyle w:val="cTableBody"/>
              <w:spacing w:before="0"/>
            </w:pPr>
            <w:r>
              <w:t>2.8×</w:t>
            </w:r>
          </w:p>
        </w:tc>
      </w:tr>
      <w:tr w:rsidR="009C3A0E" w14:paraId="6DB7BA8F" w14:textId="77777777" w:rsidTr="00201BFA">
        <w:tc>
          <w:tcPr>
            <w:tcW w:w="3265" w:type="dxa"/>
          </w:tcPr>
          <w:p w14:paraId="34244AAF" w14:textId="77777777" w:rsidR="009C3A0E" w:rsidRDefault="00994197">
            <w:pPr>
              <w:pStyle w:val="cTableBody"/>
              <w:spacing w:before="0"/>
            </w:pPr>
            <w:r>
              <w:t>Combined</w:t>
            </w:r>
          </w:p>
        </w:tc>
        <w:tc>
          <w:tcPr>
            <w:tcW w:w="1907" w:type="dxa"/>
          </w:tcPr>
          <w:p w14:paraId="6F51E97F" w14:textId="77777777" w:rsidR="009C3A0E" w:rsidRDefault="00994197">
            <w:pPr>
              <w:pStyle w:val="cTableBody"/>
              <w:spacing w:before="0"/>
            </w:pPr>
            <w:r>
              <w:t>~1,100</w:t>
            </w:r>
          </w:p>
        </w:tc>
        <w:tc>
          <w:tcPr>
            <w:tcW w:w="3928" w:type="dxa"/>
          </w:tcPr>
          <w:p w14:paraId="3477A9BE" w14:textId="77777777" w:rsidR="009C3A0E" w:rsidRDefault="00994197">
            <w:pPr>
              <w:pStyle w:val="cTableBody"/>
              <w:spacing w:before="0"/>
            </w:pPr>
            <w:r>
              <w:t>~5.8×</w:t>
            </w:r>
          </w:p>
        </w:tc>
      </w:tr>
    </w:tbl>
    <w:p w14:paraId="3C7CE64D" w14:textId="77777777" w:rsidR="009C3A0E" w:rsidRDefault="00994197">
      <w:pPr>
        <w:rPr>
          <w:rFonts w:asciiTheme="majorHAnsi" w:eastAsia="Times New Roman" w:hAnsiTheme="majorHAnsi" w:cstheme="majorHAnsi"/>
          <w:szCs w:val="24"/>
        </w:rPr>
      </w:pPr>
      <w:r>
        <w:rPr>
          <w:rFonts w:eastAsia="Times New Roman" w:cstheme="majorHAnsi"/>
          <w:szCs w:val="24"/>
        </w:rPr>
        <w:t xml:space="preserve">This makes MCB very different from my previous answer. Under the assumptions on page 95, </w:t>
      </w:r>
      <w:r>
        <w:rPr>
          <w:rFonts w:eastAsia="Times New Roman" w:cstheme="majorHAnsi"/>
          <w:b/>
          <w:bCs/>
          <w:szCs w:val="24"/>
        </w:rPr>
        <w:t>MCB alone would require almost three times today's entire world ammonia production</w:t>
      </w:r>
      <w:r>
        <w:rPr>
          <w:rFonts w:eastAsia="Times New Roman" w:cstheme="majorHAnsi"/>
          <w:szCs w:val="24"/>
        </w:rPr>
        <w:t>.</w:t>
      </w:r>
    </w:p>
    <w:p w14:paraId="1E9BF69C" w14:textId="77777777" w:rsidR="009C3A0E" w:rsidRDefault="00994197">
      <w:pPr>
        <w:pStyle w:val="Heading2"/>
        <w:spacing w:before="280"/>
      </w:pPr>
      <w:r>
        <w:t>How much global CO₂ would green ammonia for today's ammonia market eliminate?</w:t>
      </w:r>
    </w:p>
    <w:p w14:paraId="605081F5"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IEA estimates </w:t>
      </w:r>
      <w:r>
        <w:rPr>
          <w:rFonts w:eastAsia="Times New Roman" w:cstheme="majorHAnsi"/>
          <w:b/>
          <w:bCs/>
          <w:szCs w:val="24"/>
        </w:rPr>
        <w:t>direct CO₂ emissions from ammonia production at about 450 Mt CO₂/year</w:t>
      </w:r>
      <w:r>
        <w:rPr>
          <w:rFonts w:eastAsia="Times New Roman" w:cstheme="majorHAnsi"/>
          <w:szCs w:val="24"/>
        </w:rPr>
        <w:t xml:space="preserve">. It also identifies indirect emissions, including electricity used in ammonia production and downstream CO₂ release from urea application. </w:t>
      </w:r>
    </w:p>
    <w:p w14:paraId="0B967231"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For the question "make today's ammonia without emitting CO₂," I would count the approximately 450 Mt of direct production emissions and roughly another 40 Mt/year associated with production electricity, but </w:t>
      </w:r>
      <w:r>
        <w:rPr>
          <w:rFonts w:eastAsia="Times New Roman" w:cstheme="majorHAnsi"/>
          <w:b/>
          <w:bCs/>
          <w:szCs w:val="24"/>
        </w:rPr>
        <w:t>not</w:t>
      </w:r>
      <w:r>
        <w:rPr>
          <w:rFonts w:eastAsia="Times New Roman" w:cstheme="majorHAnsi"/>
          <w:szCs w:val="24"/>
        </w:rPr>
        <w:t xml:space="preserve"> downstream CO₂ from applying urea to fields.</w:t>
      </w:r>
    </w:p>
    <w:p w14:paraId="25A781A4"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That gives approximately:</w:t>
      </w:r>
    </w:p>
    <w:p w14:paraId="26254121" w14:textId="77777777" w:rsidR="009C3A0E" w:rsidRDefault="00994197" w:rsidP="00AC17D8">
      <w:pPr>
        <w:pStyle w:val="bblueindent"/>
      </w:pPr>
      <w:r>
        <w:t>~490 Mt CO₂/year avoided.</w:t>
      </w:r>
    </w:p>
    <w:p w14:paraId="7E404C9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Global Carbon Budget projects </w:t>
      </w:r>
      <w:r>
        <w:rPr>
          <w:rFonts w:eastAsia="Times New Roman" w:cstheme="majorHAnsi"/>
          <w:b/>
          <w:bCs/>
          <w:szCs w:val="24"/>
        </w:rPr>
        <w:t>38.1 Gt of fossil CO₂ emissions in 2025</w:t>
      </w:r>
      <w:r>
        <w:rPr>
          <w:rFonts w:eastAsia="Times New Roman" w:cstheme="majorHAnsi"/>
          <w:szCs w:val="24"/>
        </w:rPr>
        <w:t xml:space="preserve">. </w:t>
      </w:r>
    </w:p>
    <w:p w14:paraId="03C6AF7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So:</w:t>
      </w:r>
    </w:p>
    <w:p w14:paraId="78456E9E" w14:textId="77777777" w:rsidR="009C3A0E" w:rsidRDefault="00994197" w:rsidP="00AC17D8">
      <w:pPr>
        <w:pStyle w:val="bblueindent"/>
      </w:pPr>
      <w:r>
        <w:t>Replacing today's fossil-based global ammonia production with essentially zero-CO₂ green ammonia would eliminate about 1.2–1.3% of global fossil CO₂ emissions.</w:t>
      </w:r>
    </w:p>
    <w:p w14:paraId="1AB1AB2C"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That is consistent with the IEA's own characterization that ammonia production accounts for about </w:t>
      </w:r>
      <w:r>
        <w:rPr>
          <w:rFonts w:eastAsia="Times New Roman" w:cstheme="majorHAnsi"/>
          <w:b/>
          <w:bCs/>
          <w:szCs w:val="24"/>
        </w:rPr>
        <w:t>1.3% of energy-system CO₂ emissions</w:t>
      </w:r>
      <w:r>
        <w:rPr>
          <w:rFonts w:eastAsia="Times New Roman" w:cstheme="majorHAnsi"/>
          <w:szCs w:val="24"/>
        </w:rPr>
        <w:t xml:space="preserve">. </w:t>
      </w:r>
    </w:p>
    <w:p w14:paraId="2D006F8F" w14:textId="77777777" w:rsidR="009C3A0E" w:rsidRDefault="00994197">
      <w:pPr>
        <w:pStyle w:val="Heading2"/>
        <w:spacing w:before="280"/>
      </w:pPr>
      <w:r>
        <w:t>How much global CO₂ would green-ammonia shipping eliminate?</w:t>
      </w:r>
    </w:p>
    <w:p w14:paraId="04C479C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The latest large-ship fleet consumed about </w:t>
      </w:r>
      <w:r>
        <w:rPr>
          <w:rFonts w:eastAsia="Times New Roman" w:cstheme="majorHAnsi"/>
          <w:b/>
          <w:bCs/>
          <w:szCs w:val="24"/>
        </w:rPr>
        <w:t>223 Mt of fuel in 2024</w:t>
      </w:r>
      <w:r>
        <w:rPr>
          <w:rFonts w:eastAsia="Times New Roman" w:cstheme="majorHAnsi"/>
          <w:szCs w:val="24"/>
        </w:rPr>
        <w:t xml:space="preserve">. IMO's carbon factors are approximately 3.114 t CO₂/t HFO, 3.151 for light fuel oil, 3.206 for diesel/gas oil, and 2.750 for LNG. </w:t>
      </w:r>
    </w:p>
    <w:p w14:paraId="007F6217"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Using the reported 2024 fuel mix gives an approximate large-ship fleet emission of:</w:t>
      </w:r>
    </w:p>
    <w:p w14:paraId="31E2CDB2" w14:textId="77777777" w:rsidR="009C3A0E" w:rsidRDefault="00994197" w:rsidP="00AC17D8">
      <w:pPr>
        <w:pStyle w:val="bblueindent"/>
      </w:pPr>
      <w:r>
        <w:t>~0.70 Gt CO₂/year.</w:t>
      </w:r>
    </w:p>
    <w:p w14:paraId="64F9E820"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Against 38.1 Gt/year of global fossil CO₂:</w:t>
      </w:r>
    </w:p>
    <w:p w14:paraId="624AFD62"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Therefore:</w:t>
      </w:r>
    </w:p>
    <w:p w14:paraId="71E79461" w14:textId="77777777" w:rsidR="009C3A0E" w:rsidRDefault="00994197" w:rsidP="00AC17D8">
      <w:pPr>
        <w:pStyle w:val="bblueindent"/>
      </w:pPr>
      <w:r>
        <w:t>Replacing the fossil fuel used by the world's large ships with genuinely green ammonia would eliminate approximately 1.8% of global fossil CO₂ emissions on a tank-to-wake basis.</w:t>
      </w:r>
    </w:p>
    <w:p w14:paraId="5C345023"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The actual lifecycle reduction would be slightly smaller than 100% because nuclear/renewable ammonia production, transport and ship construction have some lifecycle emissions, even though ammonia itself contains no carbon.</w:t>
      </w:r>
    </w:p>
    <w:p w14:paraId="5DF33524" w14:textId="77777777" w:rsidR="009C3A0E" w:rsidRDefault="00994197">
      <w:pPr>
        <w:pStyle w:val="Heading2"/>
        <w:spacing w:before="280"/>
      </w:pPr>
      <w:r>
        <w:t>Corrected overall picture</w:t>
      </w:r>
    </w:p>
    <w:p w14:paraId="564A8B88" w14:textId="77777777" w:rsidR="009C3A0E" w:rsidRDefault="00994197">
      <w:pPr>
        <w:rPr>
          <w:rFonts w:asciiTheme="majorHAnsi" w:eastAsia="Times New Roman" w:hAnsiTheme="majorHAnsi" w:cstheme="majorHAnsi"/>
          <w:szCs w:val="24"/>
        </w:rPr>
      </w:pPr>
      <w:r>
        <w:rPr>
          <w:rFonts w:eastAsia="Times New Roman" w:cstheme="majorHAnsi"/>
          <w:szCs w:val="24"/>
        </w:rPr>
        <w:t>The numbers I would now carry forward are:</w:t>
      </w:r>
    </w:p>
    <w:tbl>
      <w:tblPr>
        <w:tblStyle w:val="gswTableStyle"/>
        <w:tblW w:w="7750" w:type="dxa"/>
        <w:tblLayout w:type="fixed"/>
        <w:tblLook w:val="04A0" w:firstRow="1" w:lastRow="0" w:firstColumn="1" w:lastColumn="0" w:noHBand="0" w:noVBand="1"/>
      </w:tblPr>
      <w:tblGrid>
        <w:gridCol w:w="4562"/>
        <w:gridCol w:w="3188"/>
      </w:tblGrid>
      <w:tr w:rsidR="009C3A0E" w14:paraId="2B76E29F" w14:textId="77777777" w:rsidTr="009C3A0E">
        <w:trPr>
          <w:cnfStyle w:val="100000000000" w:firstRow="1" w:lastRow="0" w:firstColumn="0" w:lastColumn="0" w:oddVBand="0" w:evenVBand="0" w:oddHBand="0" w:evenHBand="0" w:firstRowFirstColumn="0" w:firstRowLastColumn="0" w:lastRowFirstColumn="0" w:lastRowLastColumn="0"/>
          <w:tblHeader/>
        </w:trPr>
        <w:tc>
          <w:tcPr>
            <w:tcW w:w="4561" w:type="dxa"/>
          </w:tcPr>
          <w:p w14:paraId="04D7B800" w14:textId="77777777" w:rsidR="009C3A0E" w:rsidRDefault="00994197">
            <w:pPr>
              <w:pStyle w:val="cTableHeader"/>
              <w:keepNext/>
              <w:spacing w:before="0" w:after="0"/>
            </w:pPr>
            <w:r>
              <w:t>Item</w:t>
            </w:r>
          </w:p>
        </w:tc>
        <w:tc>
          <w:tcPr>
            <w:tcW w:w="3188" w:type="dxa"/>
          </w:tcPr>
          <w:p w14:paraId="62BA9870" w14:textId="77777777" w:rsidR="009C3A0E" w:rsidRDefault="00994197">
            <w:pPr>
              <w:pStyle w:val="cTableHeader"/>
              <w:keepNext/>
              <w:spacing w:before="0" w:after="0"/>
            </w:pPr>
            <w:r>
              <w:t>Central value</w:t>
            </w:r>
          </w:p>
        </w:tc>
      </w:tr>
      <w:tr w:rsidR="009C3A0E" w14:paraId="5FAFCE22" w14:textId="77777777" w:rsidTr="009C3A0E">
        <w:tc>
          <w:tcPr>
            <w:tcW w:w="4561" w:type="dxa"/>
          </w:tcPr>
          <w:p w14:paraId="0AE0B0C0" w14:textId="77777777" w:rsidR="009C3A0E" w:rsidRDefault="00994197">
            <w:pPr>
              <w:pStyle w:val="cTableBody"/>
              <w:keepNext/>
              <w:spacing w:before="0" w:beforeAutospacing="0" w:afterAutospacing="0"/>
            </w:pPr>
            <w:r>
              <w:t>Existing world NH₃ consumption</w:t>
            </w:r>
          </w:p>
        </w:tc>
        <w:tc>
          <w:tcPr>
            <w:tcW w:w="3188" w:type="dxa"/>
          </w:tcPr>
          <w:p w14:paraId="68E9780F" w14:textId="77777777" w:rsidR="009C3A0E" w:rsidRDefault="00994197">
            <w:pPr>
              <w:pStyle w:val="cTableBody"/>
              <w:keepNext/>
              <w:spacing w:before="0" w:beforeAutospacing="0" w:afterAutospacing="0"/>
            </w:pPr>
            <w:r>
              <w:t>~190 Mt/year</w:t>
            </w:r>
          </w:p>
        </w:tc>
      </w:tr>
      <w:tr w:rsidR="009C3A0E" w14:paraId="04E02044" w14:textId="77777777" w:rsidTr="009C3A0E">
        <w:tc>
          <w:tcPr>
            <w:tcW w:w="4561" w:type="dxa"/>
          </w:tcPr>
          <w:p w14:paraId="7683E3C3" w14:textId="77777777" w:rsidR="009C3A0E" w:rsidRDefault="00994197">
            <w:pPr>
              <w:pStyle w:val="cTableBody"/>
              <w:keepNext/>
              <w:spacing w:before="0" w:beforeAutospacing="0" w:afterAutospacing="0"/>
            </w:pPr>
            <w:r>
              <w:t>NH₃ for large ships using optimized HTFC</w:t>
            </w:r>
          </w:p>
        </w:tc>
        <w:tc>
          <w:tcPr>
            <w:tcW w:w="3188" w:type="dxa"/>
          </w:tcPr>
          <w:p w14:paraId="3CC5A1E2" w14:textId="77777777" w:rsidR="009C3A0E" w:rsidRDefault="00994197">
            <w:pPr>
              <w:pStyle w:val="cTableBody"/>
              <w:keepNext/>
              <w:spacing w:before="0" w:beforeAutospacing="0" w:afterAutospacing="0"/>
            </w:pPr>
            <w:r>
              <w:t>~380 Mt/year</w:t>
            </w:r>
          </w:p>
        </w:tc>
      </w:tr>
      <w:tr w:rsidR="009C3A0E" w14:paraId="78471457" w14:textId="77777777" w:rsidTr="009C3A0E">
        <w:tc>
          <w:tcPr>
            <w:tcW w:w="4561" w:type="dxa"/>
          </w:tcPr>
          <w:p w14:paraId="254276EB" w14:textId="77777777" w:rsidR="009C3A0E" w:rsidRDefault="00994197">
            <w:pPr>
              <w:pStyle w:val="cTableBody"/>
              <w:keepNext/>
              <w:spacing w:before="0" w:beforeAutospacing="0" w:afterAutospacing="0"/>
            </w:pPr>
            <w:r>
              <w:t>NH₃ for MCB using page-95 1,500 TWh and 55% HTFC</w:t>
            </w:r>
          </w:p>
        </w:tc>
        <w:tc>
          <w:tcPr>
            <w:tcW w:w="3188" w:type="dxa"/>
          </w:tcPr>
          <w:p w14:paraId="01D8E147" w14:textId="77777777" w:rsidR="009C3A0E" w:rsidRDefault="00994197">
            <w:pPr>
              <w:pStyle w:val="cTableBody"/>
              <w:keepNext/>
              <w:spacing w:before="0" w:beforeAutospacing="0" w:afterAutospacing="0"/>
            </w:pPr>
            <w:r>
              <w:t>~528 Mt/year</w:t>
            </w:r>
          </w:p>
        </w:tc>
      </w:tr>
      <w:tr w:rsidR="009C3A0E" w14:paraId="2F045173" w14:textId="77777777" w:rsidTr="009C3A0E">
        <w:tc>
          <w:tcPr>
            <w:tcW w:w="4561" w:type="dxa"/>
          </w:tcPr>
          <w:p w14:paraId="59E44C9C" w14:textId="77777777" w:rsidR="009C3A0E" w:rsidRDefault="00994197">
            <w:pPr>
              <w:pStyle w:val="cTableBody"/>
              <w:keepNext/>
              <w:spacing w:before="0" w:beforeAutospacing="0" w:afterAutospacing="0"/>
            </w:pPr>
            <w:r>
              <w:t>MCB using 65% optimized HTFC instead</w:t>
            </w:r>
          </w:p>
        </w:tc>
        <w:tc>
          <w:tcPr>
            <w:tcW w:w="3188" w:type="dxa"/>
          </w:tcPr>
          <w:p w14:paraId="265BE8F2" w14:textId="77777777" w:rsidR="009C3A0E" w:rsidRDefault="00994197">
            <w:pPr>
              <w:pStyle w:val="cTableBody"/>
              <w:keepNext/>
              <w:spacing w:before="0" w:beforeAutospacing="0" w:afterAutospacing="0"/>
            </w:pPr>
            <w:r>
              <w:t>~447 Mt/year</w:t>
            </w:r>
          </w:p>
        </w:tc>
      </w:tr>
      <w:tr w:rsidR="009C3A0E" w14:paraId="1D0C196C" w14:textId="77777777" w:rsidTr="009C3A0E">
        <w:tc>
          <w:tcPr>
            <w:tcW w:w="4561" w:type="dxa"/>
          </w:tcPr>
          <w:p w14:paraId="53B571D5" w14:textId="77777777" w:rsidR="009C3A0E" w:rsidRDefault="00994197">
            <w:pPr>
              <w:pStyle w:val="cTableBody"/>
              <w:keepNext/>
              <w:spacing w:before="0" w:beforeAutospacing="0" w:afterAutospacing="0"/>
            </w:pPr>
            <w:r>
              <w:t>Total NH₃, using document MCB assumption</w:t>
            </w:r>
          </w:p>
        </w:tc>
        <w:tc>
          <w:tcPr>
            <w:tcW w:w="3188" w:type="dxa"/>
          </w:tcPr>
          <w:p w14:paraId="72DCD609" w14:textId="77777777" w:rsidR="009C3A0E" w:rsidRDefault="00994197">
            <w:pPr>
              <w:pStyle w:val="cTableBody"/>
              <w:keepNext/>
              <w:spacing w:before="0" w:beforeAutospacing="0" w:afterAutospacing="0"/>
            </w:pPr>
            <w:r>
              <w:t>~1.10 billion t/year</w:t>
            </w:r>
          </w:p>
        </w:tc>
      </w:tr>
      <w:tr w:rsidR="009C3A0E" w14:paraId="2281C821" w14:textId="77777777" w:rsidTr="009C3A0E">
        <w:tc>
          <w:tcPr>
            <w:tcW w:w="4561" w:type="dxa"/>
          </w:tcPr>
          <w:p w14:paraId="74380B57" w14:textId="77777777" w:rsidR="009C3A0E" w:rsidRDefault="00994197">
            <w:pPr>
              <w:pStyle w:val="cTableBody"/>
              <w:keepNext/>
              <w:spacing w:before="0" w:beforeAutospacing="0" w:afterAutospacing="0"/>
            </w:pPr>
            <w:r>
              <w:t>Today's ammonia decarbonization</w:t>
            </w:r>
          </w:p>
        </w:tc>
        <w:tc>
          <w:tcPr>
            <w:tcW w:w="3188" w:type="dxa"/>
          </w:tcPr>
          <w:p w14:paraId="2517F0E8" w14:textId="77777777" w:rsidR="009C3A0E" w:rsidRDefault="00994197">
            <w:pPr>
              <w:pStyle w:val="cTableBody"/>
              <w:keepNext/>
              <w:spacing w:before="0" w:beforeAutospacing="0" w:afterAutospacing="0"/>
            </w:pPr>
            <w:r>
              <w:t>~1.3% of global fossil CO₂ eliminated</w:t>
            </w:r>
          </w:p>
        </w:tc>
      </w:tr>
      <w:tr w:rsidR="009C3A0E" w14:paraId="3B7269FC" w14:textId="77777777" w:rsidTr="009C3A0E">
        <w:tc>
          <w:tcPr>
            <w:tcW w:w="4561" w:type="dxa"/>
          </w:tcPr>
          <w:p w14:paraId="67E75747" w14:textId="77777777" w:rsidR="009C3A0E" w:rsidRDefault="00994197">
            <w:pPr>
              <w:pStyle w:val="cTableBody"/>
              <w:keepNext/>
              <w:spacing w:before="0" w:beforeAutospacing="0" w:afterAutospacing="0"/>
            </w:pPr>
            <w:r>
              <w:t>Large-ship decarbonization</w:t>
            </w:r>
          </w:p>
        </w:tc>
        <w:tc>
          <w:tcPr>
            <w:tcW w:w="3188" w:type="dxa"/>
          </w:tcPr>
          <w:p w14:paraId="310C2EF6" w14:textId="77777777" w:rsidR="009C3A0E" w:rsidRDefault="00994197">
            <w:pPr>
              <w:pStyle w:val="cTableBody"/>
              <w:keepNext/>
              <w:spacing w:before="0" w:beforeAutospacing="0" w:afterAutospacing="0"/>
            </w:pPr>
            <w:r>
              <w:t>~1.8% eliminated</w:t>
            </w:r>
          </w:p>
        </w:tc>
      </w:tr>
      <w:tr w:rsidR="009C3A0E" w14:paraId="55984CEA" w14:textId="77777777" w:rsidTr="009C3A0E">
        <w:tc>
          <w:tcPr>
            <w:tcW w:w="4561" w:type="dxa"/>
          </w:tcPr>
          <w:p w14:paraId="2F58C17D" w14:textId="77777777" w:rsidR="009C3A0E" w:rsidRDefault="00994197">
            <w:pPr>
              <w:pStyle w:val="cTableBody"/>
              <w:spacing w:before="0"/>
            </w:pPr>
            <w:r>
              <w:t>Both together</w:t>
            </w:r>
          </w:p>
        </w:tc>
        <w:tc>
          <w:tcPr>
            <w:tcW w:w="3188" w:type="dxa"/>
          </w:tcPr>
          <w:p w14:paraId="7B03A32F" w14:textId="77777777" w:rsidR="009C3A0E" w:rsidRDefault="00994197">
            <w:pPr>
              <w:pStyle w:val="cTableBody"/>
              <w:spacing w:before="0"/>
            </w:pPr>
            <w:r>
              <w:t>~3.1% of global fossil CO₂ eliminated</w:t>
            </w:r>
          </w:p>
        </w:tc>
      </w:tr>
    </w:tbl>
    <w:p w14:paraId="4ECB9D2D" w14:textId="77777777" w:rsidR="009C3A0E" w:rsidRDefault="00994197">
      <w:pPr>
        <w:rPr>
          <w:rFonts w:asciiTheme="majorHAnsi" w:eastAsia="Times New Roman" w:hAnsiTheme="majorHAnsi" w:cstheme="majorHAnsi"/>
          <w:szCs w:val="24"/>
        </w:rPr>
      </w:pPr>
      <w:r>
        <w:rPr>
          <w:rFonts w:eastAsia="Times New Roman" w:cstheme="majorHAnsi"/>
          <w:szCs w:val="24"/>
        </w:rPr>
        <w:t xml:space="preserve">The central strategic insight is therefore quite different from my previous answer: </w:t>
      </w:r>
      <w:r>
        <w:rPr>
          <w:rFonts w:eastAsia="Times New Roman" w:cstheme="majorHAnsi"/>
          <w:b/>
          <w:bCs/>
          <w:szCs w:val="24"/>
        </w:rPr>
        <w:t>shipping and MCB would each create ammonia markets substantially larger than today's fertilizer/industrial ammonia market.</w:t>
      </w:r>
      <w:r>
        <w:rPr>
          <w:rFonts w:eastAsia="Times New Roman" w:cstheme="majorHAnsi"/>
          <w:szCs w:val="24"/>
        </w:rPr>
        <w:t xml:space="preserve"> Under the page-95 MCB assumption, MCB is actually the largest of the three at roughly </w:t>
      </w:r>
      <w:r>
        <w:rPr>
          <w:rFonts w:eastAsia="Times New Roman" w:cstheme="majorHAnsi"/>
          <w:b/>
          <w:bCs/>
          <w:szCs w:val="24"/>
        </w:rPr>
        <w:t>530 Mt/year</w:t>
      </w:r>
      <w:r>
        <w:rPr>
          <w:rFonts w:eastAsia="Times New Roman" w:cstheme="majorHAnsi"/>
          <w:szCs w:val="24"/>
        </w:rPr>
        <w:t xml:space="preserve">, followed by shipping at roughly </w:t>
      </w:r>
      <w:r>
        <w:rPr>
          <w:rFonts w:eastAsia="Times New Roman" w:cstheme="majorHAnsi"/>
          <w:b/>
          <w:bCs/>
          <w:szCs w:val="24"/>
        </w:rPr>
        <w:t>380 Mt/year</w:t>
      </w:r>
      <w:r>
        <w:rPr>
          <w:rFonts w:eastAsia="Times New Roman" w:cstheme="majorHAnsi"/>
          <w:szCs w:val="24"/>
        </w:rPr>
        <w:t xml:space="preserve">, and today's ammonia industry at roughly </w:t>
      </w:r>
      <w:r>
        <w:rPr>
          <w:rFonts w:eastAsia="Times New Roman" w:cstheme="majorHAnsi"/>
          <w:b/>
          <w:bCs/>
          <w:szCs w:val="24"/>
        </w:rPr>
        <w:t>190 Mt/year</w:t>
      </w:r>
      <w:r>
        <w:rPr>
          <w:rFonts w:eastAsia="Times New Roman" w:cstheme="majorHAnsi"/>
          <w:szCs w:val="24"/>
        </w:rPr>
        <w:t>.</w:t>
      </w:r>
    </w:p>
    <w:p w14:paraId="74599DF6" w14:textId="77777777" w:rsidR="009C3A0E" w:rsidRDefault="00994197">
      <w:pPr>
        <w:spacing w:before="280" w:after="280"/>
        <w:rPr>
          <w:rFonts w:asciiTheme="majorHAnsi" w:eastAsia="Times New Roman" w:hAnsiTheme="majorHAnsi" w:cstheme="majorHAnsi"/>
          <w:szCs w:val="24"/>
        </w:rPr>
      </w:pPr>
      <w:r>
        <w:rPr>
          <w:rFonts w:eastAsia="Times New Roman" w:cstheme="majorHAnsi"/>
          <w:szCs w:val="24"/>
        </w:rPr>
        <w:t xml:space="preserve">And the </w:t>
      </w:r>
      <w:r>
        <w:rPr>
          <w:rFonts w:eastAsia="Times New Roman" w:cstheme="majorHAnsi"/>
          <w:b/>
          <w:bCs/>
          <w:szCs w:val="24"/>
        </w:rPr>
        <w:t>1,500 TWh/year MCB number itself remains highly uncertain</w:t>
      </w:r>
      <w:r>
        <w:rPr>
          <w:rFonts w:eastAsia="Times New Roman" w:cstheme="majorHAnsi"/>
          <w:szCs w:val="24"/>
        </w:rPr>
        <w:t>. Your document explicitly treats 400–3,000 TWh/year as a preliminary range because aerosol-generator efficiency and the number of effective cloud-condensation nuclei required are unresolved. That uncertainty is much more consequential than whether the HTFC ultimately achieves 55% or 65% efficiency.</w:t>
      </w:r>
    </w:p>
    <w:p w14:paraId="2D0DE5AC" w14:textId="77777777" w:rsidR="00D62CA3" w:rsidRDefault="00D62CA3" w:rsidP="00D62CA3">
      <w:pPr>
        <w:pStyle w:val="Heading1"/>
        <w:spacing w:before="280" w:after="280"/>
      </w:pPr>
      <w:bookmarkStart w:id="76" w:name="_Toc237471119"/>
      <w:bookmarkStart w:id="77" w:name="_Toc238129774"/>
      <w:bookmarkStart w:id="78" w:name="_Toc238205561"/>
      <w:r>
        <w:t>Purchase Orders</w:t>
      </w:r>
      <w:bookmarkEnd w:id="76"/>
      <w:bookmarkEnd w:id="77"/>
      <w:bookmarkEnd w:id="78"/>
    </w:p>
    <w:p w14:paraId="0930C257" w14:textId="77777777" w:rsidR="00D62CA3" w:rsidRDefault="00D62CA3" w:rsidP="00D62CA3">
      <w:pPr>
        <w:pStyle w:val="cUserPromptText"/>
        <w:spacing w:before="280" w:after="280"/>
      </w:pPr>
      <w:r>
        <w:rPr>
          <w:b/>
        </w:rPr>
        <w:t xml:space="preserve">Prompt to AI: </w:t>
      </w:r>
      <w:r>
        <w:t>For the 11 technical work packages, list illustrative procurement packages, amounts, recipient types, and acceptance logic. Treat “purchase order” broadly as a contract, grant, cooperative agreement, standards-development agreement, reimbursable agreement, or task order.</w:t>
      </w:r>
    </w:p>
    <w:p w14:paraId="2E9C48B1" w14:textId="77777777" w:rsidR="00D62CA3" w:rsidRDefault="00D62CA3" w:rsidP="00D62CA3">
      <w:pPr>
        <w:spacing w:before="280" w:after="280"/>
      </w:pPr>
      <w:r>
        <w:rPr>
          <w:b/>
          <w:color w:val="4F81BD"/>
          <w:u w:val="single"/>
        </w:rPr>
        <w:t>Response From AI:</w:t>
      </w:r>
    </w:p>
    <w:p w14:paraId="3C9D73E9" w14:textId="77777777" w:rsidR="00D62CA3" w:rsidRDefault="00D62CA3" w:rsidP="00D62CA3">
      <w:r>
        <w:t>Every award should define a controlled deliverable, interfaces, test evidence, data rights, schedule, payment milestones, safety/quality requirements, and an explicit stop/advance rule. The following packages reconcile to the $800M planned technical program; the $200M reserve remains sponsor-controlled and is not pre-awarded.</w:t>
      </w:r>
    </w:p>
    <w:tbl>
      <w:tblPr>
        <w:tblStyle w:val="gswTableStyle"/>
        <w:tblW w:w="10278" w:type="dxa"/>
        <w:jc w:val="center"/>
        <w:tblInd w:w="0" w:type="dxa"/>
        <w:tblLayout w:type="fixed"/>
        <w:tblLook w:val="04A0" w:firstRow="1" w:lastRow="0" w:firstColumn="1" w:lastColumn="0" w:noHBand="0" w:noVBand="1"/>
      </w:tblPr>
      <w:tblGrid>
        <w:gridCol w:w="877"/>
        <w:gridCol w:w="2577"/>
        <w:gridCol w:w="958"/>
        <w:gridCol w:w="2421"/>
        <w:gridCol w:w="3445"/>
      </w:tblGrid>
      <w:tr w:rsidR="00D62CA3" w14:paraId="33F05144" w14:textId="77777777" w:rsidTr="00700578">
        <w:trPr>
          <w:cnfStyle w:val="100000000000" w:firstRow="1" w:lastRow="0" w:firstColumn="0" w:lastColumn="0" w:oddVBand="0" w:evenVBand="0" w:oddHBand="0" w:evenHBand="0" w:firstRowFirstColumn="0" w:firstRowLastColumn="0" w:lastRowFirstColumn="0" w:lastRowLastColumn="0"/>
          <w:tblHeader/>
          <w:jc w:val="center"/>
        </w:trPr>
        <w:tc>
          <w:tcPr>
            <w:tcW w:w="877" w:type="dxa"/>
            <w:vAlign w:val="center"/>
          </w:tcPr>
          <w:p w14:paraId="7F7481AA" w14:textId="77777777" w:rsidR="00D62CA3" w:rsidRDefault="00D62CA3" w:rsidP="00700578">
            <w:pPr>
              <w:pStyle w:val="cTableHeader"/>
              <w:spacing w:before="0" w:after="0"/>
            </w:pPr>
            <w:r>
              <w:t>PO</w:t>
            </w:r>
          </w:p>
        </w:tc>
        <w:tc>
          <w:tcPr>
            <w:tcW w:w="2577" w:type="dxa"/>
            <w:vAlign w:val="center"/>
          </w:tcPr>
          <w:p w14:paraId="339F56A9" w14:textId="77777777" w:rsidR="00D62CA3" w:rsidRDefault="00D62CA3" w:rsidP="00700578">
            <w:pPr>
              <w:pStyle w:val="cTableHeader"/>
              <w:spacing w:before="0" w:after="0"/>
            </w:pPr>
            <w:r>
              <w:t>Work package</w:t>
            </w:r>
          </w:p>
        </w:tc>
        <w:tc>
          <w:tcPr>
            <w:tcW w:w="958" w:type="dxa"/>
            <w:vAlign w:val="center"/>
          </w:tcPr>
          <w:p w14:paraId="02CC6DA3" w14:textId="77777777" w:rsidR="00D62CA3" w:rsidRDefault="00D62CA3" w:rsidP="00700578">
            <w:pPr>
              <w:pStyle w:val="cTableHeader"/>
              <w:spacing w:before="0" w:after="0"/>
            </w:pPr>
            <w:r>
              <w:t>Amount</w:t>
            </w:r>
          </w:p>
        </w:tc>
        <w:tc>
          <w:tcPr>
            <w:tcW w:w="2421" w:type="dxa"/>
            <w:vAlign w:val="center"/>
          </w:tcPr>
          <w:p w14:paraId="7796AA54" w14:textId="77777777" w:rsidR="00D62CA3" w:rsidRDefault="00D62CA3" w:rsidP="00700578">
            <w:pPr>
              <w:pStyle w:val="cTableHeader"/>
              <w:spacing w:before="0" w:after="0"/>
            </w:pPr>
            <w:r>
              <w:t>Illustrative recipient type</w:t>
            </w:r>
          </w:p>
        </w:tc>
        <w:tc>
          <w:tcPr>
            <w:tcW w:w="3445" w:type="dxa"/>
            <w:vAlign w:val="center"/>
          </w:tcPr>
          <w:p w14:paraId="6A11477C" w14:textId="77777777" w:rsidR="00D62CA3" w:rsidRDefault="00D62CA3" w:rsidP="00700578">
            <w:pPr>
              <w:pStyle w:val="cTableHeader"/>
              <w:spacing w:before="0" w:after="0"/>
            </w:pPr>
            <w:r>
              <w:t>Acceptance logic</w:t>
            </w:r>
          </w:p>
        </w:tc>
      </w:tr>
      <w:tr w:rsidR="00D62CA3" w14:paraId="658A4F9A" w14:textId="77777777" w:rsidTr="00700578">
        <w:trPr>
          <w:jc w:val="center"/>
        </w:trPr>
        <w:tc>
          <w:tcPr>
            <w:tcW w:w="877" w:type="dxa"/>
            <w:vAlign w:val="center"/>
          </w:tcPr>
          <w:p w14:paraId="256A62CA" w14:textId="77777777" w:rsidR="00D62CA3" w:rsidRDefault="00D62CA3" w:rsidP="00700578">
            <w:pPr>
              <w:pStyle w:val="cTableBody"/>
              <w:spacing w:before="0"/>
            </w:pPr>
            <w:r>
              <w:t>1-1</w:t>
            </w:r>
          </w:p>
        </w:tc>
        <w:tc>
          <w:tcPr>
            <w:tcW w:w="2577" w:type="dxa"/>
            <w:vAlign w:val="center"/>
          </w:tcPr>
          <w:p w14:paraId="7D5CA4FD" w14:textId="77777777" w:rsidR="00D62CA3" w:rsidRDefault="00D62CA3" w:rsidP="00700578">
            <w:pPr>
              <w:pStyle w:val="cTableBody"/>
              <w:spacing w:before="0"/>
            </w:pPr>
            <w:r>
              <w:t>Reference architecture, 31-platform portfolio, and digital twin</w:t>
            </w:r>
          </w:p>
        </w:tc>
        <w:tc>
          <w:tcPr>
            <w:tcW w:w="958" w:type="dxa"/>
            <w:vAlign w:val="center"/>
          </w:tcPr>
          <w:p w14:paraId="6632744B" w14:textId="77777777" w:rsidR="00D62CA3" w:rsidRDefault="00D62CA3" w:rsidP="00700578">
            <w:pPr>
              <w:pStyle w:val="cTableBody"/>
              <w:spacing w:before="0"/>
            </w:pPr>
            <w:r>
              <w:t>$22M</w:t>
            </w:r>
          </w:p>
        </w:tc>
        <w:tc>
          <w:tcPr>
            <w:tcW w:w="2421" w:type="dxa"/>
            <w:vAlign w:val="center"/>
          </w:tcPr>
          <w:p w14:paraId="38A46126" w14:textId="77777777" w:rsidR="00D62CA3" w:rsidRDefault="00D62CA3" w:rsidP="00700578">
            <w:pPr>
              <w:pStyle w:val="cTableBody"/>
              <w:spacing w:before="0"/>
            </w:pPr>
            <w:r>
              <w:t>Lead systems integrator / owner engineer</w:t>
            </w:r>
          </w:p>
        </w:tc>
        <w:tc>
          <w:tcPr>
            <w:tcW w:w="3445" w:type="dxa"/>
            <w:vAlign w:val="center"/>
          </w:tcPr>
          <w:p w14:paraId="152FCAF8" w14:textId="77777777" w:rsidR="00D62CA3" w:rsidRDefault="00D62CA3" w:rsidP="00700578">
            <w:pPr>
              <w:pStyle w:val="cTableBody"/>
              <w:spacing w:before="0"/>
            </w:pPr>
            <w:r>
              <w:t>Controlled architecture, 31-platform requirements and digital model; accept after independent requirements review.</w:t>
            </w:r>
          </w:p>
        </w:tc>
      </w:tr>
      <w:tr w:rsidR="00D62CA3" w14:paraId="2C2C7E8F" w14:textId="77777777" w:rsidTr="00700578">
        <w:trPr>
          <w:jc w:val="center"/>
        </w:trPr>
        <w:tc>
          <w:tcPr>
            <w:tcW w:w="877" w:type="dxa"/>
            <w:vAlign w:val="center"/>
          </w:tcPr>
          <w:p w14:paraId="061CBA0A" w14:textId="77777777" w:rsidR="00D62CA3" w:rsidRDefault="00D62CA3" w:rsidP="00700578">
            <w:pPr>
              <w:pStyle w:val="cTableBody"/>
              <w:spacing w:before="0"/>
            </w:pPr>
            <w:r>
              <w:t>1-2</w:t>
            </w:r>
          </w:p>
        </w:tc>
        <w:tc>
          <w:tcPr>
            <w:tcW w:w="2577" w:type="dxa"/>
            <w:vAlign w:val="center"/>
          </w:tcPr>
          <w:p w14:paraId="1719C51D" w14:textId="77777777" w:rsidR="00D62CA3" w:rsidRDefault="00D62CA3" w:rsidP="00700578">
            <w:pPr>
              <w:pStyle w:val="cTableBody"/>
              <w:spacing w:before="0"/>
            </w:pPr>
            <w:r>
              <w:t>Reference architecture, 31-platform portfolio, and digital twin</w:t>
            </w:r>
          </w:p>
        </w:tc>
        <w:tc>
          <w:tcPr>
            <w:tcW w:w="958" w:type="dxa"/>
            <w:vAlign w:val="center"/>
          </w:tcPr>
          <w:p w14:paraId="52AB94D8" w14:textId="77777777" w:rsidR="00D62CA3" w:rsidRDefault="00D62CA3" w:rsidP="00700578">
            <w:pPr>
              <w:pStyle w:val="cTableBody"/>
              <w:spacing w:before="0"/>
            </w:pPr>
            <w:r>
              <w:t>$32M</w:t>
            </w:r>
          </w:p>
        </w:tc>
        <w:tc>
          <w:tcPr>
            <w:tcW w:w="2421" w:type="dxa"/>
            <w:vAlign w:val="center"/>
          </w:tcPr>
          <w:p w14:paraId="1B79FBDC" w14:textId="77777777" w:rsidR="00D62CA3" w:rsidRDefault="00D62CA3" w:rsidP="00700578">
            <w:pPr>
              <w:pStyle w:val="cTableBody"/>
              <w:spacing w:before="0"/>
            </w:pPr>
            <w:r>
              <w:t>Competing platform/system design teams</w:t>
            </w:r>
          </w:p>
        </w:tc>
        <w:tc>
          <w:tcPr>
            <w:tcW w:w="3445" w:type="dxa"/>
            <w:vAlign w:val="center"/>
          </w:tcPr>
          <w:p w14:paraId="31BFF526" w14:textId="77777777" w:rsidR="00D62CA3" w:rsidRDefault="00D62CA3" w:rsidP="00700578">
            <w:pPr>
              <w:pStyle w:val="cTableBody"/>
              <w:spacing w:before="0"/>
            </w:pPr>
            <w:r>
              <w:t>FEED, interface definitions and economic screening; accept against design reviews and reproducible models.</w:t>
            </w:r>
          </w:p>
        </w:tc>
      </w:tr>
      <w:tr w:rsidR="00D62CA3" w14:paraId="58EEB752" w14:textId="77777777" w:rsidTr="00700578">
        <w:trPr>
          <w:jc w:val="center"/>
        </w:trPr>
        <w:tc>
          <w:tcPr>
            <w:tcW w:w="877" w:type="dxa"/>
            <w:vAlign w:val="center"/>
          </w:tcPr>
          <w:p w14:paraId="41FFFFED" w14:textId="77777777" w:rsidR="00D62CA3" w:rsidRDefault="00D62CA3" w:rsidP="00700578">
            <w:pPr>
              <w:pStyle w:val="cTableBody"/>
              <w:spacing w:before="0"/>
            </w:pPr>
            <w:r>
              <w:t>1-3</w:t>
            </w:r>
          </w:p>
        </w:tc>
        <w:tc>
          <w:tcPr>
            <w:tcW w:w="2577" w:type="dxa"/>
            <w:vAlign w:val="center"/>
          </w:tcPr>
          <w:p w14:paraId="150A07FC" w14:textId="77777777" w:rsidR="00D62CA3" w:rsidRDefault="00D62CA3" w:rsidP="00700578">
            <w:pPr>
              <w:pStyle w:val="cTableBody"/>
              <w:spacing w:before="0"/>
            </w:pPr>
            <w:r>
              <w:t>Reference architecture, 31-platform portfolio, and digital twin</w:t>
            </w:r>
          </w:p>
        </w:tc>
        <w:tc>
          <w:tcPr>
            <w:tcW w:w="958" w:type="dxa"/>
            <w:vAlign w:val="center"/>
          </w:tcPr>
          <w:p w14:paraId="3CE0FCB4" w14:textId="77777777" w:rsidR="00D62CA3" w:rsidRDefault="00D62CA3" w:rsidP="00700578">
            <w:pPr>
              <w:pStyle w:val="cTableBody"/>
              <w:spacing w:before="0"/>
            </w:pPr>
            <w:r>
              <w:t>$16M</w:t>
            </w:r>
          </w:p>
        </w:tc>
        <w:tc>
          <w:tcPr>
            <w:tcW w:w="2421" w:type="dxa"/>
            <w:vAlign w:val="center"/>
          </w:tcPr>
          <w:p w14:paraId="1E4B5B09" w14:textId="77777777" w:rsidR="00D62CA3" w:rsidRDefault="00D62CA3" w:rsidP="00700578">
            <w:pPr>
              <w:pStyle w:val="cTableBody"/>
              <w:spacing w:before="0"/>
            </w:pPr>
            <w:r>
              <w:t>Independent reviewer / cost team</w:t>
            </w:r>
          </w:p>
        </w:tc>
        <w:tc>
          <w:tcPr>
            <w:tcW w:w="3445" w:type="dxa"/>
            <w:vAlign w:val="center"/>
          </w:tcPr>
          <w:p w14:paraId="4BF03359" w14:textId="77777777" w:rsidR="00D62CA3" w:rsidRDefault="00D62CA3" w:rsidP="00700578">
            <w:pPr>
              <w:pStyle w:val="cTableBody"/>
              <w:spacing w:before="0"/>
            </w:pPr>
            <w:r>
              <w:t>Architecture, hazard and economics replication; reports directly to owner.</w:t>
            </w:r>
          </w:p>
        </w:tc>
      </w:tr>
      <w:tr w:rsidR="00D62CA3" w14:paraId="7FFC2BD9" w14:textId="77777777" w:rsidTr="00700578">
        <w:trPr>
          <w:jc w:val="center"/>
        </w:trPr>
        <w:tc>
          <w:tcPr>
            <w:tcW w:w="877" w:type="dxa"/>
            <w:vAlign w:val="center"/>
          </w:tcPr>
          <w:p w14:paraId="58FBA465" w14:textId="77777777" w:rsidR="00D62CA3" w:rsidRDefault="00D62CA3" w:rsidP="00700578">
            <w:pPr>
              <w:pStyle w:val="cTableBody"/>
              <w:spacing w:before="0"/>
            </w:pPr>
            <w:r>
              <w:t>2-1</w:t>
            </w:r>
          </w:p>
        </w:tc>
        <w:tc>
          <w:tcPr>
            <w:tcW w:w="2577" w:type="dxa"/>
            <w:vAlign w:val="center"/>
          </w:tcPr>
          <w:p w14:paraId="48DEAE34" w14:textId="77777777" w:rsidR="00D62CA3" w:rsidRDefault="00D62CA3" w:rsidP="00700578">
            <w:pPr>
              <w:pStyle w:val="cTableBody"/>
              <w:spacing w:before="0"/>
            </w:pPr>
            <w:r>
              <w:t>31 industrial-processing platform designs and pilot prototypes</w:t>
            </w:r>
          </w:p>
        </w:tc>
        <w:tc>
          <w:tcPr>
            <w:tcW w:w="958" w:type="dxa"/>
            <w:vAlign w:val="center"/>
          </w:tcPr>
          <w:p w14:paraId="21CDCFDE" w14:textId="77777777" w:rsidR="00D62CA3" w:rsidRDefault="00D62CA3" w:rsidP="00700578">
            <w:pPr>
              <w:pStyle w:val="cTableBody"/>
              <w:spacing w:before="0"/>
            </w:pPr>
            <w:r>
              <w:t>$45M</w:t>
            </w:r>
          </w:p>
        </w:tc>
        <w:tc>
          <w:tcPr>
            <w:tcW w:w="2421" w:type="dxa"/>
            <w:vAlign w:val="center"/>
          </w:tcPr>
          <w:p w14:paraId="6FAC3C5B" w14:textId="77777777" w:rsidR="00D62CA3" w:rsidRDefault="00D62CA3" w:rsidP="00700578">
            <w:pPr>
              <w:pStyle w:val="cTableBody"/>
              <w:spacing w:before="0"/>
            </w:pPr>
            <w:r>
              <w:t>Process/EPC/university design teams</w:t>
            </w:r>
          </w:p>
        </w:tc>
        <w:tc>
          <w:tcPr>
            <w:tcW w:w="3445" w:type="dxa"/>
            <w:vAlign w:val="center"/>
          </w:tcPr>
          <w:p w14:paraId="3D945E8D" w14:textId="77777777" w:rsidR="00D62CA3" w:rsidRDefault="00D62CA3" w:rsidP="00700578">
            <w:pPr>
              <w:pStyle w:val="cTableBody"/>
              <w:spacing w:before="0"/>
            </w:pPr>
            <w:r>
              <w:t>Thirty-one controlled platform designs; first-five detailed designs; accept after PDR/CDR and interface conformance.</w:t>
            </w:r>
          </w:p>
        </w:tc>
      </w:tr>
      <w:tr w:rsidR="00D62CA3" w14:paraId="1919DB92" w14:textId="77777777" w:rsidTr="00700578">
        <w:trPr>
          <w:jc w:val="center"/>
        </w:trPr>
        <w:tc>
          <w:tcPr>
            <w:tcW w:w="877" w:type="dxa"/>
            <w:vAlign w:val="center"/>
          </w:tcPr>
          <w:p w14:paraId="082B21DD" w14:textId="77777777" w:rsidR="00D62CA3" w:rsidRDefault="00D62CA3" w:rsidP="00700578">
            <w:pPr>
              <w:pStyle w:val="cTableBody"/>
              <w:spacing w:before="0"/>
            </w:pPr>
            <w:r>
              <w:t>2-2</w:t>
            </w:r>
          </w:p>
        </w:tc>
        <w:tc>
          <w:tcPr>
            <w:tcW w:w="2577" w:type="dxa"/>
            <w:vAlign w:val="center"/>
          </w:tcPr>
          <w:p w14:paraId="79BEE2D7" w14:textId="77777777" w:rsidR="00D62CA3" w:rsidRDefault="00D62CA3" w:rsidP="00700578">
            <w:pPr>
              <w:pStyle w:val="cTableBody"/>
              <w:spacing w:before="0"/>
            </w:pPr>
            <w:r>
              <w:t>31 industrial-processing platform designs and pilot prototypes</w:t>
            </w:r>
          </w:p>
        </w:tc>
        <w:tc>
          <w:tcPr>
            <w:tcW w:w="958" w:type="dxa"/>
            <w:vAlign w:val="center"/>
          </w:tcPr>
          <w:p w14:paraId="2B113DDB" w14:textId="77777777" w:rsidR="00D62CA3" w:rsidRDefault="00D62CA3" w:rsidP="00700578">
            <w:pPr>
              <w:pStyle w:val="cTableBody"/>
              <w:spacing w:before="0"/>
            </w:pPr>
            <w:r>
              <w:t>$110M</w:t>
            </w:r>
          </w:p>
        </w:tc>
        <w:tc>
          <w:tcPr>
            <w:tcW w:w="2421" w:type="dxa"/>
            <w:vAlign w:val="center"/>
          </w:tcPr>
          <w:p w14:paraId="4F7EB5D4" w14:textId="77777777" w:rsidR="00D62CA3" w:rsidRDefault="00D62CA3" w:rsidP="00700578">
            <w:pPr>
              <w:pStyle w:val="cTableBody"/>
              <w:spacing w:before="0"/>
            </w:pPr>
            <w:r>
              <w:t>Platform fabricators / OEMs / research teams</w:t>
            </w:r>
          </w:p>
        </w:tc>
        <w:tc>
          <w:tcPr>
            <w:tcW w:w="3445" w:type="dxa"/>
            <w:vAlign w:val="center"/>
          </w:tcPr>
          <w:p w14:paraId="4B12537E" w14:textId="77777777" w:rsidR="00D62CA3" w:rsidRDefault="00D62CA3" w:rsidP="00700578">
            <w:pPr>
              <w:pStyle w:val="cTableBody"/>
              <w:spacing w:before="0"/>
            </w:pPr>
            <w:r>
              <w:t>Functional pilots and endurance campaigns; payment tied to witnessed operating data and teardown evidence.</w:t>
            </w:r>
          </w:p>
        </w:tc>
      </w:tr>
      <w:tr w:rsidR="00D62CA3" w14:paraId="4D6F0B01" w14:textId="77777777" w:rsidTr="00700578">
        <w:trPr>
          <w:jc w:val="center"/>
        </w:trPr>
        <w:tc>
          <w:tcPr>
            <w:tcW w:w="877" w:type="dxa"/>
            <w:vAlign w:val="center"/>
          </w:tcPr>
          <w:p w14:paraId="10093EDE" w14:textId="77777777" w:rsidR="00D62CA3" w:rsidRDefault="00D62CA3" w:rsidP="00700578">
            <w:pPr>
              <w:pStyle w:val="cTableBody"/>
              <w:spacing w:before="0"/>
            </w:pPr>
            <w:r>
              <w:t>2-3</w:t>
            </w:r>
          </w:p>
        </w:tc>
        <w:tc>
          <w:tcPr>
            <w:tcW w:w="2577" w:type="dxa"/>
            <w:vAlign w:val="center"/>
          </w:tcPr>
          <w:p w14:paraId="4DBD816C" w14:textId="77777777" w:rsidR="00D62CA3" w:rsidRDefault="00D62CA3" w:rsidP="00700578">
            <w:pPr>
              <w:pStyle w:val="cTableBody"/>
              <w:spacing w:before="0"/>
            </w:pPr>
            <w:r>
              <w:t>31 industrial-processing platform designs and pilot prototypes</w:t>
            </w:r>
          </w:p>
        </w:tc>
        <w:tc>
          <w:tcPr>
            <w:tcW w:w="958" w:type="dxa"/>
            <w:vAlign w:val="center"/>
          </w:tcPr>
          <w:p w14:paraId="7A1ADD9A" w14:textId="77777777" w:rsidR="00D62CA3" w:rsidRDefault="00D62CA3" w:rsidP="00700578">
            <w:pPr>
              <w:pStyle w:val="cTableBody"/>
              <w:spacing w:before="0"/>
            </w:pPr>
            <w:r>
              <w:t>$25M</w:t>
            </w:r>
          </w:p>
        </w:tc>
        <w:tc>
          <w:tcPr>
            <w:tcW w:w="2421" w:type="dxa"/>
            <w:vAlign w:val="center"/>
          </w:tcPr>
          <w:p w14:paraId="73B4672F" w14:textId="77777777" w:rsidR="00D62CA3" w:rsidRDefault="00D62CA3" w:rsidP="00700578">
            <w:pPr>
              <w:pStyle w:val="cTableBody"/>
              <w:spacing w:before="0"/>
            </w:pPr>
            <w:r>
              <w:t>Independent test laboratories</w:t>
            </w:r>
          </w:p>
        </w:tc>
        <w:tc>
          <w:tcPr>
            <w:tcW w:w="3445" w:type="dxa"/>
            <w:vAlign w:val="center"/>
          </w:tcPr>
          <w:p w14:paraId="6AE77B38" w14:textId="77777777" w:rsidR="00D62CA3" w:rsidRDefault="00D62CA3" w:rsidP="00700578">
            <w:pPr>
              <w:pStyle w:val="cTableBody"/>
              <w:spacing w:before="0"/>
            </w:pPr>
            <w:r>
              <w:t>Replicate efficiency, throughput, degradation, safety and maintainability results.</w:t>
            </w:r>
          </w:p>
        </w:tc>
      </w:tr>
      <w:tr w:rsidR="00D62CA3" w14:paraId="2C72624B" w14:textId="77777777" w:rsidTr="00700578">
        <w:trPr>
          <w:jc w:val="center"/>
        </w:trPr>
        <w:tc>
          <w:tcPr>
            <w:tcW w:w="877" w:type="dxa"/>
            <w:vAlign w:val="center"/>
          </w:tcPr>
          <w:p w14:paraId="3806025A" w14:textId="77777777" w:rsidR="00D62CA3" w:rsidRDefault="00D62CA3" w:rsidP="00700578">
            <w:pPr>
              <w:pStyle w:val="cTableBody"/>
              <w:spacing w:before="0"/>
            </w:pPr>
            <w:r>
              <w:t>3-1</w:t>
            </w:r>
          </w:p>
        </w:tc>
        <w:tc>
          <w:tcPr>
            <w:tcW w:w="2577" w:type="dxa"/>
            <w:vAlign w:val="center"/>
          </w:tcPr>
          <w:p w14:paraId="5994FA21" w14:textId="77777777" w:rsidR="00D62CA3" w:rsidRDefault="00D62CA3" w:rsidP="00700578">
            <w:pPr>
              <w:pStyle w:val="cTableBody"/>
              <w:spacing w:before="0"/>
            </w:pPr>
            <w:r>
              <w:t>Hydrogen and ammonia production platforms</w:t>
            </w:r>
          </w:p>
        </w:tc>
        <w:tc>
          <w:tcPr>
            <w:tcW w:w="958" w:type="dxa"/>
            <w:vAlign w:val="center"/>
          </w:tcPr>
          <w:p w14:paraId="434CB01C" w14:textId="77777777" w:rsidR="00D62CA3" w:rsidRDefault="00D62CA3" w:rsidP="00700578">
            <w:pPr>
              <w:pStyle w:val="cTableBody"/>
              <w:spacing w:before="0"/>
            </w:pPr>
            <w:r>
              <w:t>$20M</w:t>
            </w:r>
          </w:p>
        </w:tc>
        <w:tc>
          <w:tcPr>
            <w:tcW w:w="2421" w:type="dxa"/>
            <w:vAlign w:val="center"/>
          </w:tcPr>
          <w:p w14:paraId="700D0021" w14:textId="77777777" w:rsidR="00D62CA3" w:rsidRDefault="00D62CA3" w:rsidP="00700578">
            <w:pPr>
              <w:pStyle w:val="cTableBody"/>
              <w:spacing w:before="0"/>
            </w:pPr>
            <w:r>
              <w:t>Electrolyzer/HTSE and heat-integration team</w:t>
            </w:r>
          </w:p>
        </w:tc>
        <w:tc>
          <w:tcPr>
            <w:tcW w:w="3445" w:type="dxa"/>
            <w:vAlign w:val="center"/>
          </w:tcPr>
          <w:p w14:paraId="3DCAE9A6" w14:textId="77777777" w:rsidR="00D62CA3" w:rsidRDefault="00D62CA3" w:rsidP="00700578">
            <w:pPr>
              <w:pStyle w:val="cTableBody"/>
              <w:spacing w:before="0"/>
            </w:pPr>
            <w:r>
              <w:t>SOEC/steam integration and oxygen/water systems; accept on efficiency/degradation tests.</w:t>
            </w:r>
          </w:p>
        </w:tc>
      </w:tr>
      <w:tr w:rsidR="00D62CA3" w14:paraId="6879BD46" w14:textId="77777777" w:rsidTr="00700578">
        <w:trPr>
          <w:jc w:val="center"/>
        </w:trPr>
        <w:tc>
          <w:tcPr>
            <w:tcW w:w="877" w:type="dxa"/>
            <w:vAlign w:val="center"/>
          </w:tcPr>
          <w:p w14:paraId="3B319AAF" w14:textId="77777777" w:rsidR="00D62CA3" w:rsidRDefault="00D62CA3" w:rsidP="00700578">
            <w:pPr>
              <w:pStyle w:val="cTableBody"/>
              <w:spacing w:before="0"/>
            </w:pPr>
            <w:r>
              <w:t>3-2</w:t>
            </w:r>
          </w:p>
        </w:tc>
        <w:tc>
          <w:tcPr>
            <w:tcW w:w="2577" w:type="dxa"/>
            <w:vAlign w:val="center"/>
          </w:tcPr>
          <w:p w14:paraId="7907F154" w14:textId="77777777" w:rsidR="00D62CA3" w:rsidRDefault="00D62CA3" w:rsidP="00700578">
            <w:pPr>
              <w:pStyle w:val="cTableBody"/>
              <w:spacing w:before="0"/>
            </w:pPr>
            <w:r>
              <w:t>Hydrogen and ammonia production platforms</w:t>
            </w:r>
          </w:p>
        </w:tc>
        <w:tc>
          <w:tcPr>
            <w:tcW w:w="958" w:type="dxa"/>
            <w:vAlign w:val="center"/>
          </w:tcPr>
          <w:p w14:paraId="40C227D7" w14:textId="77777777" w:rsidR="00D62CA3" w:rsidRDefault="00D62CA3" w:rsidP="00700578">
            <w:pPr>
              <w:pStyle w:val="cTableBody"/>
              <w:spacing w:before="0"/>
            </w:pPr>
            <w:r>
              <w:t>$55M</w:t>
            </w:r>
          </w:p>
        </w:tc>
        <w:tc>
          <w:tcPr>
            <w:tcW w:w="2421" w:type="dxa"/>
            <w:vAlign w:val="center"/>
          </w:tcPr>
          <w:p w14:paraId="737F348D" w14:textId="77777777" w:rsidR="00D62CA3" w:rsidRDefault="00D62CA3" w:rsidP="00700578">
            <w:pPr>
              <w:pStyle w:val="cTableBody"/>
              <w:spacing w:before="0"/>
            </w:pPr>
            <w:r>
              <w:t>Ammonia licensors / ASU / compressor / storage consortium</w:t>
            </w:r>
          </w:p>
        </w:tc>
        <w:tc>
          <w:tcPr>
            <w:tcW w:w="3445" w:type="dxa"/>
            <w:vAlign w:val="center"/>
          </w:tcPr>
          <w:p w14:paraId="720FF011" w14:textId="77777777" w:rsidR="00D62CA3" w:rsidRDefault="00D62CA3" w:rsidP="00700578">
            <w:pPr>
              <w:pStyle w:val="cTableBody"/>
              <w:spacing w:before="0"/>
            </w:pPr>
            <w:r>
              <w:t>Integrated hydrogen-to-liquid-ammonia pilot; accept on purity, availability, safety and repeated production.</w:t>
            </w:r>
          </w:p>
        </w:tc>
      </w:tr>
      <w:tr w:rsidR="00D62CA3" w14:paraId="0089827B" w14:textId="77777777" w:rsidTr="00700578">
        <w:trPr>
          <w:jc w:val="center"/>
        </w:trPr>
        <w:tc>
          <w:tcPr>
            <w:tcW w:w="877" w:type="dxa"/>
            <w:vAlign w:val="center"/>
          </w:tcPr>
          <w:p w14:paraId="215F256F" w14:textId="77777777" w:rsidR="00D62CA3" w:rsidRDefault="00D62CA3" w:rsidP="00700578">
            <w:pPr>
              <w:pStyle w:val="cTableBody"/>
              <w:spacing w:before="0"/>
            </w:pPr>
            <w:r>
              <w:t>3-3</w:t>
            </w:r>
          </w:p>
        </w:tc>
        <w:tc>
          <w:tcPr>
            <w:tcW w:w="2577" w:type="dxa"/>
            <w:vAlign w:val="center"/>
          </w:tcPr>
          <w:p w14:paraId="5A2BE897" w14:textId="77777777" w:rsidR="00D62CA3" w:rsidRDefault="00D62CA3" w:rsidP="00700578">
            <w:pPr>
              <w:pStyle w:val="cTableBody"/>
              <w:spacing w:before="0"/>
            </w:pPr>
            <w:r>
              <w:t>Hydrogen and ammonia production platforms</w:t>
            </w:r>
          </w:p>
        </w:tc>
        <w:tc>
          <w:tcPr>
            <w:tcW w:w="958" w:type="dxa"/>
            <w:vAlign w:val="center"/>
          </w:tcPr>
          <w:p w14:paraId="6186DDD1" w14:textId="77777777" w:rsidR="00D62CA3" w:rsidRDefault="00D62CA3" w:rsidP="00700578">
            <w:pPr>
              <w:pStyle w:val="cTableBody"/>
              <w:spacing w:before="0"/>
            </w:pPr>
            <w:r>
              <w:t>$20M</w:t>
            </w:r>
          </w:p>
        </w:tc>
        <w:tc>
          <w:tcPr>
            <w:tcW w:w="2421" w:type="dxa"/>
            <w:vAlign w:val="center"/>
          </w:tcPr>
          <w:p w14:paraId="0DF88986" w14:textId="77777777" w:rsidR="00D62CA3" w:rsidRDefault="00D62CA3" w:rsidP="00700578">
            <w:pPr>
              <w:pStyle w:val="cTableBody"/>
              <w:spacing w:before="0"/>
            </w:pPr>
            <w:r>
              <w:t>Independent chemical/process safety team</w:t>
            </w:r>
          </w:p>
        </w:tc>
        <w:tc>
          <w:tcPr>
            <w:tcW w:w="3445" w:type="dxa"/>
            <w:vAlign w:val="center"/>
          </w:tcPr>
          <w:p w14:paraId="12C0910E" w14:textId="77777777" w:rsidR="00D62CA3" w:rsidRDefault="00D62CA3" w:rsidP="00700578">
            <w:pPr>
              <w:pStyle w:val="cTableBody"/>
              <w:spacing w:before="0"/>
            </w:pPr>
            <w:r>
              <w:t>Cost replication, emissions/water accounting, HAZOP and long-duration inspection.</w:t>
            </w:r>
          </w:p>
        </w:tc>
      </w:tr>
      <w:tr w:rsidR="00D62CA3" w14:paraId="031628DE" w14:textId="77777777" w:rsidTr="00700578">
        <w:trPr>
          <w:jc w:val="center"/>
        </w:trPr>
        <w:tc>
          <w:tcPr>
            <w:tcW w:w="877" w:type="dxa"/>
            <w:vAlign w:val="center"/>
          </w:tcPr>
          <w:p w14:paraId="365F6B98" w14:textId="77777777" w:rsidR="00D62CA3" w:rsidRDefault="00D62CA3" w:rsidP="00700578">
            <w:pPr>
              <w:pStyle w:val="cTableBody"/>
              <w:spacing w:before="0"/>
            </w:pPr>
            <w:r>
              <w:t>4-1</w:t>
            </w:r>
          </w:p>
        </w:tc>
        <w:tc>
          <w:tcPr>
            <w:tcW w:w="2577" w:type="dxa"/>
            <w:vAlign w:val="center"/>
          </w:tcPr>
          <w:p w14:paraId="05AF87EE" w14:textId="77777777" w:rsidR="00D62CA3" w:rsidRDefault="00D62CA3" w:rsidP="00700578">
            <w:pPr>
              <w:pStyle w:val="cTableBody"/>
              <w:spacing w:before="0"/>
            </w:pPr>
            <w:r>
              <w:t>Marine ammonia fuel-cell propulsion prototypes and endurance testing</w:t>
            </w:r>
          </w:p>
        </w:tc>
        <w:tc>
          <w:tcPr>
            <w:tcW w:w="958" w:type="dxa"/>
            <w:vAlign w:val="center"/>
          </w:tcPr>
          <w:p w14:paraId="39FE6F02" w14:textId="77777777" w:rsidR="00D62CA3" w:rsidRDefault="00D62CA3" w:rsidP="00700578">
            <w:pPr>
              <w:pStyle w:val="cTableBody"/>
              <w:spacing w:before="0"/>
            </w:pPr>
            <w:r>
              <w:t>$15M</w:t>
            </w:r>
          </w:p>
        </w:tc>
        <w:tc>
          <w:tcPr>
            <w:tcW w:w="2421" w:type="dxa"/>
            <w:vAlign w:val="center"/>
          </w:tcPr>
          <w:p w14:paraId="70F56662" w14:textId="77777777" w:rsidR="00D62CA3" w:rsidRDefault="00D62CA3" w:rsidP="00700578">
            <w:pPr>
              <w:pStyle w:val="cTableBody"/>
              <w:spacing w:before="0"/>
            </w:pPr>
            <w:r>
              <w:t>SOFC/PCFC/cracker competing teams</w:t>
            </w:r>
          </w:p>
        </w:tc>
        <w:tc>
          <w:tcPr>
            <w:tcW w:w="3445" w:type="dxa"/>
            <w:vAlign w:val="center"/>
          </w:tcPr>
          <w:p w14:paraId="1165A275" w14:textId="77777777" w:rsidR="00D62CA3" w:rsidRDefault="00D62CA3" w:rsidP="00700578">
            <w:pPr>
              <w:pStyle w:val="cTableBody"/>
              <w:spacing w:before="0"/>
            </w:pPr>
            <w:r>
              <w:t>Three propulsion architectures and durability rigs; accept on agreed load cycles and emissions.</w:t>
            </w:r>
          </w:p>
        </w:tc>
      </w:tr>
      <w:tr w:rsidR="00D62CA3" w14:paraId="6BB1EB15" w14:textId="77777777" w:rsidTr="00700578">
        <w:trPr>
          <w:jc w:val="center"/>
        </w:trPr>
        <w:tc>
          <w:tcPr>
            <w:tcW w:w="877" w:type="dxa"/>
            <w:vAlign w:val="center"/>
          </w:tcPr>
          <w:p w14:paraId="042A6F45" w14:textId="77777777" w:rsidR="00D62CA3" w:rsidRDefault="00D62CA3" w:rsidP="00700578">
            <w:pPr>
              <w:pStyle w:val="cTableBody"/>
              <w:spacing w:before="0"/>
            </w:pPr>
            <w:r>
              <w:t>4-2</w:t>
            </w:r>
          </w:p>
        </w:tc>
        <w:tc>
          <w:tcPr>
            <w:tcW w:w="2577" w:type="dxa"/>
            <w:vAlign w:val="center"/>
          </w:tcPr>
          <w:p w14:paraId="6AFB5A65" w14:textId="77777777" w:rsidR="00D62CA3" w:rsidRDefault="00D62CA3" w:rsidP="00700578">
            <w:pPr>
              <w:pStyle w:val="cTableBody"/>
              <w:spacing w:before="0"/>
            </w:pPr>
            <w:r>
              <w:t>Marine ammonia fuel-cell propulsion prototypes and endurance testing</w:t>
            </w:r>
          </w:p>
        </w:tc>
        <w:tc>
          <w:tcPr>
            <w:tcW w:w="958" w:type="dxa"/>
            <w:vAlign w:val="center"/>
          </w:tcPr>
          <w:p w14:paraId="47C7CB98" w14:textId="77777777" w:rsidR="00D62CA3" w:rsidRDefault="00D62CA3" w:rsidP="00700578">
            <w:pPr>
              <w:pStyle w:val="cTableBody"/>
              <w:spacing w:before="0"/>
            </w:pPr>
            <w:r>
              <w:t>$40M</w:t>
            </w:r>
          </w:p>
        </w:tc>
        <w:tc>
          <w:tcPr>
            <w:tcW w:w="2421" w:type="dxa"/>
            <w:vAlign w:val="center"/>
          </w:tcPr>
          <w:p w14:paraId="56DA5AF6" w14:textId="77777777" w:rsidR="00D62CA3" w:rsidRDefault="00D62CA3" w:rsidP="00700578">
            <w:pPr>
              <w:pStyle w:val="cTableBody"/>
              <w:spacing w:before="0"/>
            </w:pPr>
            <w:r>
              <w:t>Marine integrator + fuel-cell OEM + motor/inverter supplier</w:t>
            </w:r>
          </w:p>
        </w:tc>
        <w:tc>
          <w:tcPr>
            <w:tcW w:w="3445" w:type="dxa"/>
            <w:vAlign w:val="center"/>
          </w:tcPr>
          <w:p w14:paraId="11E079EB" w14:textId="77777777" w:rsidR="00D62CA3" w:rsidRDefault="00D62CA3" w:rsidP="00700578">
            <w:pPr>
              <w:pStyle w:val="cTableBody"/>
              <w:spacing w:before="0"/>
            </w:pPr>
            <w:r>
              <w:t>100–500 kW prototypes and MW-class shared demonstrator; accept on net efficiency and stable operation.</w:t>
            </w:r>
          </w:p>
        </w:tc>
      </w:tr>
      <w:tr w:rsidR="00D62CA3" w14:paraId="0BF7E29D" w14:textId="77777777" w:rsidTr="00700578">
        <w:trPr>
          <w:jc w:val="center"/>
        </w:trPr>
        <w:tc>
          <w:tcPr>
            <w:tcW w:w="877" w:type="dxa"/>
            <w:vAlign w:val="center"/>
          </w:tcPr>
          <w:p w14:paraId="2394861B" w14:textId="77777777" w:rsidR="00D62CA3" w:rsidRDefault="00D62CA3" w:rsidP="00700578">
            <w:pPr>
              <w:pStyle w:val="cTableBody"/>
              <w:spacing w:before="0"/>
            </w:pPr>
            <w:r>
              <w:t>4-3</w:t>
            </w:r>
          </w:p>
        </w:tc>
        <w:tc>
          <w:tcPr>
            <w:tcW w:w="2577" w:type="dxa"/>
            <w:vAlign w:val="center"/>
          </w:tcPr>
          <w:p w14:paraId="13E98EDB" w14:textId="77777777" w:rsidR="00D62CA3" w:rsidRDefault="00D62CA3" w:rsidP="00700578">
            <w:pPr>
              <w:pStyle w:val="cTableBody"/>
              <w:spacing w:before="0"/>
            </w:pPr>
            <w:r>
              <w:t>Marine ammonia fuel-cell propulsion prototypes and endurance testing</w:t>
            </w:r>
          </w:p>
        </w:tc>
        <w:tc>
          <w:tcPr>
            <w:tcW w:w="958" w:type="dxa"/>
            <w:vAlign w:val="center"/>
          </w:tcPr>
          <w:p w14:paraId="021A2142" w14:textId="77777777" w:rsidR="00D62CA3" w:rsidRDefault="00D62CA3" w:rsidP="00700578">
            <w:pPr>
              <w:pStyle w:val="cTableBody"/>
              <w:spacing w:before="0"/>
            </w:pPr>
            <w:r>
              <w:t>$15M</w:t>
            </w:r>
          </w:p>
        </w:tc>
        <w:tc>
          <w:tcPr>
            <w:tcW w:w="2421" w:type="dxa"/>
            <w:vAlign w:val="center"/>
          </w:tcPr>
          <w:p w14:paraId="3F7A8F35" w14:textId="77777777" w:rsidR="00D62CA3" w:rsidRDefault="00D62CA3" w:rsidP="00700578">
            <w:pPr>
              <w:pStyle w:val="cTableBody"/>
              <w:spacing w:before="0"/>
            </w:pPr>
            <w:r>
              <w:t>Classification society / independent marine lab</w:t>
            </w:r>
          </w:p>
        </w:tc>
        <w:tc>
          <w:tcPr>
            <w:tcW w:w="3445" w:type="dxa"/>
            <w:vAlign w:val="center"/>
          </w:tcPr>
          <w:p w14:paraId="5BD4C0DE" w14:textId="77777777" w:rsidR="00D62CA3" w:rsidRDefault="00D62CA3" w:rsidP="00700578">
            <w:pPr>
              <w:pStyle w:val="cTableBody"/>
              <w:spacing w:before="0"/>
            </w:pPr>
            <w:r>
              <w:t>Witness endurance, teardown, emissions, safety and marine integration tests.</w:t>
            </w:r>
          </w:p>
        </w:tc>
      </w:tr>
      <w:tr w:rsidR="00D62CA3" w14:paraId="60339AF2" w14:textId="77777777" w:rsidTr="00700578">
        <w:trPr>
          <w:jc w:val="center"/>
        </w:trPr>
        <w:tc>
          <w:tcPr>
            <w:tcW w:w="877" w:type="dxa"/>
            <w:vAlign w:val="center"/>
          </w:tcPr>
          <w:p w14:paraId="3FBD4BF8" w14:textId="77777777" w:rsidR="00D62CA3" w:rsidRDefault="00D62CA3" w:rsidP="00700578">
            <w:pPr>
              <w:pStyle w:val="cTableBody"/>
              <w:spacing w:before="0"/>
            </w:pPr>
            <w:r>
              <w:t>5-1</w:t>
            </w:r>
          </w:p>
        </w:tc>
        <w:tc>
          <w:tcPr>
            <w:tcW w:w="2577" w:type="dxa"/>
            <w:vAlign w:val="center"/>
          </w:tcPr>
          <w:p w14:paraId="5C184601" w14:textId="77777777" w:rsidR="00D62CA3" w:rsidRDefault="00D62CA3" w:rsidP="00700578">
            <w:pPr>
              <w:pStyle w:val="cTableBody"/>
              <w:spacing w:before="0"/>
            </w:pPr>
            <w:r>
              <w:t>Material handling, tunnels, storage, waterfront, and modular logistics equipment</w:t>
            </w:r>
          </w:p>
        </w:tc>
        <w:tc>
          <w:tcPr>
            <w:tcW w:w="958" w:type="dxa"/>
            <w:vAlign w:val="center"/>
          </w:tcPr>
          <w:p w14:paraId="2A427732" w14:textId="77777777" w:rsidR="00D62CA3" w:rsidRDefault="00D62CA3" w:rsidP="00700578">
            <w:pPr>
              <w:pStyle w:val="cTableBody"/>
              <w:spacing w:before="0"/>
            </w:pPr>
            <w:r>
              <w:t>$20M</w:t>
            </w:r>
          </w:p>
        </w:tc>
        <w:tc>
          <w:tcPr>
            <w:tcW w:w="2421" w:type="dxa"/>
            <w:vAlign w:val="center"/>
          </w:tcPr>
          <w:p w14:paraId="52E3830B" w14:textId="77777777" w:rsidR="00D62CA3" w:rsidRDefault="00D62CA3" w:rsidP="00700578">
            <w:pPr>
              <w:pStyle w:val="cTableBody"/>
              <w:spacing w:before="0"/>
            </w:pPr>
            <w:r>
              <w:t>Industrial logistics/EPC design team</w:t>
            </w:r>
          </w:p>
        </w:tc>
        <w:tc>
          <w:tcPr>
            <w:tcW w:w="3445" w:type="dxa"/>
            <w:vAlign w:val="center"/>
          </w:tcPr>
          <w:p w14:paraId="7D271A94" w14:textId="77777777" w:rsidR="00D62CA3" w:rsidRDefault="00D62CA3" w:rsidP="00700578">
            <w:pPr>
              <w:pStyle w:val="cTableBody"/>
              <w:spacing w:before="0"/>
            </w:pPr>
            <w:r>
              <w:t>Distribution spine, tunnels, storage, waterfront and modular equipment designs.</w:t>
            </w:r>
          </w:p>
        </w:tc>
      </w:tr>
      <w:tr w:rsidR="00D62CA3" w14:paraId="0840DD32" w14:textId="77777777" w:rsidTr="00700578">
        <w:trPr>
          <w:jc w:val="center"/>
        </w:trPr>
        <w:tc>
          <w:tcPr>
            <w:tcW w:w="877" w:type="dxa"/>
            <w:vAlign w:val="center"/>
          </w:tcPr>
          <w:p w14:paraId="36CC276E" w14:textId="77777777" w:rsidR="00D62CA3" w:rsidRDefault="00D62CA3" w:rsidP="00700578">
            <w:pPr>
              <w:pStyle w:val="cTableBody"/>
              <w:spacing w:before="0"/>
            </w:pPr>
            <w:r>
              <w:t>5-2</w:t>
            </w:r>
          </w:p>
        </w:tc>
        <w:tc>
          <w:tcPr>
            <w:tcW w:w="2577" w:type="dxa"/>
            <w:vAlign w:val="center"/>
          </w:tcPr>
          <w:p w14:paraId="511187EB" w14:textId="77777777" w:rsidR="00D62CA3" w:rsidRDefault="00D62CA3" w:rsidP="00700578">
            <w:pPr>
              <w:pStyle w:val="cTableBody"/>
              <w:spacing w:before="0"/>
            </w:pPr>
            <w:r>
              <w:t>Material handling, tunnels, storage, waterfront, and modular logistics equipment</w:t>
            </w:r>
          </w:p>
        </w:tc>
        <w:tc>
          <w:tcPr>
            <w:tcW w:w="958" w:type="dxa"/>
            <w:vAlign w:val="center"/>
          </w:tcPr>
          <w:p w14:paraId="28981DDC" w14:textId="77777777" w:rsidR="00D62CA3" w:rsidRDefault="00D62CA3" w:rsidP="00700578">
            <w:pPr>
              <w:pStyle w:val="cTableBody"/>
              <w:spacing w:before="0"/>
            </w:pPr>
            <w:r>
              <w:t>$50M</w:t>
            </w:r>
          </w:p>
        </w:tc>
        <w:tc>
          <w:tcPr>
            <w:tcW w:w="2421" w:type="dxa"/>
            <w:vAlign w:val="center"/>
          </w:tcPr>
          <w:p w14:paraId="6EBE5271" w14:textId="77777777" w:rsidR="00D62CA3" w:rsidRDefault="00D62CA3" w:rsidP="00700578">
            <w:pPr>
              <w:pStyle w:val="cTableBody"/>
              <w:spacing w:before="0"/>
            </w:pPr>
            <w:r>
              <w:t>Fabricators / port equipment / conveyor / piping suppliers</w:t>
            </w:r>
          </w:p>
        </w:tc>
        <w:tc>
          <w:tcPr>
            <w:tcW w:w="3445" w:type="dxa"/>
            <w:vAlign w:val="center"/>
          </w:tcPr>
          <w:p w14:paraId="166DAADF" w14:textId="77777777" w:rsidR="00D62CA3" w:rsidRDefault="00D62CA3" w:rsidP="00700578">
            <w:pPr>
              <w:pStyle w:val="cTableBody"/>
              <w:spacing w:before="0"/>
            </w:pPr>
            <w:r>
              <w:t>Representative modules and integrated material-flow prototypes.</w:t>
            </w:r>
          </w:p>
        </w:tc>
      </w:tr>
      <w:tr w:rsidR="00D62CA3" w14:paraId="45EE891F" w14:textId="77777777" w:rsidTr="00700578">
        <w:trPr>
          <w:jc w:val="center"/>
        </w:trPr>
        <w:tc>
          <w:tcPr>
            <w:tcW w:w="877" w:type="dxa"/>
            <w:vAlign w:val="center"/>
          </w:tcPr>
          <w:p w14:paraId="3B7272C6" w14:textId="77777777" w:rsidR="00D62CA3" w:rsidRDefault="00D62CA3" w:rsidP="00700578">
            <w:pPr>
              <w:pStyle w:val="cTableBody"/>
              <w:spacing w:before="0"/>
            </w:pPr>
            <w:r>
              <w:t>5-3</w:t>
            </w:r>
          </w:p>
        </w:tc>
        <w:tc>
          <w:tcPr>
            <w:tcW w:w="2577" w:type="dxa"/>
            <w:vAlign w:val="center"/>
          </w:tcPr>
          <w:p w14:paraId="30A9E4D5" w14:textId="77777777" w:rsidR="00D62CA3" w:rsidRDefault="00D62CA3" w:rsidP="00700578">
            <w:pPr>
              <w:pStyle w:val="cTableBody"/>
              <w:spacing w:before="0"/>
            </w:pPr>
            <w:r>
              <w:t>Material handling, tunnels, storage, waterfront, and modular logistics equipment</w:t>
            </w:r>
          </w:p>
        </w:tc>
        <w:tc>
          <w:tcPr>
            <w:tcW w:w="958" w:type="dxa"/>
            <w:vAlign w:val="center"/>
          </w:tcPr>
          <w:p w14:paraId="00BC7D20" w14:textId="77777777" w:rsidR="00D62CA3" w:rsidRDefault="00D62CA3" w:rsidP="00700578">
            <w:pPr>
              <w:pStyle w:val="cTableBody"/>
              <w:spacing w:before="0"/>
            </w:pPr>
            <w:r>
              <w:t>$15M</w:t>
            </w:r>
          </w:p>
        </w:tc>
        <w:tc>
          <w:tcPr>
            <w:tcW w:w="2421" w:type="dxa"/>
            <w:vAlign w:val="center"/>
          </w:tcPr>
          <w:p w14:paraId="5A18DB83" w14:textId="77777777" w:rsidR="00D62CA3" w:rsidRDefault="00D62CA3" w:rsidP="00700578">
            <w:pPr>
              <w:pStyle w:val="cTableBody"/>
              <w:spacing w:before="0"/>
            </w:pPr>
            <w:r>
              <w:t>Independent logistics/safety reviewer</w:t>
            </w:r>
          </w:p>
        </w:tc>
        <w:tc>
          <w:tcPr>
            <w:tcW w:w="3445" w:type="dxa"/>
            <w:vAlign w:val="center"/>
          </w:tcPr>
          <w:p w14:paraId="06AA14D9" w14:textId="77777777" w:rsidR="00D62CA3" w:rsidRDefault="00D62CA3" w:rsidP="00700578">
            <w:pPr>
              <w:pStyle w:val="cTableBody"/>
              <w:spacing w:before="0"/>
            </w:pPr>
            <w:r>
              <w:t>Throughput, damage, contamination, maintenance and recovery audits.</w:t>
            </w:r>
          </w:p>
        </w:tc>
      </w:tr>
      <w:tr w:rsidR="00D62CA3" w14:paraId="0504B660" w14:textId="77777777" w:rsidTr="00700578">
        <w:trPr>
          <w:jc w:val="center"/>
        </w:trPr>
        <w:tc>
          <w:tcPr>
            <w:tcW w:w="877" w:type="dxa"/>
            <w:vAlign w:val="center"/>
          </w:tcPr>
          <w:p w14:paraId="6B0F3E41" w14:textId="77777777" w:rsidR="00D62CA3" w:rsidRDefault="00D62CA3" w:rsidP="00700578">
            <w:pPr>
              <w:pStyle w:val="cTableBody"/>
              <w:spacing w:before="0"/>
            </w:pPr>
            <w:r>
              <w:t>6-1</w:t>
            </w:r>
          </w:p>
        </w:tc>
        <w:tc>
          <w:tcPr>
            <w:tcW w:w="2577" w:type="dxa"/>
            <w:vAlign w:val="center"/>
          </w:tcPr>
          <w:p w14:paraId="42D43534" w14:textId="77777777" w:rsidR="00D62CA3" w:rsidRDefault="00D62CA3" w:rsidP="00700578">
            <w:pPr>
              <w:pStyle w:val="cTableBody"/>
              <w:spacing w:before="0"/>
            </w:pPr>
            <w:r>
              <w:t>Heavy module transport, double rail, ship/shore transfer, and gantry systems</w:t>
            </w:r>
          </w:p>
        </w:tc>
        <w:tc>
          <w:tcPr>
            <w:tcW w:w="958" w:type="dxa"/>
            <w:vAlign w:val="center"/>
          </w:tcPr>
          <w:p w14:paraId="6209F3D0" w14:textId="77777777" w:rsidR="00D62CA3" w:rsidRDefault="00D62CA3" w:rsidP="00700578">
            <w:pPr>
              <w:pStyle w:val="cTableBody"/>
              <w:spacing w:before="0"/>
            </w:pPr>
            <w:r>
              <w:t>$15M</w:t>
            </w:r>
          </w:p>
        </w:tc>
        <w:tc>
          <w:tcPr>
            <w:tcW w:w="2421" w:type="dxa"/>
            <w:vAlign w:val="center"/>
          </w:tcPr>
          <w:p w14:paraId="32DB704B" w14:textId="77777777" w:rsidR="00D62CA3" w:rsidRDefault="00D62CA3" w:rsidP="00700578">
            <w:pPr>
              <w:pStyle w:val="cTableBody"/>
              <w:spacing w:before="0"/>
            </w:pPr>
            <w:r>
              <w:t>Heavy transport / structural / rail engineering team</w:t>
            </w:r>
          </w:p>
        </w:tc>
        <w:tc>
          <w:tcPr>
            <w:tcW w:w="3445" w:type="dxa"/>
            <w:vAlign w:val="center"/>
          </w:tcPr>
          <w:p w14:paraId="276FBF25" w14:textId="77777777" w:rsidR="00D62CA3" w:rsidRDefault="00D62CA3" w:rsidP="00700578">
            <w:pPr>
              <w:pStyle w:val="cTableBody"/>
              <w:spacing w:before="0"/>
            </w:pPr>
            <w:r>
              <w:t>Rigid truss, carrier, gantry, route and ship-interface design.</w:t>
            </w:r>
          </w:p>
        </w:tc>
      </w:tr>
      <w:tr w:rsidR="00D62CA3" w14:paraId="110DB25D" w14:textId="77777777" w:rsidTr="00700578">
        <w:trPr>
          <w:jc w:val="center"/>
        </w:trPr>
        <w:tc>
          <w:tcPr>
            <w:tcW w:w="877" w:type="dxa"/>
            <w:vAlign w:val="center"/>
          </w:tcPr>
          <w:p w14:paraId="20D542BD" w14:textId="77777777" w:rsidR="00D62CA3" w:rsidRDefault="00D62CA3" w:rsidP="00700578">
            <w:pPr>
              <w:pStyle w:val="cTableBody"/>
              <w:spacing w:before="0"/>
            </w:pPr>
            <w:r>
              <w:t>6-2</w:t>
            </w:r>
          </w:p>
        </w:tc>
        <w:tc>
          <w:tcPr>
            <w:tcW w:w="2577" w:type="dxa"/>
            <w:vAlign w:val="center"/>
          </w:tcPr>
          <w:p w14:paraId="306E198A" w14:textId="77777777" w:rsidR="00D62CA3" w:rsidRDefault="00D62CA3" w:rsidP="00700578">
            <w:pPr>
              <w:pStyle w:val="cTableBody"/>
              <w:spacing w:before="0"/>
            </w:pPr>
            <w:r>
              <w:t>Heavy module transport, double rail, ship/shore transfer, and gantry systems</w:t>
            </w:r>
          </w:p>
        </w:tc>
        <w:tc>
          <w:tcPr>
            <w:tcW w:w="958" w:type="dxa"/>
            <w:vAlign w:val="center"/>
          </w:tcPr>
          <w:p w14:paraId="0AD6848C" w14:textId="77777777" w:rsidR="00D62CA3" w:rsidRDefault="00D62CA3" w:rsidP="00700578">
            <w:pPr>
              <w:pStyle w:val="cTableBody"/>
              <w:spacing w:before="0"/>
            </w:pPr>
            <w:r>
              <w:t>$40M</w:t>
            </w:r>
          </w:p>
        </w:tc>
        <w:tc>
          <w:tcPr>
            <w:tcW w:w="2421" w:type="dxa"/>
            <w:vAlign w:val="center"/>
          </w:tcPr>
          <w:p w14:paraId="62A7B84A" w14:textId="77777777" w:rsidR="00D62CA3" w:rsidRDefault="00D62CA3" w:rsidP="00700578">
            <w:pPr>
              <w:pStyle w:val="cTableBody"/>
              <w:spacing w:before="0"/>
            </w:pPr>
            <w:r>
              <w:t>Heavy transport fabricator / shipyard / rail supplier</w:t>
            </w:r>
          </w:p>
        </w:tc>
        <w:tc>
          <w:tcPr>
            <w:tcW w:w="3445" w:type="dxa"/>
            <w:vAlign w:val="center"/>
          </w:tcPr>
          <w:p w14:paraId="5755C905" w14:textId="77777777" w:rsidR="00D62CA3" w:rsidRDefault="00D62CA3" w:rsidP="00700578">
            <w:pPr>
              <w:pStyle w:val="cTableBody"/>
              <w:spacing w:before="0"/>
            </w:pPr>
            <w:r>
              <w:t>Scaled and representative loaded transfer systems.</w:t>
            </w:r>
          </w:p>
        </w:tc>
      </w:tr>
      <w:tr w:rsidR="00D62CA3" w14:paraId="26A96F47" w14:textId="77777777" w:rsidTr="00700578">
        <w:trPr>
          <w:jc w:val="center"/>
        </w:trPr>
        <w:tc>
          <w:tcPr>
            <w:tcW w:w="877" w:type="dxa"/>
            <w:vAlign w:val="center"/>
          </w:tcPr>
          <w:p w14:paraId="558062B0" w14:textId="77777777" w:rsidR="00D62CA3" w:rsidRDefault="00D62CA3" w:rsidP="00700578">
            <w:pPr>
              <w:pStyle w:val="cTableBody"/>
              <w:spacing w:before="0"/>
            </w:pPr>
            <w:r>
              <w:t>6-3</w:t>
            </w:r>
          </w:p>
        </w:tc>
        <w:tc>
          <w:tcPr>
            <w:tcW w:w="2577" w:type="dxa"/>
            <w:vAlign w:val="center"/>
          </w:tcPr>
          <w:p w14:paraId="3956F006" w14:textId="77777777" w:rsidR="00D62CA3" w:rsidRDefault="00D62CA3" w:rsidP="00700578">
            <w:pPr>
              <w:pStyle w:val="cTableBody"/>
              <w:spacing w:before="0"/>
            </w:pPr>
            <w:r>
              <w:t>Heavy module transport, double rail, ship/shore transfer, and gantry systems</w:t>
            </w:r>
          </w:p>
        </w:tc>
        <w:tc>
          <w:tcPr>
            <w:tcW w:w="958" w:type="dxa"/>
            <w:vAlign w:val="center"/>
          </w:tcPr>
          <w:p w14:paraId="5742FA35" w14:textId="77777777" w:rsidR="00D62CA3" w:rsidRDefault="00D62CA3" w:rsidP="00700578">
            <w:pPr>
              <w:pStyle w:val="cTableBody"/>
              <w:spacing w:before="0"/>
            </w:pPr>
            <w:r>
              <w:t>$10M</w:t>
            </w:r>
          </w:p>
        </w:tc>
        <w:tc>
          <w:tcPr>
            <w:tcW w:w="2421" w:type="dxa"/>
            <w:vAlign w:val="center"/>
          </w:tcPr>
          <w:p w14:paraId="3F85AFE6" w14:textId="77777777" w:rsidR="00D62CA3" w:rsidRDefault="00D62CA3" w:rsidP="00700578">
            <w:pPr>
              <w:pStyle w:val="cTableBody"/>
              <w:spacing w:before="0"/>
            </w:pPr>
            <w:r>
              <w:t>Marine warranty / structural independent reviewer</w:t>
            </w:r>
          </w:p>
        </w:tc>
        <w:tc>
          <w:tcPr>
            <w:tcW w:w="3445" w:type="dxa"/>
            <w:vAlign w:val="center"/>
          </w:tcPr>
          <w:p w14:paraId="06B9F2EF" w14:textId="77777777" w:rsidR="00D62CA3" w:rsidRDefault="00D62CA3" w:rsidP="00700578">
            <w:pPr>
              <w:pStyle w:val="cTableBody"/>
              <w:spacing w:before="0"/>
            </w:pPr>
            <w:r>
              <w:t>Witness proof loads, curves/grades, ship transfer and recovery cases.</w:t>
            </w:r>
          </w:p>
        </w:tc>
      </w:tr>
      <w:tr w:rsidR="00D62CA3" w14:paraId="060C1FC7" w14:textId="77777777" w:rsidTr="00700578">
        <w:trPr>
          <w:jc w:val="center"/>
        </w:trPr>
        <w:tc>
          <w:tcPr>
            <w:tcW w:w="877" w:type="dxa"/>
            <w:vAlign w:val="center"/>
          </w:tcPr>
          <w:p w14:paraId="4D1EAFF6" w14:textId="77777777" w:rsidR="00D62CA3" w:rsidRDefault="00D62CA3" w:rsidP="00700578">
            <w:pPr>
              <w:pStyle w:val="cTableBody"/>
              <w:spacing w:before="0"/>
            </w:pPr>
            <w:r>
              <w:t>7-1</w:t>
            </w:r>
          </w:p>
        </w:tc>
        <w:tc>
          <w:tcPr>
            <w:tcW w:w="2577" w:type="dxa"/>
            <w:vAlign w:val="center"/>
          </w:tcPr>
          <w:p w14:paraId="2D5160E9" w14:textId="77777777" w:rsidR="00D62CA3" w:rsidRDefault="00D62CA3" w:rsidP="00700578">
            <w:pPr>
              <w:pStyle w:val="cTableBody"/>
              <w:spacing w:before="0"/>
            </w:pPr>
            <w:r>
              <w:t>Electrified rail and high-power construction-machine interface</w:t>
            </w:r>
          </w:p>
        </w:tc>
        <w:tc>
          <w:tcPr>
            <w:tcW w:w="958" w:type="dxa"/>
            <w:vAlign w:val="center"/>
          </w:tcPr>
          <w:p w14:paraId="25FF9DBE" w14:textId="77777777" w:rsidR="00D62CA3" w:rsidRDefault="00D62CA3" w:rsidP="00700578">
            <w:pPr>
              <w:pStyle w:val="cTableBody"/>
              <w:spacing w:before="0"/>
            </w:pPr>
            <w:r>
              <w:t>$10M</w:t>
            </w:r>
          </w:p>
        </w:tc>
        <w:tc>
          <w:tcPr>
            <w:tcW w:w="2421" w:type="dxa"/>
            <w:vAlign w:val="center"/>
          </w:tcPr>
          <w:p w14:paraId="5A53465B" w14:textId="77777777" w:rsidR="00D62CA3" w:rsidRDefault="00D62CA3" w:rsidP="00700578">
            <w:pPr>
              <w:pStyle w:val="cTableBody"/>
              <w:spacing w:before="0"/>
            </w:pPr>
            <w:r>
              <w:t>Electrical/rail systems design consortium</w:t>
            </w:r>
          </w:p>
        </w:tc>
        <w:tc>
          <w:tcPr>
            <w:tcW w:w="3445" w:type="dxa"/>
            <w:vAlign w:val="center"/>
          </w:tcPr>
          <w:p w14:paraId="47BF0413" w14:textId="77777777" w:rsidR="00D62CA3" w:rsidRDefault="00D62CA3" w:rsidP="00700578">
            <w:pPr>
              <w:pStyle w:val="cTableBody"/>
              <w:spacing w:before="0"/>
            </w:pPr>
            <w:r>
              <w:t>Voltage classes, enclosed conductor, segment logic, safety and interoperability design.</w:t>
            </w:r>
          </w:p>
        </w:tc>
      </w:tr>
      <w:tr w:rsidR="00D62CA3" w14:paraId="74A9626F" w14:textId="77777777" w:rsidTr="00700578">
        <w:trPr>
          <w:jc w:val="center"/>
        </w:trPr>
        <w:tc>
          <w:tcPr>
            <w:tcW w:w="877" w:type="dxa"/>
            <w:vAlign w:val="center"/>
          </w:tcPr>
          <w:p w14:paraId="1A2BC4BA" w14:textId="77777777" w:rsidR="00D62CA3" w:rsidRDefault="00D62CA3" w:rsidP="00700578">
            <w:pPr>
              <w:pStyle w:val="cTableBody"/>
              <w:spacing w:before="0"/>
            </w:pPr>
            <w:r>
              <w:t>7-2</w:t>
            </w:r>
          </w:p>
        </w:tc>
        <w:tc>
          <w:tcPr>
            <w:tcW w:w="2577" w:type="dxa"/>
            <w:vAlign w:val="center"/>
          </w:tcPr>
          <w:p w14:paraId="1C26C639" w14:textId="77777777" w:rsidR="00D62CA3" w:rsidRDefault="00D62CA3" w:rsidP="00700578">
            <w:pPr>
              <w:pStyle w:val="cTableBody"/>
              <w:spacing w:before="0"/>
            </w:pPr>
            <w:r>
              <w:t>Electrified rail and high-power construction-machine interface</w:t>
            </w:r>
          </w:p>
        </w:tc>
        <w:tc>
          <w:tcPr>
            <w:tcW w:w="958" w:type="dxa"/>
            <w:vAlign w:val="center"/>
          </w:tcPr>
          <w:p w14:paraId="168F4A75" w14:textId="77777777" w:rsidR="00D62CA3" w:rsidRDefault="00D62CA3" w:rsidP="00700578">
            <w:pPr>
              <w:pStyle w:val="cTableBody"/>
              <w:spacing w:before="0"/>
            </w:pPr>
            <w:r>
              <w:t>$22M</w:t>
            </w:r>
          </w:p>
        </w:tc>
        <w:tc>
          <w:tcPr>
            <w:tcW w:w="2421" w:type="dxa"/>
            <w:vAlign w:val="center"/>
          </w:tcPr>
          <w:p w14:paraId="12282480" w14:textId="77777777" w:rsidR="00D62CA3" w:rsidRDefault="00D62CA3" w:rsidP="00700578">
            <w:pPr>
              <w:pStyle w:val="cTableBody"/>
              <w:spacing w:before="0"/>
            </w:pPr>
            <w:r>
              <w:t>Switchgear / conductor / collector / controls suppliers</w:t>
            </w:r>
          </w:p>
        </w:tc>
        <w:tc>
          <w:tcPr>
            <w:tcW w:w="3445" w:type="dxa"/>
            <w:vAlign w:val="center"/>
          </w:tcPr>
          <w:p w14:paraId="290D0C9B" w14:textId="77777777" w:rsidR="00D62CA3" w:rsidRDefault="00D62CA3" w:rsidP="00700578">
            <w:pPr>
              <w:pStyle w:val="cTableBody"/>
              <w:spacing w:before="0"/>
            </w:pPr>
            <w:r>
              <w:t>Full-voltage test loop and mobile collectors; fault and regenerative tests.</w:t>
            </w:r>
          </w:p>
        </w:tc>
      </w:tr>
      <w:tr w:rsidR="00D62CA3" w14:paraId="5207570F" w14:textId="77777777" w:rsidTr="00700578">
        <w:trPr>
          <w:jc w:val="center"/>
        </w:trPr>
        <w:tc>
          <w:tcPr>
            <w:tcW w:w="877" w:type="dxa"/>
            <w:vAlign w:val="center"/>
          </w:tcPr>
          <w:p w14:paraId="21322B25" w14:textId="77777777" w:rsidR="00D62CA3" w:rsidRDefault="00D62CA3" w:rsidP="00700578">
            <w:pPr>
              <w:pStyle w:val="cTableBody"/>
              <w:spacing w:before="0"/>
            </w:pPr>
            <w:r>
              <w:t>7-3</w:t>
            </w:r>
          </w:p>
        </w:tc>
        <w:tc>
          <w:tcPr>
            <w:tcW w:w="2577" w:type="dxa"/>
            <w:vAlign w:val="center"/>
          </w:tcPr>
          <w:p w14:paraId="1CADF6CC" w14:textId="77777777" w:rsidR="00D62CA3" w:rsidRDefault="00D62CA3" w:rsidP="00700578">
            <w:pPr>
              <w:pStyle w:val="cTableBody"/>
              <w:spacing w:before="0"/>
            </w:pPr>
            <w:r>
              <w:t>Electrified rail and high-power construction-machine interface</w:t>
            </w:r>
          </w:p>
        </w:tc>
        <w:tc>
          <w:tcPr>
            <w:tcW w:w="958" w:type="dxa"/>
            <w:vAlign w:val="center"/>
          </w:tcPr>
          <w:p w14:paraId="58E1A71B" w14:textId="77777777" w:rsidR="00D62CA3" w:rsidRDefault="00D62CA3" w:rsidP="00700578">
            <w:pPr>
              <w:pStyle w:val="cTableBody"/>
              <w:spacing w:before="0"/>
            </w:pPr>
            <w:r>
              <w:t>$8M</w:t>
            </w:r>
          </w:p>
        </w:tc>
        <w:tc>
          <w:tcPr>
            <w:tcW w:w="2421" w:type="dxa"/>
            <w:vAlign w:val="center"/>
          </w:tcPr>
          <w:p w14:paraId="63D49D15" w14:textId="77777777" w:rsidR="00D62CA3" w:rsidRDefault="00D62CA3" w:rsidP="00700578">
            <w:pPr>
              <w:pStyle w:val="cTableBody"/>
              <w:spacing w:before="0"/>
            </w:pPr>
            <w:r>
              <w:t>Independent HV safety lab / standards body</w:t>
            </w:r>
          </w:p>
        </w:tc>
        <w:tc>
          <w:tcPr>
            <w:tcW w:w="3445" w:type="dxa"/>
            <w:vAlign w:val="center"/>
          </w:tcPr>
          <w:p w14:paraId="6E9B2C82" w14:textId="77777777" w:rsidR="00D62CA3" w:rsidRDefault="00D62CA3" w:rsidP="00700578">
            <w:pPr>
              <w:pStyle w:val="cTableBody"/>
              <w:spacing w:before="0"/>
            </w:pPr>
            <w:r>
              <w:t>Grounding, water/dirt, fault clearing, lockout and conformance verification.</w:t>
            </w:r>
          </w:p>
        </w:tc>
      </w:tr>
      <w:tr w:rsidR="00D62CA3" w14:paraId="7DFE1C76" w14:textId="77777777" w:rsidTr="00700578">
        <w:trPr>
          <w:jc w:val="center"/>
        </w:trPr>
        <w:tc>
          <w:tcPr>
            <w:tcW w:w="877" w:type="dxa"/>
            <w:vAlign w:val="center"/>
          </w:tcPr>
          <w:p w14:paraId="7EA3C093" w14:textId="77777777" w:rsidR="00D62CA3" w:rsidRDefault="00D62CA3" w:rsidP="00700578">
            <w:pPr>
              <w:pStyle w:val="cTableBody"/>
              <w:spacing w:before="0"/>
            </w:pPr>
            <w:r>
              <w:t>8-1</w:t>
            </w:r>
          </w:p>
        </w:tc>
        <w:tc>
          <w:tcPr>
            <w:tcW w:w="2577" w:type="dxa"/>
            <w:vAlign w:val="center"/>
          </w:tcPr>
          <w:p w14:paraId="6B1FB758" w14:textId="77777777" w:rsidR="00D62CA3" w:rsidRDefault="00D62CA3" w:rsidP="00700578">
            <w:pPr>
              <w:pStyle w:val="cTableBody"/>
              <w:spacing w:before="0"/>
            </w:pPr>
            <w:r>
              <w:t>Automated construction of thermal-storage tanks</w:t>
            </w:r>
          </w:p>
        </w:tc>
        <w:tc>
          <w:tcPr>
            <w:tcW w:w="958" w:type="dxa"/>
            <w:vAlign w:val="center"/>
          </w:tcPr>
          <w:p w14:paraId="3AC99332" w14:textId="77777777" w:rsidR="00D62CA3" w:rsidRDefault="00D62CA3" w:rsidP="00700578">
            <w:pPr>
              <w:pStyle w:val="cTableBody"/>
              <w:spacing w:before="0"/>
            </w:pPr>
            <w:r>
              <w:t>$10M</w:t>
            </w:r>
          </w:p>
        </w:tc>
        <w:tc>
          <w:tcPr>
            <w:tcW w:w="2421" w:type="dxa"/>
            <w:vAlign w:val="center"/>
          </w:tcPr>
          <w:p w14:paraId="6220B21D" w14:textId="77777777" w:rsidR="00D62CA3" w:rsidRDefault="00D62CA3" w:rsidP="00700578">
            <w:pPr>
              <w:pStyle w:val="cTableBody"/>
              <w:spacing w:before="0"/>
            </w:pPr>
            <w:r>
              <w:t>Tank/EPC/robotics design consortium</w:t>
            </w:r>
          </w:p>
        </w:tc>
        <w:tc>
          <w:tcPr>
            <w:tcW w:w="3445" w:type="dxa"/>
            <w:vAlign w:val="center"/>
          </w:tcPr>
          <w:p w14:paraId="1B5DF148" w14:textId="77777777" w:rsidR="00D62CA3" w:rsidRDefault="00D62CA3" w:rsidP="00700578">
            <w:pPr>
              <w:pStyle w:val="cTableBody"/>
              <w:spacing w:before="0"/>
            </w:pPr>
            <w:r>
              <w:t>Jacking, panel handling, welding/NDE and sequence design.</w:t>
            </w:r>
          </w:p>
        </w:tc>
      </w:tr>
      <w:tr w:rsidR="00D62CA3" w14:paraId="4A472A9C" w14:textId="77777777" w:rsidTr="00700578">
        <w:trPr>
          <w:jc w:val="center"/>
        </w:trPr>
        <w:tc>
          <w:tcPr>
            <w:tcW w:w="877" w:type="dxa"/>
            <w:vAlign w:val="center"/>
          </w:tcPr>
          <w:p w14:paraId="1896DBBF" w14:textId="77777777" w:rsidR="00D62CA3" w:rsidRDefault="00D62CA3" w:rsidP="00700578">
            <w:pPr>
              <w:pStyle w:val="cTableBody"/>
              <w:spacing w:before="0"/>
            </w:pPr>
            <w:r>
              <w:t>8-2</w:t>
            </w:r>
          </w:p>
        </w:tc>
        <w:tc>
          <w:tcPr>
            <w:tcW w:w="2577" w:type="dxa"/>
            <w:vAlign w:val="center"/>
          </w:tcPr>
          <w:p w14:paraId="6E78F20B" w14:textId="77777777" w:rsidR="00D62CA3" w:rsidRDefault="00D62CA3" w:rsidP="00700578">
            <w:pPr>
              <w:pStyle w:val="cTableBody"/>
              <w:spacing w:before="0"/>
            </w:pPr>
            <w:r>
              <w:t>Automated construction of thermal-storage tanks</w:t>
            </w:r>
          </w:p>
        </w:tc>
        <w:tc>
          <w:tcPr>
            <w:tcW w:w="958" w:type="dxa"/>
            <w:vAlign w:val="center"/>
          </w:tcPr>
          <w:p w14:paraId="30EA9106" w14:textId="77777777" w:rsidR="00D62CA3" w:rsidRDefault="00D62CA3" w:rsidP="00700578">
            <w:pPr>
              <w:pStyle w:val="cTableBody"/>
              <w:spacing w:before="0"/>
            </w:pPr>
            <w:r>
              <w:t>$32M</w:t>
            </w:r>
          </w:p>
        </w:tc>
        <w:tc>
          <w:tcPr>
            <w:tcW w:w="2421" w:type="dxa"/>
            <w:vAlign w:val="center"/>
          </w:tcPr>
          <w:p w14:paraId="31CA64ED" w14:textId="77777777" w:rsidR="00D62CA3" w:rsidRDefault="00D62CA3" w:rsidP="00700578">
            <w:pPr>
              <w:pStyle w:val="cTableBody"/>
              <w:spacing w:before="0"/>
            </w:pPr>
            <w:r>
              <w:t>Robotics, welding, NDE and heavy-lift fabricators</w:t>
            </w:r>
          </w:p>
        </w:tc>
        <w:tc>
          <w:tcPr>
            <w:tcW w:w="3445" w:type="dxa"/>
            <w:vAlign w:val="center"/>
          </w:tcPr>
          <w:p w14:paraId="3C8EB875" w14:textId="77777777" w:rsidR="00D62CA3" w:rsidRDefault="00D62CA3" w:rsidP="00700578">
            <w:pPr>
              <w:pStyle w:val="cTableBody"/>
              <w:spacing w:before="0"/>
            </w:pPr>
            <w:r>
              <w:t>Representative tank and machine prototypes with full-size weld trials.</w:t>
            </w:r>
          </w:p>
        </w:tc>
      </w:tr>
      <w:tr w:rsidR="00D62CA3" w14:paraId="44E47A46" w14:textId="77777777" w:rsidTr="00700578">
        <w:trPr>
          <w:jc w:val="center"/>
        </w:trPr>
        <w:tc>
          <w:tcPr>
            <w:tcW w:w="877" w:type="dxa"/>
            <w:vAlign w:val="center"/>
          </w:tcPr>
          <w:p w14:paraId="273A6ECD" w14:textId="77777777" w:rsidR="00D62CA3" w:rsidRDefault="00D62CA3" w:rsidP="00700578">
            <w:pPr>
              <w:pStyle w:val="cTableBody"/>
              <w:spacing w:before="0"/>
            </w:pPr>
            <w:r>
              <w:t>8-3</w:t>
            </w:r>
          </w:p>
        </w:tc>
        <w:tc>
          <w:tcPr>
            <w:tcW w:w="2577" w:type="dxa"/>
            <w:vAlign w:val="center"/>
          </w:tcPr>
          <w:p w14:paraId="07B976EF" w14:textId="77777777" w:rsidR="00D62CA3" w:rsidRDefault="00D62CA3" w:rsidP="00700578">
            <w:pPr>
              <w:pStyle w:val="cTableBody"/>
              <w:spacing w:before="0"/>
            </w:pPr>
            <w:r>
              <w:t>Automated construction of thermal-storage tanks</w:t>
            </w:r>
          </w:p>
        </w:tc>
        <w:tc>
          <w:tcPr>
            <w:tcW w:w="958" w:type="dxa"/>
            <w:vAlign w:val="center"/>
          </w:tcPr>
          <w:p w14:paraId="711454BC" w14:textId="77777777" w:rsidR="00D62CA3" w:rsidRDefault="00D62CA3" w:rsidP="00700578">
            <w:pPr>
              <w:pStyle w:val="cTableBody"/>
              <w:spacing w:before="0"/>
            </w:pPr>
            <w:r>
              <w:t>$8M</w:t>
            </w:r>
          </w:p>
        </w:tc>
        <w:tc>
          <w:tcPr>
            <w:tcW w:w="2421" w:type="dxa"/>
            <w:vAlign w:val="center"/>
          </w:tcPr>
          <w:p w14:paraId="3403AD0E" w14:textId="77777777" w:rsidR="00D62CA3" w:rsidRDefault="00D62CA3" w:rsidP="00700578">
            <w:pPr>
              <w:pStyle w:val="cTableBody"/>
              <w:spacing w:before="0"/>
            </w:pPr>
            <w:r>
              <w:t>Independent tank/code/NDE reviewer</w:t>
            </w:r>
          </w:p>
        </w:tc>
        <w:tc>
          <w:tcPr>
            <w:tcW w:w="3445" w:type="dxa"/>
            <w:vAlign w:val="center"/>
          </w:tcPr>
          <w:p w14:paraId="0C12B633" w14:textId="77777777" w:rsidR="00D62CA3" w:rsidRDefault="00D62CA3" w:rsidP="00700578">
            <w:pPr>
              <w:pStyle w:val="cTableBody"/>
              <w:spacing w:before="0"/>
            </w:pPr>
            <w:r>
              <w:t>Witness weld/NDE, dimensional, jacking and production-rate tests.</w:t>
            </w:r>
          </w:p>
        </w:tc>
      </w:tr>
      <w:tr w:rsidR="00D62CA3" w14:paraId="08272727" w14:textId="77777777" w:rsidTr="00700578">
        <w:trPr>
          <w:jc w:val="center"/>
        </w:trPr>
        <w:tc>
          <w:tcPr>
            <w:tcW w:w="877" w:type="dxa"/>
            <w:vAlign w:val="center"/>
          </w:tcPr>
          <w:p w14:paraId="0C33AEAB" w14:textId="77777777" w:rsidR="00D62CA3" w:rsidRDefault="00D62CA3" w:rsidP="00700578">
            <w:pPr>
              <w:pStyle w:val="cTableBody"/>
              <w:spacing w:before="0"/>
            </w:pPr>
            <w:r>
              <w:t>9-1</w:t>
            </w:r>
          </w:p>
        </w:tc>
        <w:tc>
          <w:tcPr>
            <w:tcW w:w="2577" w:type="dxa"/>
            <w:vAlign w:val="center"/>
          </w:tcPr>
          <w:p w14:paraId="35C0846D" w14:textId="77777777" w:rsidR="00D62CA3" w:rsidRDefault="00D62CA3" w:rsidP="00700578">
            <w:pPr>
              <w:pStyle w:val="cTableBody"/>
              <w:spacing w:before="0"/>
            </w:pPr>
            <w:r>
              <w:t>Standards, interoperability laboratory, digital thread, and conformance testing</w:t>
            </w:r>
          </w:p>
        </w:tc>
        <w:tc>
          <w:tcPr>
            <w:tcW w:w="958" w:type="dxa"/>
            <w:vAlign w:val="center"/>
          </w:tcPr>
          <w:p w14:paraId="35A52D2E" w14:textId="77777777" w:rsidR="00D62CA3" w:rsidRDefault="00D62CA3" w:rsidP="00700578">
            <w:pPr>
              <w:pStyle w:val="cTableBody"/>
              <w:spacing w:before="0"/>
            </w:pPr>
            <w:r>
              <w:t>$15M</w:t>
            </w:r>
          </w:p>
        </w:tc>
        <w:tc>
          <w:tcPr>
            <w:tcW w:w="2421" w:type="dxa"/>
            <w:vAlign w:val="center"/>
          </w:tcPr>
          <w:p w14:paraId="1CC3008D" w14:textId="77777777" w:rsidR="00D62CA3" w:rsidRDefault="00D62CA3" w:rsidP="00700578">
            <w:pPr>
              <w:pStyle w:val="cTableBody"/>
              <w:spacing w:before="0"/>
            </w:pPr>
            <w:r>
              <w:t>Standards secretariat + systems engineering team</w:t>
            </w:r>
          </w:p>
        </w:tc>
        <w:tc>
          <w:tcPr>
            <w:tcW w:w="3445" w:type="dxa"/>
            <w:vAlign w:val="center"/>
          </w:tcPr>
          <w:p w14:paraId="7FF8D598" w14:textId="77777777" w:rsidR="00D62CA3" w:rsidRDefault="00D62CA3" w:rsidP="00700578">
            <w:pPr>
              <w:pStyle w:val="cTableBody"/>
              <w:spacing w:before="0"/>
            </w:pPr>
            <w:r>
              <w:t>Master architecture and open interface documents through v1.0.</w:t>
            </w:r>
          </w:p>
        </w:tc>
      </w:tr>
      <w:tr w:rsidR="00D62CA3" w14:paraId="3D057DFB" w14:textId="77777777" w:rsidTr="00700578">
        <w:trPr>
          <w:jc w:val="center"/>
        </w:trPr>
        <w:tc>
          <w:tcPr>
            <w:tcW w:w="877" w:type="dxa"/>
            <w:vAlign w:val="center"/>
          </w:tcPr>
          <w:p w14:paraId="6115AB41" w14:textId="77777777" w:rsidR="00D62CA3" w:rsidRDefault="00D62CA3" w:rsidP="00700578">
            <w:pPr>
              <w:pStyle w:val="cTableBody"/>
              <w:spacing w:before="0"/>
            </w:pPr>
            <w:r>
              <w:t>9-2</w:t>
            </w:r>
          </w:p>
        </w:tc>
        <w:tc>
          <w:tcPr>
            <w:tcW w:w="2577" w:type="dxa"/>
            <w:vAlign w:val="center"/>
          </w:tcPr>
          <w:p w14:paraId="1757BD46" w14:textId="77777777" w:rsidR="00D62CA3" w:rsidRDefault="00D62CA3" w:rsidP="00700578">
            <w:pPr>
              <w:pStyle w:val="cTableBody"/>
              <w:spacing w:before="0"/>
            </w:pPr>
            <w:r>
              <w:t>Standards, interoperability laboratory, digital thread, and conformance testing</w:t>
            </w:r>
          </w:p>
        </w:tc>
        <w:tc>
          <w:tcPr>
            <w:tcW w:w="958" w:type="dxa"/>
            <w:vAlign w:val="center"/>
          </w:tcPr>
          <w:p w14:paraId="1C04E60C" w14:textId="77777777" w:rsidR="00D62CA3" w:rsidRDefault="00D62CA3" w:rsidP="00700578">
            <w:pPr>
              <w:pStyle w:val="cTableBody"/>
              <w:spacing w:before="0"/>
            </w:pPr>
            <w:r>
              <w:t>$28M</w:t>
            </w:r>
          </w:p>
        </w:tc>
        <w:tc>
          <w:tcPr>
            <w:tcW w:w="2421" w:type="dxa"/>
            <w:vAlign w:val="center"/>
          </w:tcPr>
          <w:p w14:paraId="02FA1602" w14:textId="77777777" w:rsidR="00D62CA3" w:rsidRDefault="00D62CA3" w:rsidP="00700578">
            <w:pPr>
              <w:pStyle w:val="cTableBody"/>
              <w:spacing w:before="0"/>
            </w:pPr>
            <w:r>
              <w:t>Interoperability lab + multi-vendor participants</w:t>
            </w:r>
          </w:p>
        </w:tc>
        <w:tc>
          <w:tcPr>
            <w:tcW w:w="3445" w:type="dxa"/>
            <w:vAlign w:val="center"/>
          </w:tcPr>
          <w:p w14:paraId="4F2AEE51" w14:textId="77777777" w:rsidR="00D62CA3" w:rsidRDefault="00D62CA3" w:rsidP="00700578">
            <w:pPr>
              <w:pStyle w:val="cTableBody"/>
              <w:spacing w:before="0"/>
            </w:pPr>
            <w:r>
              <w:t>Conformance fixtures, reference implementations and plug tests.</w:t>
            </w:r>
          </w:p>
        </w:tc>
      </w:tr>
      <w:tr w:rsidR="00D62CA3" w14:paraId="34901C40" w14:textId="77777777" w:rsidTr="00700578">
        <w:trPr>
          <w:jc w:val="center"/>
        </w:trPr>
        <w:tc>
          <w:tcPr>
            <w:tcW w:w="877" w:type="dxa"/>
            <w:vAlign w:val="center"/>
          </w:tcPr>
          <w:p w14:paraId="16BEEDE3" w14:textId="77777777" w:rsidR="00D62CA3" w:rsidRDefault="00D62CA3" w:rsidP="00700578">
            <w:pPr>
              <w:pStyle w:val="cTableBody"/>
              <w:spacing w:before="0"/>
            </w:pPr>
            <w:r>
              <w:t>9-3</w:t>
            </w:r>
          </w:p>
        </w:tc>
        <w:tc>
          <w:tcPr>
            <w:tcW w:w="2577" w:type="dxa"/>
            <w:vAlign w:val="center"/>
          </w:tcPr>
          <w:p w14:paraId="35B8DFED" w14:textId="77777777" w:rsidR="00D62CA3" w:rsidRDefault="00D62CA3" w:rsidP="00700578">
            <w:pPr>
              <w:pStyle w:val="cTableBody"/>
              <w:spacing w:before="0"/>
            </w:pPr>
            <w:r>
              <w:t>Standards, interoperability laboratory, digital thread, and conformance testing</w:t>
            </w:r>
          </w:p>
        </w:tc>
        <w:tc>
          <w:tcPr>
            <w:tcW w:w="958" w:type="dxa"/>
            <w:vAlign w:val="center"/>
          </w:tcPr>
          <w:p w14:paraId="1073655C" w14:textId="77777777" w:rsidR="00D62CA3" w:rsidRDefault="00D62CA3" w:rsidP="00700578">
            <w:pPr>
              <w:pStyle w:val="cTableBody"/>
              <w:spacing w:before="0"/>
            </w:pPr>
            <w:r>
              <w:t>$12M</w:t>
            </w:r>
          </w:p>
        </w:tc>
        <w:tc>
          <w:tcPr>
            <w:tcW w:w="2421" w:type="dxa"/>
            <w:vAlign w:val="center"/>
          </w:tcPr>
          <w:p w14:paraId="3604413B" w14:textId="77777777" w:rsidR="00D62CA3" w:rsidRDefault="00D62CA3" w:rsidP="00700578">
            <w:pPr>
              <w:pStyle w:val="cTableBody"/>
              <w:spacing w:before="0"/>
            </w:pPr>
            <w:r>
              <w:t>ISO/IEC/ANSI/SAC/industry coordination and independent review</w:t>
            </w:r>
          </w:p>
        </w:tc>
        <w:tc>
          <w:tcPr>
            <w:tcW w:w="3445" w:type="dxa"/>
            <w:vAlign w:val="center"/>
          </w:tcPr>
          <w:p w14:paraId="5C4740DC" w14:textId="77777777" w:rsidR="00D62CA3" w:rsidRDefault="00D62CA3" w:rsidP="00700578">
            <w:pPr>
              <w:pStyle w:val="cTableBody"/>
              <w:spacing w:before="0"/>
            </w:pPr>
            <w:r>
              <w:t>Consensus packages, publication, IP/data rules and v2.0 release.</w:t>
            </w:r>
          </w:p>
        </w:tc>
      </w:tr>
      <w:tr w:rsidR="00D62CA3" w14:paraId="49FB5849" w14:textId="77777777" w:rsidTr="00700578">
        <w:trPr>
          <w:jc w:val="center"/>
        </w:trPr>
        <w:tc>
          <w:tcPr>
            <w:tcW w:w="877" w:type="dxa"/>
            <w:vAlign w:val="center"/>
          </w:tcPr>
          <w:p w14:paraId="1798A569" w14:textId="77777777" w:rsidR="00D62CA3" w:rsidRDefault="00D62CA3" w:rsidP="00700578">
            <w:pPr>
              <w:pStyle w:val="cTableBody"/>
              <w:spacing w:before="0"/>
            </w:pPr>
            <w:r>
              <w:t>10-1</w:t>
            </w:r>
          </w:p>
        </w:tc>
        <w:tc>
          <w:tcPr>
            <w:tcW w:w="2577" w:type="dxa"/>
            <w:vAlign w:val="center"/>
          </w:tcPr>
          <w:p w14:paraId="560E5EAC" w14:textId="77777777" w:rsidR="00D62CA3" w:rsidRDefault="00D62CA3" w:rsidP="00700578">
            <w:pPr>
              <w:pStyle w:val="cTableBody"/>
              <w:spacing w:before="0"/>
            </w:pPr>
            <w:r>
              <w:t>Integrated prototype campus, flow/corrosion loops, and long-duration campaigns</w:t>
            </w:r>
          </w:p>
        </w:tc>
        <w:tc>
          <w:tcPr>
            <w:tcW w:w="958" w:type="dxa"/>
            <w:vAlign w:val="center"/>
          </w:tcPr>
          <w:p w14:paraId="0052C8CD" w14:textId="77777777" w:rsidR="00D62CA3" w:rsidRDefault="00D62CA3" w:rsidP="00700578">
            <w:pPr>
              <w:pStyle w:val="cTableBody"/>
              <w:spacing w:before="0"/>
            </w:pPr>
            <w:r>
              <w:t>$20M</w:t>
            </w:r>
          </w:p>
        </w:tc>
        <w:tc>
          <w:tcPr>
            <w:tcW w:w="2421" w:type="dxa"/>
            <w:vAlign w:val="center"/>
          </w:tcPr>
          <w:p w14:paraId="02EE0B8F" w14:textId="77777777" w:rsidR="00D62CA3" w:rsidRDefault="00D62CA3" w:rsidP="00700578">
            <w:pPr>
              <w:pStyle w:val="cTableBody"/>
              <w:spacing w:before="0"/>
            </w:pPr>
            <w:r>
              <w:t>Test-campus EPC / utilities team</w:t>
            </w:r>
          </w:p>
        </w:tc>
        <w:tc>
          <w:tcPr>
            <w:tcW w:w="3445" w:type="dxa"/>
            <w:vAlign w:val="center"/>
          </w:tcPr>
          <w:p w14:paraId="013E3170" w14:textId="77777777" w:rsidR="00D62CA3" w:rsidRDefault="00D62CA3" w:rsidP="00700578">
            <w:pPr>
              <w:pStyle w:val="cTableBody"/>
              <w:spacing w:before="0"/>
            </w:pPr>
            <w:r>
              <w:t>Externally heated PWR/HTR loops, test bays, safety systems and instrumentation.</w:t>
            </w:r>
          </w:p>
        </w:tc>
      </w:tr>
      <w:tr w:rsidR="00D62CA3" w14:paraId="379A9D58" w14:textId="77777777" w:rsidTr="00700578">
        <w:trPr>
          <w:jc w:val="center"/>
        </w:trPr>
        <w:tc>
          <w:tcPr>
            <w:tcW w:w="877" w:type="dxa"/>
            <w:vAlign w:val="center"/>
          </w:tcPr>
          <w:p w14:paraId="4A76D4D4" w14:textId="77777777" w:rsidR="00D62CA3" w:rsidRDefault="00D62CA3" w:rsidP="00700578">
            <w:pPr>
              <w:pStyle w:val="cTableBody"/>
              <w:spacing w:before="0"/>
            </w:pPr>
            <w:r>
              <w:t>10-2</w:t>
            </w:r>
          </w:p>
        </w:tc>
        <w:tc>
          <w:tcPr>
            <w:tcW w:w="2577" w:type="dxa"/>
            <w:vAlign w:val="center"/>
          </w:tcPr>
          <w:p w14:paraId="4BCF99B7" w14:textId="77777777" w:rsidR="00D62CA3" w:rsidRDefault="00D62CA3" w:rsidP="00700578">
            <w:pPr>
              <w:pStyle w:val="cTableBody"/>
              <w:spacing w:before="0"/>
            </w:pPr>
            <w:r>
              <w:t>Integrated prototype campus, flow/corrosion loops, and long-duration campaigns</w:t>
            </w:r>
          </w:p>
        </w:tc>
        <w:tc>
          <w:tcPr>
            <w:tcW w:w="958" w:type="dxa"/>
            <w:vAlign w:val="center"/>
          </w:tcPr>
          <w:p w14:paraId="7648CD01" w14:textId="77777777" w:rsidR="00D62CA3" w:rsidRDefault="00D62CA3" w:rsidP="00700578">
            <w:pPr>
              <w:pStyle w:val="cTableBody"/>
              <w:spacing w:before="0"/>
            </w:pPr>
            <w:r>
              <w:t>$30M</w:t>
            </w:r>
          </w:p>
        </w:tc>
        <w:tc>
          <w:tcPr>
            <w:tcW w:w="2421" w:type="dxa"/>
            <w:vAlign w:val="center"/>
          </w:tcPr>
          <w:p w14:paraId="61EDA329" w14:textId="77777777" w:rsidR="00D62CA3" w:rsidRDefault="00D62CA3" w:rsidP="00700578">
            <w:pPr>
              <w:pStyle w:val="cTableBody"/>
              <w:spacing w:before="0"/>
            </w:pPr>
            <w:r>
              <w:t>Materials/corrosion/test operations team</w:t>
            </w:r>
          </w:p>
        </w:tc>
        <w:tc>
          <w:tcPr>
            <w:tcW w:w="3445" w:type="dxa"/>
            <w:vAlign w:val="center"/>
          </w:tcPr>
          <w:p w14:paraId="74994936" w14:textId="77777777" w:rsidR="00D62CA3" w:rsidRDefault="00D62CA3" w:rsidP="00700578">
            <w:pPr>
              <w:pStyle w:val="cTableBody"/>
              <w:spacing w:before="0"/>
            </w:pPr>
            <w:r>
              <w:t>Representative flow loops, coupons/spools, long-duration operation and inspections.</w:t>
            </w:r>
          </w:p>
        </w:tc>
      </w:tr>
      <w:tr w:rsidR="00D62CA3" w14:paraId="78CEBFA5" w14:textId="77777777" w:rsidTr="00700578">
        <w:trPr>
          <w:jc w:val="center"/>
        </w:trPr>
        <w:tc>
          <w:tcPr>
            <w:tcW w:w="877" w:type="dxa"/>
            <w:vAlign w:val="center"/>
          </w:tcPr>
          <w:p w14:paraId="41931535" w14:textId="77777777" w:rsidR="00D62CA3" w:rsidRDefault="00D62CA3" w:rsidP="00700578">
            <w:pPr>
              <w:pStyle w:val="cTableBody"/>
              <w:spacing w:before="0"/>
            </w:pPr>
            <w:r>
              <w:t>10-3</w:t>
            </w:r>
          </w:p>
        </w:tc>
        <w:tc>
          <w:tcPr>
            <w:tcW w:w="2577" w:type="dxa"/>
            <w:vAlign w:val="center"/>
          </w:tcPr>
          <w:p w14:paraId="42A15CBC" w14:textId="77777777" w:rsidR="00D62CA3" w:rsidRDefault="00D62CA3" w:rsidP="00700578">
            <w:pPr>
              <w:pStyle w:val="cTableBody"/>
              <w:spacing w:before="0"/>
            </w:pPr>
            <w:r>
              <w:t>Integrated prototype campus, flow/corrosion loops, and long-duration campaigns</w:t>
            </w:r>
          </w:p>
        </w:tc>
        <w:tc>
          <w:tcPr>
            <w:tcW w:w="958" w:type="dxa"/>
            <w:vAlign w:val="center"/>
          </w:tcPr>
          <w:p w14:paraId="436F60E7" w14:textId="77777777" w:rsidR="00D62CA3" w:rsidRDefault="00D62CA3" w:rsidP="00700578">
            <w:pPr>
              <w:pStyle w:val="cTableBody"/>
              <w:spacing w:before="0"/>
            </w:pPr>
            <w:r>
              <w:t>$15M</w:t>
            </w:r>
          </w:p>
        </w:tc>
        <w:tc>
          <w:tcPr>
            <w:tcW w:w="2421" w:type="dxa"/>
            <w:vAlign w:val="center"/>
          </w:tcPr>
          <w:p w14:paraId="22E55822" w14:textId="77777777" w:rsidR="00D62CA3" w:rsidRDefault="00D62CA3" w:rsidP="00700578">
            <w:pPr>
              <w:pStyle w:val="cTableBody"/>
              <w:spacing w:before="0"/>
            </w:pPr>
            <w:r>
              <w:t>Independent test/data team</w:t>
            </w:r>
          </w:p>
        </w:tc>
        <w:tc>
          <w:tcPr>
            <w:tcW w:w="3445" w:type="dxa"/>
            <w:vAlign w:val="center"/>
          </w:tcPr>
          <w:p w14:paraId="5372DE80" w14:textId="77777777" w:rsidR="00D62CA3" w:rsidRDefault="00D62CA3" w:rsidP="00700578">
            <w:pPr>
              <w:pStyle w:val="cTableBody"/>
              <w:spacing w:before="0"/>
            </w:pPr>
            <w:r>
              <w:t>Calibration, test witnessing, data quality, teardown and reliability analysis.</w:t>
            </w:r>
          </w:p>
        </w:tc>
      </w:tr>
      <w:tr w:rsidR="00D62CA3" w14:paraId="6335F9F0" w14:textId="77777777" w:rsidTr="00700578">
        <w:trPr>
          <w:jc w:val="center"/>
        </w:trPr>
        <w:tc>
          <w:tcPr>
            <w:tcW w:w="877" w:type="dxa"/>
            <w:vAlign w:val="center"/>
          </w:tcPr>
          <w:p w14:paraId="2E9B1368" w14:textId="77777777" w:rsidR="00D62CA3" w:rsidRDefault="00D62CA3" w:rsidP="00700578">
            <w:pPr>
              <w:pStyle w:val="cTableBody"/>
              <w:spacing w:before="0"/>
            </w:pPr>
            <w:r>
              <w:t>11-1</w:t>
            </w:r>
          </w:p>
        </w:tc>
        <w:tc>
          <w:tcPr>
            <w:tcW w:w="2577" w:type="dxa"/>
            <w:vAlign w:val="center"/>
          </w:tcPr>
          <w:p w14:paraId="0E443701" w14:textId="77777777" w:rsidR="00D62CA3" w:rsidRDefault="00D62CA3" w:rsidP="00700578">
            <w:pPr>
              <w:pStyle w:val="cTableBody"/>
              <w:spacing w:before="0"/>
            </w:pPr>
            <w:r>
              <w:t>Program management, safety, techno-economics, and independent review</w:t>
            </w:r>
          </w:p>
        </w:tc>
        <w:tc>
          <w:tcPr>
            <w:tcW w:w="958" w:type="dxa"/>
            <w:vAlign w:val="center"/>
          </w:tcPr>
          <w:p w14:paraId="69FEDA02" w14:textId="77777777" w:rsidR="00D62CA3" w:rsidRDefault="00D62CA3" w:rsidP="00700578">
            <w:pPr>
              <w:pStyle w:val="cTableBody"/>
              <w:spacing w:before="0"/>
            </w:pPr>
            <w:r>
              <w:t>$8M</w:t>
            </w:r>
          </w:p>
        </w:tc>
        <w:tc>
          <w:tcPr>
            <w:tcW w:w="2421" w:type="dxa"/>
            <w:vAlign w:val="center"/>
          </w:tcPr>
          <w:p w14:paraId="70FE64DA" w14:textId="77777777" w:rsidR="00D62CA3" w:rsidRDefault="00D62CA3" w:rsidP="00700578">
            <w:pPr>
              <w:pStyle w:val="cTableBody"/>
              <w:spacing w:before="0"/>
            </w:pPr>
            <w:r>
              <w:t>Managing organization / program office</w:t>
            </w:r>
          </w:p>
        </w:tc>
        <w:tc>
          <w:tcPr>
            <w:tcW w:w="3445" w:type="dxa"/>
            <w:vAlign w:val="center"/>
          </w:tcPr>
          <w:p w14:paraId="6A6FEF23" w14:textId="77777777" w:rsidR="00D62CA3" w:rsidRDefault="00D62CA3" w:rsidP="00700578">
            <w:pPr>
              <w:pStyle w:val="cTableBody"/>
              <w:spacing w:before="0"/>
            </w:pPr>
            <w:r>
              <w:t>Procurement, baseline, configuration, risk, finance and reporting.</w:t>
            </w:r>
          </w:p>
        </w:tc>
      </w:tr>
      <w:tr w:rsidR="00D62CA3" w14:paraId="03D086C6" w14:textId="77777777" w:rsidTr="00700578">
        <w:trPr>
          <w:jc w:val="center"/>
        </w:trPr>
        <w:tc>
          <w:tcPr>
            <w:tcW w:w="877" w:type="dxa"/>
            <w:vAlign w:val="center"/>
          </w:tcPr>
          <w:p w14:paraId="28C25F6E" w14:textId="77777777" w:rsidR="00D62CA3" w:rsidRDefault="00D62CA3" w:rsidP="00700578">
            <w:pPr>
              <w:pStyle w:val="cTableBody"/>
              <w:spacing w:before="0"/>
            </w:pPr>
            <w:r>
              <w:t>11-2</w:t>
            </w:r>
          </w:p>
        </w:tc>
        <w:tc>
          <w:tcPr>
            <w:tcW w:w="2577" w:type="dxa"/>
            <w:vAlign w:val="center"/>
          </w:tcPr>
          <w:p w14:paraId="43D3C060" w14:textId="77777777" w:rsidR="00D62CA3" w:rsidRDefault="00D62CA3" w:rsidP="00700578">
            <w:pPr>
              <w:pStyle w:val="cTableBody"/>
              <w:spacing w:before="0"/>
            </w:pPr>
            <w:r>
              <w:t>Program management, safety, techno-economics, and independent review</w:t>
            </w:r>
          </w:p>
        </w:tc>
        <w:tc>
          <w:tcPr>
            <w:tcW w:w="958" w:type="dxa"/>
            <w:vAlign w:val="center"/>
          </w:tcPr>
          <w:p w14:paraId="2D87EC4E" w14:textId="77777777" w:rsidR="00D62CA3" w:rsidRDefault="00D62CA3" w:rsidP="00700578">
            <w:pPr>
              <w:pStyle w:val="cTableBody"/>
              <w:spacing w:before="0"/>
            </w:pPr>
            <w:r>
              <w:t>$7M</w:t>
            </w:r>
          </w:p>
        </w:tc>
        <w:tc>
          <w:tcPr>
            <w:tcW w:w="2421" w:type="dxa"/>
            <w:vAlign w:val="center"/>
          </w:tcPr>
          <w:p w14:paraId="52814679" w14:textId="77777777" w:rsidR="00D62CA3" w:rsidRDefault="00D62CA3" w:rsidP="00700578">
            <w:pPr>
              <w:pStyle w:val="cTableBody"/>
              <w:spacing w:before="0"/>
            </w:pPr>
            <w:r>
              <w:t>Safety, environmental, cybersecurity and marine assurance teams</w:t>
            </w:r>
          </w:p>
        </w:tc>
        <w:tc>
          <w:tcPr>
            <w:tcW w:w="3445" w:type="dxa"/>
            <w:vAlign w:val="center"/>
          </w:tcPr>
          <w:p w14:paraId="44797D81" w14:textId="77777777" w:rsidR="00D62CA3" w:rsidRDefault="00D62CA3" w:rsidP="00700578">
            <w:pPr>
              <w:pStyle w:val="cTableBody"/>
              <w:spacing w:before="0"/>
            </w:pPr>
            <w:r>
              <w:t>Cross-program hazard oversight and independent stop-work authority.</w:t>
            </w:r>
          </w:p>
        </w:tc>
      </w:tr>
      <w:tr w:rsidR="00D62CA3" w14:paraId="21F885DD" w14:textId="77777777" w:rsidTr="00700578">
        <w:trPr>
          <w:jc w:val="center"/>
        </w:trPr>
        <w:tc>
          <w:tcPr>
            <w:tcW w:w="877" w:type="dxa"/>
            <w:vAlign w:val="center"/>
          </w:tcPr>
          <w:p w14:paraId="71CF034A" w14:textId="77777777" w:rsidR="00D62CA3" w:rsidRDefault="00D62CA3" w:rsidP="00700578">
            <w:pPr>
              <w:pStyle w:val="cTableBody"/>
              <w:spacing w:before="0"/>
            </w:pPr>
            <w:r>
              <w:t>11-3</w:t>
            </w:r>
          </w:p>
        </w:tc>
        <w:tc>
          <w:tcPr>
            <w:tcW w:w="2577" w:type="dxa"/>
            <w:vAlign w:val="center"/>
          </w:tcPr>
          <w:p w14:paraId="2DBE11EA" w14:textId="77777777" w:rsidR="00D62CA3" w:rsidRDefault="00D62CA3" w:rsidP="00700578">
            <w:pPr>
              <w:pStyle w:val="cTableBody"/>
              <w:spacing w:before="0"/>
            </w:pPr>
            <w:r>
              <w:t>Program management, safety, techno-economics, and independent review</w:t>
            </w:r>
          </w:p>
        </w:tc>
        <w:tc>
          <w:tcPr>
            <w:tcW w:w="958" w:type="dxa"/>
            <w:vAlign w:val="center"/>
          </w:tcPr>
          <w:p w14:paraId="6FC2045D" w14:textId="77777777" w:rsidR="00D62CA3" w:rsidRDefault="00D62CA3" w:rsidP="00700578">
            <w:pPr>
              <w:pStyle w:val="cTableBody"/>
              <w:spacing w:before="0"/>
            </w:pPr>
            <w:r>
              <w:t>$10M</w:t>
            </w:r>
          </w:p>
        </w:tc>
        <w:tc>
          <w:tcPr>
            <w:tcW w:w="2421" w:type="dxa"/>
            <w:vAlign w:val="center"/>
          </w:tcPr>
          <w:p w14:paraId="012E5322" w14:textId="77777777" w:rsidR="00D62CA3" w:rsidRDefault="00D62CA3" w:rsidP="00700578">
            <w:pPr>
              <w:pStyle w:val="cTableBody"/>
              <w:spacing w:before="0"/>
            </w:pPr>
            <w:r>
              <w:t>Independent economics/audit/review teams</w:t>
            </w:r>
          </w:p>
        </w:tc>
        <w:tc>
          <w:tcPr>
            <w:tcW w:w="3445" w:type="dxa"/>
            <w:vAlign w:val="center"/>
          </w:tcPr>
          <w:p w14:paraId="6937EFD4" w14:textId="77777777" w:rsidR="00D62CA3" w:rsidRDefault="00D62CA3" w:rsidP="00700578">
            <w:pPr>
              <w:pStyle w:val="cTableBody"/>
              <w:spacing w:before="0"/>
            </w:pPr>
            <w:r>
              <w:t>Replicated cost/LCA models, annual technical audits and Phase-II decision report.</w:t>
            </w:r>
          </w:p>
        </w:tc>
      </w:tr>
    </w:tbl>
    <w:p w14:paraId="5634392A" w14:textId="77777777" w:rsidR="008F2011" w:rsidRDefault="00994197">
      <w:pPr>
        <w:pStyle w:val="cSubject"/>
        <w:spacing w:before="280" w:after="280"/>
      </w:pPr>
      <w:r>
        <w:t>Initiative-specific contracting additions</w:t>
      </w:r>
    </w:p>
    <w:p w14:paraId="2C81DDD8" w14:textId="77777777" w:rsidR="008F2011" w:rsidRPr="004A4C23" w:rsidRDefault="00994197" w:rsidP="004A4C23">
      <w:pPr>
        <w:pStyle w:val="blist-bullets"/>
      </w:pPr>
      <w:r>
        <w:rPr>
          <w:b/>
          <w:bCs/>
        </w:rPr>
        <w:t>Classify every major award and cost as platform-family-specific, shared industrial infrastructure, hydrogen/ammonia, marine propulsion, or shared with the Nuclear Power Automated Site-Construction initiative so shared-asset economics can be audited without double funding.</w:t>
      </w:r>
    </w:p>
    <w:p w14:paraId="0D287C4A" w14:textId="77777777" w:rsidR="008F2011" w:rsidRPr="004A4C23" w:rsidRDefault="00994197" w:rsidP="004A4C23">
      <w:pPr>
        <w:pStyle w:val="blist-bullets"/>
      </w:pPr>
      <w:r>
        <w:rPr>
          <w:b/>
          <w:bCs/>
        </w:rPr>
        <w:t>Flow down the applicable process-safety, pressure-system, hazardous-area, ammonia/hydrogen, marine, electrified-rail, tank-construction, cybersecurity, environmental, and interoperability requirements in addition to the common portfolio terms.</w:t>
      </w:r>
    </w:p>
    <w:p w14:paraId="6534EE09" w14:textId="77777777" w:rsidR="008F2011" w:rsidRPr="004A4C23" w:rsidRDefault="00994197" w:rsidP="004A4C23">
      <w:pPr>
        <w:pStyle w:val="blist-bullets"/>
      </w:pPr>
      <w:r>
        <w:rPr>
          <w:b/>
          <w:bCs/>
        </w:rPr>
        <w:t>Acceptance packages for process and infrastructure prototypes must include the final configuration, native design/source files, raw test data, calibration, efficiency and throughput, degradation/corrosion evidence, failures/nonconformances, maintenance evidence, and a reproducibility package.</w:t>
      </w:r>
    </w:p>
    <w:p w14:paraId="3A9CB03A" w14:textId="77777777" w:rsidR="008F2011" w:rsidRPr="004A4C23" w:rsidRDefault="00994197" w:rsidP="004A4C23">
      <w:pPr>
        <w:pStyle w:val="blist-bullets"/>
      </w:pPr>
      <w:r>
        <w:rPr>
          <w:b/>
          <w:bCs/>
        </w:rPr>
        <w:t>Where the separate nuclear-construction initiative has already qualified a transporter, gantry, rail geometry, digital platform, metrology system, or other shared asset, this initiative funds only incremental industrial requirements, adaptation, operating time, or additional tests.</w:t>
      </w:r>
    </w:p>
    <w:p w14:paraId="28217C8F" w14:textId="515657E7" w:rsidR="008F2011" w:rsidRDefault="00994197">
      <w:r>
        <w:t xml:space="preserve">All other procurement, payment, open-source/data, conflict, audit, change-control, reserve, shared-asset, and transition provisions </w:t>
      </w:r>
      <w:r w:rsidR="006E53D4">
        <w:t xml:space="preserve">are specified in the </w:t>
      </w:r>
      <w:hyperlink r:id="rId44" w:anchor="framework" w:history="1">
        <w:r w:rsidR="006E53D4">
          <w:rPr>
            <w:rStyle w:val="bhyperlinkChar"/>
          </w:rPr>
          <w:t>Moonshot</w:t>
        </w:r>
        <w:r w:rsidR="006E53D4" w:rsidRPr="00D14B0C">
          <w:rPr>
            <w:rStyle w:val="bhyperlinkChar"/>
          </w:rPr>
          <w:t xml:space="preserve"> Common Framework</w:t>
        </w:r>
      </w:hyperlink>
      <w:r w:rsidR="006E53D4">
        <w:t>.</w:t>
      </w:r>
    </w:p>
    <w:p w14:paraId="49748E9D" w14:textId="77777777" w:rsidR="00D62CA3" w:rsidRDefault="00D62CA3" w:rsidP="00D62CA3">
      <w:pPr>
        <w:pStyle w:val="Heading1"/>
        <w:spacing w:before="0" w:after="0"/>
      </w:pPr>
      <w:bookmarkStart w:id="79" w:name="_Toc237345523"/>
      <w:bookmarkStart w:id="80" w:name="_Toc237471120"/>
      <w:bookmarkStart w:id="81" w:name="_Toc238129775"/>
      <w:bookmarkStart w:id="82" w:name="_Toc238205562"/>
      <w:r>
        <w:t>Purchase Order Recipients</w:t>
      </w:r>
      <w:bookmarkEnd w:id="79"/>
      <w:bookmarkEnd w:id="80"/>
      <w:bookmarkEnd w:id="81"/>
      <w:bookmarkEnd w:id="82"/>
    </w:p>
    <w:p w14:paraId="178FE80B" w14:textId="77777777" w:rsidR="00D62CA3" w:rsidRDefault="00D62CA3" w:rsidP="00D62CA3">
      <w:pPr>
        <w:pStyle w:val="cUserPromptText"/>
        <w:spacing w:before="280" w:after="280"/>
      </w:pPr>
      <w:r>
        <w:rPr>
          <w:b/>
        </w:rPr>
        <w:t xml:space="preserve">Prompt to AI: </w:t>
      </w:r>
      <w:r>
        <w:t>Who might receive the fund’s purchase orders? Identify illustrative organization types and examples spanning dual-reactor interfaces, the 31 process platforms, ammonia, marine fuel cells, giant-module logistics, electrified rail, thermal-storage construction, standards, and independent review.</w:t>
      </w:r>
    </w:p>
    <w:p w14:paraId="06C59AA8" w14:textId="77777777" w:rsidR="00D62CA3" w:rsidRDefault="00D62CA3" w:rsidP="00D62CA3">
      <w:pPr>
        <w:spacing w:before="280" w:after="280"/>
      </w:pPr>
      <w:r>
        <w:rPr>
          <w:b/>
          <w:color w:val="4F81BD"/>
          <w:u w:val="single"/>
        </w:rPr>
        <w:t>Response From AI:</w:t>
      </w:r>
    </w:p>
    <w:p w14:paraId="65CADC65" w14:textId="77777777" w:rsidR="00D62CA3" w:rsidRDefault="00D62CA3" w:rsidP="00D62CA3">
      <w:r>
        <w:t>The names below are illustrative candidates, not endorsements or prequalified bidders. Competition should emphasize teams with real manufacturing/test capability, open interfaces, and willingness to provide auditable data. Independent reviewers should not be financially dependent on the hardware they evaluate.</w:t>
      </w:r>
    </w:p>
    <w:tbl>
      <w:tblPr>
        <w:tblStyle w:val="gswTableStyle"/>
        <w:tblW w:w="10008" w:type="dxa"/>
        <w:jc w:val="center"/>
        <w:tblInd w:w="0" w:type="dxa"/>
        <w:tblLayout w:type="fixed"/>
        <w:tblLook w:val="04A0" w:firstRow="1" w:lastRow="0" w:firstColumn="1" w:lastColumn="0" w:noHBand="0" w:noVBand="1"/>
      </w:tblPr>
      <w:tblGrid>
        <w:gridCol w:w="3336"/>
        <w:gridCol w:w="3336"/>
        <w:gridCol w:w="3336"/>
      </w:tblGrid>
      <w:tr w:rsidR="00D62CA3" w14:paraId="01CB858B" w14:textId="77777777" w:rsidTr="00016259">
        <w:trPr>
          <w:cnfStyle w:val="100000000000" w:firstRow="1" w:lastRow="0" w:firstColumn="0" w:lastColumn="0" w:oddVBand="0" w:evenVBand="0" w:oddHBand="0" w:evenHBand="0" w:firstRowFirstColumn="0" w:firstRowLastColumn="0" w:lastRowFirstColumn="0" w:lastRowLastColumn="0"/>
          <w:tblHeader/>
          <w:jc w:val="center"/>
        </w:trPr>
        <w:tc>
          <w:tcPr>
            <w:tcW w:w="3336" w:type="dxa"/>
            <w:vAlign w:val="center"/>
          </w:tcPr>
          <w:p w14:paraId="327605D4" w14:textId="77777777" w:rsidR="00D62CA3" w:rsidRDefault="00D62CA3" w:rsidP="00016259">
            <w:pPr>
              <w:pStyle w:val="cTableHeader"/>
              <w:spacing w:before="0" w:after="0"/>
            </w:pPr>
            <w:r>
              <w:t>Capability</w:t>
            </w:r>
          </w:p>
        </w:tc>
        <w:tc>
          <w:tcPr>
            <w:tcW w:w="3336" w:type="dxa"/>
            <w:vAlign w:val="center"/>
          </w:tcPr>
          <w:p w14:paraId="74CA6882" w14:textId="77777777" w:rsidR="00D62CA3" w:rsidRDefault="00D62CA3" w:rsidP="00016259">
            <w:pPr>
              <w:pStyle w:val="cTableHeader"/>
              <w:spacing w:before="0" w:after="0"/>
            </w:pPr>
            <w:r>
              <w:t>Illustrative candidates</w:t>
            </w:r>
          </w:p>
        </w:tc>
        <w:tc>
          <w:tcPr>
            <w:tcW w:w="3336" w:type="dxa"/>
            <w:vAlign w:val="center"/>
          </w:tcPr>
          <w:p w14:paraId="141842E8" w14:textId="77777777" w:rsidR="00D62CA3" w:rsidRDefault="00D62CA3" w:rsidP="00016259">
            <w:pPr>
              <w:pStyle w:val="cTableHeader"/>
              <w:spacing w:before="0" w:after="0"/>
            </w:pPr>
            <w:r>
              <w:t>Potential role</w:t>
            </w:r>
          </w:p>
        </w:tc>
      </w:tr>
      <w:tr w:rsidR="00D62CA3" w14:paraId="14C1CDCC" w14:textId="77777777" w:rsidTr="00016259">
        <w:trPr>
          <w:jc w:val="center"/>
        </w:trPr>
        <w:tc>
          <w:tcPr>
            <w:tcW w:w="3336" w:type="dxa"/>
            <w:vAlign w:val="center"/>
          </w:tcPr>
          <w:p w14:paraId="77CECF01" w14:textId="77777777" w:rsidR="00D62CA3" w:rsidRDefault="00D62CA3" w:rsidP="00016259">
            <w:pPr>
              <w:pStyle w:val="cTableBody"/>
              <w:spacing w:before="0"/>
            </w:pPr>
            <w:r>
              <w:t>Dual-reactor reference architecture and nuclear/industrial heat</w:t>
            </w:r>
          </w:p>
        </w:tc>
        <w:tc>
          <w:tcPr>
            <w:tcW w:w="3336" w:type="dxa"/>
            <w:vAlign w:val="center"/>
          </w:tcPr>
          <w:p w14:paraId="53E84B55" w14:textId="77777777" w:rsidR="00D62CA3" w:rsidRDefault="00D62CA3" w:rsidP="00016259">
            <w:pPr>
              <w:pStyle w:val="cTableBody"/>
              <w:spacing w:before="0"/>
            </w:pPr>
            <w:r>
              <w:t>Tsinghua INET; Chinese nuclear owner-engineers and design institutes; INL; ORNL; Argonne; major EPC firms</w:t>
            </w:r>
          </w:p>
        </w:tc>
        <w:tc>
          <w:tcPr>
            <w:tcW w:w="3336" w:type="dxa"/>
            <w:vAlign w:val="center"/>
          </w:tcPr>
          <w:p w14:paraId="119ED0ED" w14:textId="77777777" w:rsidR="00D62CA3" w:rsidRDefault="00D62CA3" w:rsidP="00016259">
            <w:pPr>
              <w:pStyle w:val="cTableBody"/>
              <w:spacing w:before="0"/>
            </w:pPr>
            <w:r>
              <w:t>PWR/HTR utility envelopes, isolation heat systems, licensing/safety boundaries, systems engineering.</w:t>
            </w:r>
          </w:p>
        </w:tc>
      </w:tr>
      <w:tr w:rsidR="00D62CA3" w14:paraId="33DA3656" w14:textId="77777777" w:rsidTr="00016259">
        <w:trPr>
          <w:jc w:val="center"/>
        </w:trPr>
        <w:tc>
          <w:tcPr>
            <w:tcW w:w="3336" w:type="dxa"/>
            <w:vAlign w:val="center"/>
          </w:tcPr>
          <w:p w14:paraId="6A00B957" w14:textId="77777777" w:rsidR="00D62CA3" w:rsidRDefault="00D62CA3" w:rsidP="00016259">
            <w:pPr>
              <w:pStyle w:val="cTableBody"/>
              <w:spacing w:before="0"/>
            </w:pPr>
            <w:r>
              <w:t>31 industrial processing platforms</w:t>
            </w:r>
          </w:p>
        </w:tc>
        <w:tc>
          <w:tcPr>
            <w:tcW w:w="3336" w:type="dxa"/>
            <w:vAlign w:val="center"/>
          </w:tcPr>
          <w:p w14:paraId="38D31B38" w14:textId="77777777" w:rsidR="00D62CA3" w:rsidRDefault="00D62CA3" w:rsidP="00016259">
            <w:pPr>
              <w:pStyle w:val="cTableBody"/>
              <w:spacing w:before="0"/>
            </w:pPr>
            <w:r>
              <w:t>Major Chinese and international EPC/process firms; heat-pump, MVR, dryer, distillation, alumina, furnace and industrial-equipment OEMs; universities</w:t>
            </w:r>
          </w:p>
        </w:tc>
        <w:tc>
          <w:tcPr>
            <w:tcW w:w="3336" w:type="dxa"/>
            <w:vAlign w:val="center"/>
          </w:tcPr>
          <w:p w14:paraId="15C7FA4E" w14:textId="77777777" w:rsidR="00D62CA3" w:rsidRDefault="00D62CA3" w:rsidP="00016259">
            <w:pPr>
              <w:pStyle w:val="cTableBody"/>
              <w:spacing w:before="0"/>
            </w:pPr>
            <w:r>
              <w:t>FEED, detailed platform designs, pilots, factory packages, thermal integration and process optimization.</w:t>
            </w:r>
          </w:p>
        </w:tc>
      </w:tr>
      <w:tr w:rsidR="00D62CA3" w14:paraId="1186D119" w14:textId="77777777" w:rsidTr="00016259">
        <w:trPr>
          <w:jc w:val="center"/>
        </w:trPr>
        <w:tc>
          <w:tcPr>
            <w:tcW w:w="3336" w:type="dxa"/>
            <w:vAlign w:val="center"/>
          </w:tcPr>
          <w:p w14:paraId="55635D54" w14:textId="77777777" w:rsidR="00D62CA3" w:rsidRDefault="00D62CA3" w:rsidP="00016259">
            <w:pPr>
              <w:pStyle w:val="cTableBody"/>
              <w:spacing w:before="0"/>
            </w:pPr>
            <w:r>
              <w:t>Hydrogen and ammonia</w:t>
            </w:r>
          </w:p>
        </w:tc>
        <w:tc>
          <w:tcPr>
            <w:tcW w:w="3336" w:type="dxa"/>
            <w:vAlign w:val="center"/>
          </w:tcPr>
          <w:p w14:paraId="6000426B" w14:textId="77777777" w:rsidR="00D62CA3" w:rsidRDefault="00D62CA3" w:rsidP="00016259">
            <w:pPr>
              <w:pStyle w:val="cTableBody"/>
              <w:spacing w:before="0"/>
            </w:pPr>
            <w:r>
              <w:t>SOEC/HTSE developers; Topsoe; KBR; Casale; thyssenkrupp Uhde/nucera; Air Liquide; Linde; compressor/refrigeration/storage suppliers</w:t>
            </w:r>
          </w:p>
        </w:tc>
        <w:tc>
          <w:tcPr>
            <w:tcW w:w="3336" w:type="dxa"/>
            <w:vAlign w:val="center"/>
          </w:tcPr>
          <w:p w14:paraId="0500FA16" w14:textId="77777777" w:rsidR="00D62CA3" w:rsidRDefault="00D62CA3" w:rsidP="00016259">
            <w:pPr>
              <w:pStyle w:val="cTableBody"/>
              <w:spacing w:before="0"/>
            </w:pPr>
            <w:r>
              <w:t>Electrolysis, nitrogen, synthesis, heat recovery, storage/loading and integrated ammonia pilot.</w:t>
            </w:r>
          </w:p>
        </w:tc>
      </w:tr>
      <w:tr w:rsidR="00D62CA3" w14:paraId="378864D3" w14:textId="77777777" w:rsidTr="00016259">
        <w:trPr>
          <w:jc w:val="center"/>
        </w:trPr>
        <w:tc>
          <w:tcPr>
            <w:tcW w:w="3336" w:type="dxa"/>
            <w:vAlign w:val="center"/>
          </w:tcPr>
          <w:p w14:paraId="7C105AE9" w14:textId="77777777" w:rsidR="00D62CA3" w:rsidRDefault="00D62CA3" w:rsidP="00016259">
            <w:pPr>
              <w:pStyle w:val="cTableBody"/>
              <w:spacing w:before="0"/>
            </w:pPr>
            <w:r>
              <w:t>Marine ammonia fuel cells</w:t>
            </w:r>
          </w:p>
        </w:tc>
        <w:tc>
          <w:tcPr>
            <w:tcW w:w="3336" w:type="dxa"/>
            <w:vAlign w:val="center"/>
          </w:tcPr>
          <w:p w14:paraId="1A7C8AA4" w14:textId="77777777" w:rsidR="00D62CA3" w:rsidRDefault="00D62CA3" w:rsidP="00016259">
            <w:pPr>
              <w:pStyle w:val="cTableBody"/>
              <w:spacing w:before="0"/>
            </w:pPr>
            <w:r>
              <w:t>SOFC/PCFC developers; marine electrical integrators; major shipyards; propulsion motor/inverter suppliers; catalyst/cracker firms</w:t>
            </w:r>
          </w:p>
        </w:tc>
        <w:tc>
          <w:tcPr>
            <w:tcW w:w="3336" w:type="dxa"/>
            <w:vAlign w:val="center"/>
          </w:tcPr>
          <w:p w14:paraId="36DF81EE" w14:textId="77777777" w:rsidR="00D62CA3" w:rsidRDefault="00D62CA3" w:rsidP="00016259">
            <w:pPr>
              <w:pStyle w:val="cTableBody"/>
              <w:spacing w:before="0"/>
            </w:pPr>
            <w:r>
              <w:t>Direct/partial-cracking SOFC and PCFC prototypes, heat recovery, electric propulsion and durability.</w:t>
            </w:r>
          </w:p>
        </w:tc>
      </w:tr>
      <w:tr w:rsidR="00D62CA3" w14:paraId="157943FB" w14:textId="77777777" w:rsidTr="00016259">
        <w:trPr>
          <w:jc w:val="center"/>
        </w:trPr>
        <w:tc>
          <w:tcPr>
            <w:tcW w:w="3336" w:type="dxa"/>
            <w:vAlign w:val="center"/>
          </w:tcPr>
          <w:p w14:paraId="0690B292" w14:textId="77777777" w:rsidR="00D62CA3" w:rsidRDefault="00D62CA3" w:rsidP="00016259">
            <w:pPr>
              <w:pStyle w:val="cTableBody"/>
              <w:spacing w:before="0"/>
            </w:pPr>
            <w:r>
              <w:t>Marine classification and safety</w:t>
            </w:r>
          </w:p>
        </w:tc>
        <w:tc>
          <w:tcPr>
            <w:tcW w:w="3336" w:type="dxa"/>
            <w:vAlign w:val="center"/>
          </w:tcPr>
          <w:p w14:paraId="781F3C30" w14:textId="77777777" w:rsidR="00D62CA3" w:rsidRDefault="00D62CA3" w:rsidP="00016259">
            <w:pPr>
              <w:pStyle w:val="cTableBody"/>
              <w:spacing w:before="0"/>
            </w:pPr>
            <w:r>
              <w:t>DNV; ABS; Lloyd’s Register; Bureau Veritas; marine warranty surveyors</w:t>
            </w:r>
          </w:p>
        </w:tc>
        <w:tc>
          <w:tcPr>
            <w:tcW w:w="3336" w:type="dxa"/>
            <w:vAlign w:val="center"/>
          </w:tcPr>
          <w:p w14:paraId="615503A2" w14:textId="77777777" w:rsidR="00D62CA3" w:rsidRDefault="00D62CA3" w:rsidP="00016259">
            <w:pPr>
              <w:pStyle w:val="cTableBody"/>
              <w:spacing w:before="0"/>
            </w:pPr>
            <w:r>
              <w:t>Safety cases, class interpretation, ammonia handling, fuel-cell installation, test witnessing.</w:t>
            </w:r>
          </w:p>
        </w:tc>
      </w:tr>
      <w:tr w:rsidR="00D62CA3" w14:paraId="135CF5B8" w14:textId="77777777" w:rsidTr="00016259">
        <w:trPr>
          <w:jc w:val="center"/>
        </w:trPr>
        <w:tc>
          <w:tcPr>
            <w:tcW w:w="3336" w:type="dxa"/>
            <w:vAlign w:val="center"/>
          </w:tcPr>
          <w:p w14:paraId="6831BDC3" w14:textId="77777777" w:rsidR="00D62CA3" w:rsidRDefault="00D62CA3" w:rsidP="00016259">
            <w:pPr>
              <w:pStyle w:val="cTableBody"/>
              <w:spacing w:before="0"/>
            </w:pPr>
            <w:r>
              <w:t>Heavy transport and giant modules</w:t>
            </w:r>
          </w:p>
        </w:tc>
        <w:tc>
          <w:tcPr>
            <w:tcW w:w="3336" w:type="dxa"/>
            <w:vAlign w:val="center"/>
          </w:tcPr>
          <w:p w14:paraId="5749C9EA" w14:textId="77777777" w:rsidR="00D62CA3" w:rsidRDefault="00D62CA3" w:rsidP="00016259">
            <w:pPr>
              <w:pStyle w:val="cTableBody"/>
              <w:spacing w:before="0"/>
            </w:pPr>
            <w:r>
              <w:t>Mammoet; Sarens; Goldhofer; TII Scheuerle; rail/gantry/heavy-civil contractors; shipyards</w:t>
            </w:r>
          </w:p>
        </w:tc>
        <w:tc>
          <w:tcPr>
            <w:tcW w:w="3336" w:type="dxa"/>
            <w:vAlign w:val="center"/>
          </w:tcPr>
          <w:p w14:paraId="44D3FB50" w14:textId="77777777" w:rsidR="00D62CA3" w:rsidRDefault="00D62CA3" w:rsidP="00016259">
            <w:pPr>
              <w:pStyle w:val="cTableBody"/>
              <w:spacing w:before="0"/>
            </w:pPr>
            <w:r>
              <w:t>Rigid truss, synchronized carriers, double rail, jacking, gantries, ship/shore transfer.</w:t>
            </w:r>
          </w:p>
        </w:tc>
      </w:tr>
      <w:tr w:rsidR="00D62CA3" w14:paraId="1D533975" w14:textId="77777777" w:rsidTr="00016259">
        <w:trPr>
          <w:jc w:val="center"/>
        </w:trPr>
        <w:tc>
          <w:tcPr>
            <w:tcW w:w="3336" w:type="dxa"/>
            <w:vAlign w:val="center"/>
          </w:tcPr>
          <w:p w14:paraId="704B5C86" w14:textId="77777777" w:rsidR="00D62CA3" w:rsidRDefault="00D62CA3" w:rsidP="00016259">
            <w:pPr>
              <w:pStyle w:val="cTableBody"/>
              <w:spacing w:before="0"/>
            </w:pPr>
            <w:r>
              <w:t>Material handling and waterfront</w:t>
            </w:r>
          </w:p>
        </w:tc>
        <w:tc>
          <w:tcPr>
            <w:tcW w:w="3336" w:type="dxa"/>
            <w:vAlign w:val="center"/>
          </w:tcPr>
          <w:p w14:paraId="162961DD" w14:textId="77777777" w:rsidR="00D62CA3" w:rsidRDefault="00D62CA3" w:rsidP="00016259">
            <w:pPr>
              <w:pStyle w:val="cTableBody"/>
              <w:spacing w:before="0"/>
            </w:pPr>
            <w:r>
              <w:t>Port engineering firms; conveyor/unloader manufacturers; pump/compressor firms; tank/terminal EPCs</w:t>
            </w:r>
          </w:p>
        </w:tc>
        <w:tc>
          <w:tcPr>
            <w:tcW w:w="3336" w:type="dxa"/>
            <w:vAlign w:val="center"/>
          </w:tcPr>
          <w:p w14:paraId="4C9C2564" w14:textId="77777777" w:rsidR="00D62CA3" w:rsidRDefault="00D62CA3" w:rsidP="00016259">
            <w:pPr>
              <w:pStyle w:val="cTableBody"/>
              <w:spacing w:before="0"/>
            </w:pPr>
            <w:r>
              <w:t>Tunnels, manifolds, conveyors, transfer towers, ship loaders/unloaders, storage and distribution spine.</w:t>
            </w:r>
          </w:p>
        </w:tc>
      </w:tr>
      <w:tr w:rsidR="00D62CA3" w14:paraId="58D9C15A" w14:textId="77777777" w:rsidTr="00016259">
        <w:trPr>
          <w:jc w:val="center"/>
        </w:trPr>
        <w:tc>
          <w:tcPr>
            <w:tcW w:w="3336" w:type="dxa"/>
            <w:vAlign w:val="center"/>
          </w:tcPr>
          <w:p w14:paraId="1CD005F6" w14:textId="77777777" w:rsidR="00D62CA3" w:rsidRDefault="00D62CA3" w:rsidP="00016259">
            <w:pPr>
              <w:pStyle w:val="cTableBody"/>
              <w:spacing w:before="0"/>
            </w:pPr>
            <w:r>
              <w:t>Electrified rail and high-power machine power</w:t>
            </w:r>
          </w:p>
        </w:tc>
        <w:tc>
          <w:tcPr>
            <w:tcW w:w="3336" w:type="dxa"/>
            <w:vAlign w:val="center"/>
          </w:tcPr>
          <w:p w14:paraId="73817AA4" w14:textId="77777777" w:rsidR="00D62CA3" w:rsidRDefault="00D62CA3" w:rsidP="00016259">
            <w:pPr>
              <w:pStyle w:val="cTableBody"/>
              <w:spacing w:before="0"/>
            </w:pPr>
            <w:r>
              <w:t>Siemens, ABB, Schneider Electric, Hitachi Energy and Chinese switchgear/rail-electrification suppliers; IEC/rail labs</w:t>
            </w:r>
          </w:p>
        </w:tc>
        <w:tc>
          <w:tcPr>
            <w:tcW w:w="3336" w:type="dxa"/>
            <w:vAlign w:val="center"/>
          </w:tcPr>
          <w:p w14:paraId="494AE255" w14:textId="77777777" w:rsidR="00D62CA3" w:rsidRDefault="00D62CA3" w:rsidP="00016259">
            <w:pPr>
              <w:pStyle w:val="cTableBody"/>
              <w:spacing w:before="0"/>
            </w:pPr>
            <w:r>
              <w:t>Enclosed conductors, LV/MV switchgear, collectors, grounding, segmentation, regenerative operation and safety.</w:t>
            </w:r>
          </w:p>
        </w:tc>
      </w:tr>
      <w:tr w:rsidR="00D62CA3" w14:paraId="32A260D6" w14:textId="77777777" w:rsidTr="00016259">
        <w:trPr>
          <w:jc w:val="center"/>
        </w:trPr>
        <w:tc>
          <w:tcPr>
            <w:tcW w:w="3336" w:type="dxa"/>
            <w:vAlign w:val="center"/>
          </w:tcPr>
          <w:p w14:paraId="34DB77CE" w14:textId="77777777" w:rsidR="00D62CA3" w:rsidRDefault="00D62CA3" w:rsidP="00016259">
            <w:pPr>
              <w:pStyle w:val="cTableBody"/>
              <w:spacing w:before="0"/>
            </w:pPr>
            <w:r>
              <w:t>Thermal-storage tank automation</w:t>
            </w:r>
          </w:p>
        </w:tc>
        <w:tc>
          <w:tcPr>
            <w:tcW w:w="3336" w:type="dxa"/>
            <w:vAlign w:val="center"/>
          </w:tcPr>
          <w:p w14:paraId="628FF911" w14:textId="77777777" w:rsidR="00D62CA3" w:rsidRDefault="00D62CA3" w:rsidP="00016259">
            <w:pPr>
              <w:pStyle w:val="cTableBody"/>
              <w:spacing w:before="0"/>
            </w:pPr>
            <w:r>
              <w:t>Large tank EPCs; welding/NDE robotics suppliers; jack/lift manufacturers; ASME/API specialists</w:t>
            </w:r>
          </w:p>
        </w:tc>
        <w:tc>
          <w:tcPr>
            <w:tcW w:w="3336" w:type="dxa"/>
            <w:vAlign w:val="center"/>
          </w:tcPr>
          <w:p w14:paraId="4852FC35" w14:textId="77777777" w:rsidR="00D62CA3" w:rsidRDefault="00D62CA3" w:rsidP="00016259">
            <w:pPr>
              <w:pStyle w:val="cTableBody"/>
              <w:spacing w:before="0"/>
            </w:pPr>
            <w:r>
              <w:t>Tank jacking, automated welding/NDE, panel handling, foundation/floor/roof/insulation systems.</w:t>
            </w:r>
          </w:p>
        </w:tc>
      </w:tr>
      <w:tr w:rsidR="00D62CA3" w14:paraId="54956F43" w14:textId="77777777" w:rsidTr="00016259">
        <w:trPr>
          <w:jc w:val="center"/>
        </w:trPr>
        <w:tc>
          <w:tcPr>
            <w:tcW w:w="3336" w:type="dxa"/>
            <w:vAlign w:val="center"/>
          </w:tcPr>
          <w:p w14:paraId="1A69B495" w14:textId="77777777" w:rsidR="00D62CA3" w:rsidRDefault="00D62CA3" w:rsidP="00016259">
            <w:pPr>
              <w:pStyle w:val="cTableBody"/>
              <w:spacing w:before="0"/>
            </w:pPr>
            <w:r>
              <w:t>Standards and interoperability</w:t>
            </w:r>
          </w:p>
        </w:tc>
        <w:tc>
          <w:tcPr>
            <w:tcW w:w="3336" w:type="dxa"/>
            <w:vAlign w:val="center"/>
          </w:tcPr>
          <w:p w14:paraId="64416C80" w14:textId="77777777" w:rsidR="00D62CA3" w:rsidRDefault="00D62CA3" w:rsidP="00016259">
            <w:pPr>
              <w:pStyle w:val="cTableBody"/>
              <w:spacing w:before="0"/>
            </w:pPr>
            <w:r>
              <w:t>ISO/IEC/ANSI/SAC/SAMR committees; ASME; IEEE; ISA; OPC Foundation; AISC; API; OCIMF</w:t>
            </w:r>
          </w:p>
        </w:tc>
        <w:tc>
          <w:tcPr>
            <w:tcW w:w="3336" w:type="dxa"/>
            <w:vAlign w:val="center"/>
          </w:tcPr>
          <w:p w14:paraId="3CEC696E" w14:textId="77777777" w:rsidR="00D62CA3" w:rsidRDefault="00D62CA3" w:rsidP="00016259">
            <w:pPr>
              <w:pStyle w:val="cTableBody"/>
              <w:spacing w:before="0"/>
            </w:pPr>
            <w:r>
              <w:t>Interface standards, conformance tests, digital schemas, cyber/functional safety and publication.</w:t>
            </w:r>
          </w:p>
        </w:tc>
      </w:tr>
      <w:tr w:rsidR="00D62CA3" w14:paraId="4E247C3C" w14:textId="77777777" w:rsidTr="00016259">
        <w:trPr>
          <w:jc w:val="center"/>
        </w:trPr>
        <w:tc>
          <w:tcPr>
            <w:tcW w:w="3336" w:type="dxa"/>
            <w:vAlign w:val="center"/>
          </w:tcPr>
          <w:p w14:paraId="03DA3011" w14:textId="77777777" w:rsidR="00D62CA3" w:rsidRDefault="00D62CA3" w:rsidP="00016259">
            <w:pPr>
              <w:pStyle w:val="cTableBody"/>
              <w:spacing w:before="0"/>
            </w:pPr>
            <w:r>
              <w:t>Independent economics/testing</w:t>
            </w:r>
          </w:p>
        </w:tc>
        <w:tc>
          <w:tcPr>
            <w:tcW w:w="3336" w:type="dxa"/>
            <w:vAlign w:val="center"/>
          </w:tcPr>
          <w:p w14:paraId="64729DAB" w14:textId="77777777" w:rsidR="00D62CA3" w:rsidRDefault="00D62CA3" w:rsidP="00016259">
            <w:pPr>
              <w:pStyle w:val="cTableBody"/>
              <w:spacing w:before="0"/>
            </w:pPr>
            <w:r>
              <w:t>INL, NREL, NETL, Argonne, universities, independent cost engineers, materials labs and safety organizations</w:t>
            </w:r>
          </w:p>
        </w:tc>
        <w:tc>
          <w:tcPr>
            <w:tcW w:w="3336" w:type="dxa"/>
            <w:vAlign w:val="center"/>
          </w:tcPr>
          <w:p w14:paraId="1C178A61" w14:textId="77777777" w:rsidR="00D62CA3" w:rsidRDefault="00D62CA3" w:rsidP="00016259">
            <w:pPr>
              <w:pStyle w:val="cTableBody"/>
              <w:spacing w:before="0"/>
            </w:pPr>
            <w:r>
              <w:t>Replicate performance, corrosion/degradation, cost, lifecycle and safety results; report directly to owner.</w:t>
            </w:r>
          </w:p>
        </w:tc>
      </w:tr>
    </w:tbl>
    <w:p w14:paraId="68BEF132" w14:textId="77777777" w:rsidR="008F2011" w:rsidRDefault="00994197">
      <w:pPr>
        <w:pStyle w:val="cSubject"/>
        <w:spacing w:before="280" w:after="280"/>
      </w:pPr>
      <w:r>
        <w:t>Managing organization versus recipient</w:t>
      </w:r>
    </w:p>
    <w:p w14:paraId="0037FE7C" w14:textId="5274CF89" w:rsidR="008F2011" w:rsidRDefault="00994197">
      <w:r>
        <w:t xml:space="preserve">Managing Organization self-award, related-party, competition, pricing, conflict, audit, and recipient-transition rules </w:t>
      </w:r>
      <w:r w:rsidR="00485EB2">
        <w:t xml:space="preserve">are specified in the </w:t>
      </w:r>
      <w:hyperlink r:id="rId45" w:anchor="framework" w:history="1">
        <w:r w:rsidR="00485EB2">
          <w:rPr>
            <w:rStyle w:val="bhyperlinkChar"/>
          </w:rPr>
          <w:t>Moonshot</w:t>
        </w:r>
        <w:r w:rsidR="00485EB2" w:rsidRPr="00D14B0C">
          <w:rPr>
            <w:rStyle w:val="bhyperlinkChar"/>
          </w:rPr>
          <w:t xml:space="preserve"> Common Framework</w:t>
        </w:r>
      </w:hyperlink>
      <w:r>
        <w:t>. For this initiative, ownership and affiliation among reactor/interface providers, process licensors, EPCs, equipment OEMs, ship and port firms, standards organizations, universities, test facilities, and Managing Organization entities must be visible so cost, interoperability, and technology comparisons remain credible.</w:t>
      </w:r>
    </w:p>
    <w:p w14:paraId="2F5B1006" w14:textId="77777777" w:rsidR="008F2011" w:rsidRDefault="00994197">
      <w:pPr>
        <w:pStyle w:val="Heading1"/>
        <w:spacing w:before="0" w:after="280"/>
      </w:pPr>
      <w:bookmarkStart w:id="83" w:name="_Toc238129776"/>
      <w:bookmarkStart w:id="84" w:name="_Toc238205563"/>
      <w:r>
        <w:t>Project Management</w:t>
      </w:r>
      <w:bookmarkEnd w:id="83"/>
      <w:bookmarkEnd w:id="84"/>
    </w:p>
    <w:p w14:paraId="53827C03" w14:textId="77777777" w:rsidR="008F2011" w:rsidRPr="006D7F87" w:rsidRDefault="00994197" w:rsidP="006D7F87">
      <w:pPr>
        <w:pStyle w:val="cUserPromptHeading"/>
      </w:pPr>
      <w:r>
        <w:t>Prompt to AI:</w:t>
      </w:r>
      <w:r w:rsidR="006D7F87">
        <w:t xml:space="preserve"> </w:t>
      </w:r>
      <w:r w:rsidRPr="006D7F87">
        <w:rPr>
          <w:rStyle w:val="UserPromptTextChar"/>
          <w:b w:val="0"/>
          <w:bCs w:val="0"/>
        </w:rPr>
        <w:t>What project-management provisions are specific to this nuclear-integrated industrial-processing initiative after incorporating the Climate Moonshot Portfolio Common Framework?</w:t>
      </w:r>
    </w:p>
    <w:p w14:paraId="4FDC6405" w14:textId="77777777" w:rsidR="008F2011" w:rsidRDefault="00994197">
      <w:pPr>
        <w:pStyle w:val="cSubject"/>
        <w:spacing w:before="280" w:after="280"/>
      </w:pPr>
      <w:r>
        <w:t>Response From AI:</w:t>
      </w:r>
    </w:p>
    <w:p w14:paraId="673D4642" w14:textId="2BF9D3EA" w:rsidR="008F2011" w:rsidRPr="006239E3" w:rsidRDefault="00994197" w:rsidP="006239E3">
      <w:r>
        <w:t xml:space="preserve">Portfolio-wide governance, Managing Organization selection, fiduciary controls, procurement, financial controls, reserve governance, independent review, audit, conflicts, open-source/data rights, shared-asset rules, and transition provisions </w:t>
      </w:r>
      <w:r w:rsidR="006239E3">
        <w:t xml:space="preserve">are specified in the </w:t>
      </w:r>
      <w:hyperlink r:id="rId46" w:anchor="framework" w:history="1">
        <w:r w:rsidR="006239E3">
          <w:rPr>
            <w:rStyle w:val="bhyperlinkChar"/>
          </w:rPr>
          <w:t>Moonshot</w:t>
        </w:r>
        <w:r w:rsidR="006239E3" w:rsidRPr="00D14B0C">
          <w:rPr>
            <w:rStyle w:val="bhyperlinkChar"/>
          </w:rPr>
          <w:t xml:space="preserve"> Common Framework</w:t>
        </w:r>
      </w:hyperlink>
      <w:r>
        <w:t>. This chapter states only the additional technical-management structure required by the industrial-processing program.</w:t>
      </w:r>
    </w:p>
    <w:tbl>
      <w:tblPr>
        <w:tblStyle w:val="gswTableStyle"/>
        <w:tblW w:w="10026" w:type="dxa"/>
        <w:tblLayout w:type="fixed"/>
        <w:tblLook w:val="04A0" w:firstRow="1" w:lastRow="0" w:firstColumn="1" w:lastColumn="0" w:noHBand="0" w:noVBand="1"/>
      </w:tblPr>
      <w:tblGrid>
        <w:gridCol w:w="2088"/>
        <w:gridCol w:w="4319"/>
        <w:gridCol w:w="3619"/>
      </w:tblGrid>
      <w:tr w:rsidR="003A5A50" w14:paraId="6084E38C" w14:textId="77777777" w:rsidTr="003A5A50">
        <w:trPr>
          <w:cnfStyle w:val="100000000000" w:firstRow="1" w:lastRow="0" w:firstColumn="0" w:lastColumn="0" w:oddVBand="0" w:evenVBand="0" w:oddHBand="0" w:evenHBand="0" w:firstRowFirstColumn="0" w:firstRowLastColumn="0" w:lastRowFirstColumn="0" w:lastRowLastColumn="0"/>
          <w:tblHeader/>
        </w:trPr>
        <w:tc>
          <w:tcPr>
            <w:tcW w:w="2088" w:type="dxa"/>
          </w:tcPr>
          <w:p w14:paraId="34BD2D9D" w14:textId="77777777" w:rsidR="008F2011" w:rsidRDefault="00994197">
            <w:pPr>
              <w:pStyle w:val="cTableHeader"/>
              <w:spacing w:before="0" w:after="0"/>
            </w:pPr>
            <w:r>
              <w:t>Entity</w:t>
            </w:r>
          </w:p>
        </w:tc>
        <w:tc>
          <w:tcPr>
            <w:tcW w:w="4319" w:type="dxa"/>
          </w:tcPr>
          <w:p w14:paraId="588BBF7E" w14:textId="77777777" w:rsidR="008F2011" w:rsidRDefault="00994197">
            <w:pPr>
              <w:pStyle w:val="cTableHeader"/>
              <w:spacing w:before="0" w:after="0"/>
            </w:pPr>
            <w:r>
              <w:t>Initiative-specific responsibility</w:t>
            </w:r>
          </w:p>
        </w:tc>
        <w:tc>
          <w:tcPr>
            <w:tcW w:w="3619" w:type="dxa"/>
          </w:tcPr>
          <w:p w14:paraId="043E2E5A" w14:textId="77777777" w:rsidR="008F2011" w:rsidRDefault="00994197">
            <w:pPr>
              <w:pStyle w:val="cTableHeader"/>
              <w:spacing w:before="0" w:after="0"/>
            </w:pPr>
            <w:r>
              <w:t>Program-specific limit / interface</w:t>
            </w:r>
          </w:p>
        </w:tc>
      </w:tr>
      <w:tr w:rsidR="003A5A50" w14:paraId="78F27AB4" w14:textId="77777777" w:rsidTr="003A5A50">
        <w:tc>
          <w:tcPr>
            <w:tcW w:w="2088" w:type="dxa"/>
          </w:tcPr>
          <w:p w14:paraId="651A5C2E" w14:textId="77777777" w:rsidR="008F2011" w:rsidRDefault="00994197">
            <w:pPr>
              <w:pStyle w:val="cTableBody"/>
              <w:spacing w:before="0" w:after="0"/>
            </w:pPr>
            <w:r>
              <w:t>Program Manager / PMO</w:t>
            </w:r>
          </w:p>
        </w:tc>
        <w:tc>
          <w:tcPr>
            <w:tcW w:w="4319" w:type="dxa"/>
          </w:tcPr>
          <w:p w14:paraId="3F4F473F" w14:textId="77777777" w:rsidR="008F2011" w:rsidRDefault="00994197">
            <w:pPr>
              <w:pStyle w:val="cTableBody"/>
              <w:spacing w:before="0" w:after="0"/>
            </w:pPr>
            <w:r>
              <w:t>Own one integrated five-year execution baseline across the 31-platform portfolio, eleven baseline work packages, shared infrastructure, and the non-nuclear prototype campus.</w:t>
            </w:r>
          </w:p>
        </w:tc>
        <w:tc>
          <w:tcPr>
            <w:tcW w:w="3619" w:type="dxa"/>
          </w:tcPr>
          <w:p w14:paraId="5F6D235C" w14:textId="77777777" w:rsidR="008F2011" w:rsidRDefault="00994197">
            <w:pPr>
              <w:pStyle w:val="cTableBody"/>
              <w:spacing w:before="0" w:after="0"/>
            </w:pPr>
            <w:r>
              <w:t>Uses the common-framework fiduciary and procurement controls; may not waive nuclear-interface boundaries, independent review, process-safety hold points, or reserved Funding Source decisions.</w:t>
            </w:r>
          </w:p>
        </w:tc>
      </w:tr>
      <w:tr w:rsidR="003A5A50" w14:paraId="36B3A510" w14:textId="77777777" w:rsidTr="003A5A50">
        <w:tc>
          <w:tcPr>
            <w:tcW w:w="2088" w:type="dxa"/>
          </w:tcPr>
          <w:p w14:paraId="095A3604" w14:textId="77777777" w:rsidR="008F2011" w:rsidRDefault="00994197">
            <w:pPr>
              <w:pStyle w:val="cTableBody"/>
              <w:spacing w:before="0" w:after="0"/>
            </w:pPr>
            <w:r>
              <w:t>Chief Engineer / Industrial Platform Design Authority</w:t>
            </w:r>
          </w:p>
        </w:tc>
        <w:tc>
          <w:tcPr>
            <w:tcW w:w="4319" w:type="dxa"/>
          </w:tcPr>
          <w:p w14:paraId="64D6FD36" w14:textId="77777777" w:rsidR="008F2011" w:rsidRDefault="00994197">
            <w:pPr>
              <w:pStyle w:val="cTableBody"/>
              <w:spacing w:before="0" w:after="0"/>
            </w:pPr>
            <w:r>
              <w:t>Own the 12 m × 96 m platform architecture, common dimensions and utility interfaces, heat-cascade logic, systems engineering, configuration control, verification strategy, and standards baseline.</w:t>
            </w:r>
          </w:p>
        </w:tc>
        <w:tc>
          <w:tcPr>
            <w:tcW w:w="3619" w:type="dxa"/>
          </w:tcPr>
          <w:p w14:paraId="26BCDE94" w14:textId="77777777" w:rsidR="008F2011" w:rsidRDefault="00994197">
            <w:pPr>
              <w:pStyle w:val="cTableBody"/>
              <w:spacing w:before="0" w:after="0"/>
            </w:pPr>
            <w:r>
              <w:t>May optimize industrial equipment and common interfaces but cannot alter controlled reactor safety functions or licensed nuclear systems.</w:t>
            </w:r>
          </w:p>
        </w:tc>
      </w:tr>
      <w:tr w:rsidR="003A5A50" w14:paraId="291E7F2D" w14:textId="77777777" w:rsidTr="003A5A50">
        <w:tc>
          <w:tcPr>
            <w:tcW w:w="2088" w:type="dxa"/>
          </w:tcPr>
          <w:p w14:paraId="24D033BA" w14:textId="77777777" w:rsidR="008F2011" w:rsidRDefault="00994197">
            <w:pPr>
              <w:pStyle w:val="cTableBody"/>
              <w:spacing w:before="0" w:after="0"/>
            </w:pPr>
            <w:r>
              <w:t>Nuclear / Industrial Heat Interface Authority</w:t>
            </w:r>
          </w:p>
        </w:tc>
        <w:tc>
          <w:tcPr>
            <w:tcW w:w="4319" w:type="dxa"/>
          </w:tcPr>
          <w:p w14:paraId="625D2309" w14:textId="77777777" w:rsidR="008F2011" w:rsidRDefault="00994197">
            <w:pPr>
              <w:pStyle w:val="cTableBody"/>
              <w:spacing w:before="0" w:after="0"/>
            </w:pPr>
            <w:r>
              <w:t>Own the PWR- and HTR-PM-side utility assumptions, isolation boundary, heat grades, metering, interface loads, and assumptions used for nuclear-to-industrial integration.</w:t>
            </w:r>
          </w:p>
        </w:tc>
        <w:tc>
          <w:tcPr>
            <w:tcW w:w="3619" w:type="dxa"/>
          </w:tcPr>
          <w:p w14:paraId="2A160084" w14:textId="77777777" w:rsidR="008F2011" w:rsidRDefault="00994197">
            <w:pPr>
              <w:pStyle w:val="cTableBody"/>
              <w:spacing w:before="0" w:after="0"/>
            </w:pPr>
            <w:r>
              <w:t>Reactor-side changes require the applicable nuclear design authority and regulator process; the five-year prototype program remains non-nuclear unless separately authorized.</w:t>
            </w:r>
          </w:p>
        </w:tc>
      </w:tr>
      <w:tr w:rsidR="003A5A50" w14:paraId="360A65F4" w14:textId="77777777" w:rsidTr="003A5A50">
        <w:tc>
          <w:tcPr>
            <w:tcW w:w="2088" w:type="dxa"/>
          </w:tcPr>
          <w:p w14:paraId="1201B62B" w14:textId="77777777" w:rsidR="008F2011" w:rsidRDefault="00994197">
            <w:pPr>
              <w:pStyle w:val="cTableBody"/>
              <w:spacing w:before="0" w:after="0"/>
            </w:pPr>
            <w:r>
              <w:t>Process Safety / Chemical Operations Authority</w:t>
            </w:r>
          </w:p>
        </w:tc>
        <w:tc>
          <w:tcPr>
            <w:tcW w:w="4319" w:type="dxa"/>
          </w:tcPr>
          <w:p w14:paraId="66B65AC6" w14:textId="77777777" w:rsidR="008F2011" w:rsidRDefault="00994197">
            <w:pPr>
              <w:pStyle w:val="cTableBody"/>
              <w:spacing w:before="0" w:after="0"/>
            </w:pPr>
            <w:r>
              <w:t>Own PHA/HAZOP, pressure relief, hazardous areas, hydrogen/ammonia inventories, fire protection, operating procedures, emergency response, and chemical test readiness.</w:t>
            </w:r>
          </w:p>
        </w:tc>
        <w:tc>
          <w:tcPr>
            <w:tcW w:w="3619" w:type="dxa"/>
          </w:tcPr>
          <w:p w14:paraId="7CC53EE2" w14:textId="77777777" w:rsidR="008F2011" w:rsidRDefault="00994197">
            <w:pPr>
              <w:pStyle w:val="cTableBody"/>
              <w:spacing w:before="0" w:after="0"/>
            </w:pPr>
            <w:r>
              <w:t>Has independent hold/stop authority for hazardous process operation and cannot be overruled solely for schedule or cost reasons.</w:t>
            </w:r>
          </w:p>
        </w:tc>
      </w:tr>
      <w:tr w:rsidR="003A5A50" w14:paraId="030A66B4" w14:textId="77777777" w:rsidTr="003A5A50">
        <w:tc>
          <w:tcPr>
            <w:tcW w:w="2088" w:type="dxa"/>
          </w:tcPr>
          <w:p w14:paraId="47F6133D" w14:textId="77777777" w:rsidR="008F2011" w:rsidRDefault="00994197">
            <w:pPr>
              <w:pStyle w:val="cTableBody"/>
              <w:spacing w:before="0" w:after="0"/>
            </w:pPr>
            <w:r>
              <w:t>Infrastructure / Marine / Heavy-Logistics Leads</w:t>
            </w:r>
          </w:p>
        </w:tc>
        <w:tc>
          <w:tcPr>
            <w:tcW w:w="4319" w:type="dxa"/>
          </w:tcPr>
          <w:p w14:paraId="464CDD95" w14:textId="77777777" w:rsidR="008F2011" w:rsidRDefault="00994197">
            <w:pPr>
              <w:pStyle w:val="cTableBody"/>
              <w:spacing w:before="0" w:after="0"/>
            </w:pPr>
            <w:r>
              <w:t>Integrate tunnels, material handling, 12×96 m transport, waterfront transfer, electrified rail, thermal-storage-tank construction, and site choreography.</w:t>
            </w:r>
          </w:p>
        </w:tc>
        <w:tc>
          <w:tcPr>
            <w:tcW w:w="3619" w:type="dxa"/>
          </w:tcPr>
          <w:p w14:paraId="0DDD6F7A" w14:textId="77777777" w:rsidR="008F2011" w:rsidRDefault="00994197">
            <w:pPr>
              <w:pStyle w:val="cTableBody"/>
              <w:spacing w:before="0" w:after="0"/>
            </w:pPr>
            <w:r>
              <w:t>Must coordinate shared assets and interfaces with the nuclear-construction initiative and document when separate industrial equipment is actually justified.</w:t>
            </w:r>
          </w:p>
        </w:tc>
      </w:tr>
      <w:tr w:rsidR="003A5A50" w14:paraId="66D18E40" w14:textId="77777777" w:rsidTr="003A5A50">
        <w:tc>
          <w:tcPr>
            <w:tcW w:w="2088" w:type="dxa"/>
          </w:tcPr>
          <w:p w14:paraId="4112B087" w14:textId="77777777" w:rsidR="008F2011" w:rsidRDefault="00994197">
            <w:pPr>
              <w:pStyle w:val="cTableBody"/>
              <w:spacing w:before="0" w:after="0"/>
            </w:pPr>
            <w:r>
              <w:t>Independent Test / Standards / Techno-Economics Authorities</w:t>
            </w:r>
          </w:p>
        </w:tc>
        <w:tc>
          <w:tcPr>
            <w:tcW w:w="4319" w:type="dxa"/>
          </w:tcPr>
          <w:p w14:paraId="050AFA2C" w14:textId="77777777" w:rsidR="008F2011" w:rsidRDefault="00994197">
            <w:pPr>
              <w:pStyle w:val="cTableBody"/>
              <w:spacing w:before="0" w:after="0"/>
            </w:pPr>
            <w:r>
              <w:t>Witness or independently reconstruct performance, durability, corrosion, emissions, interoperability, transport, safety, cost, and climate-benefit evidence.</w:t>
            </w:r>
          </w:p>
        </w:tc>
        <w:tc>
          <w:tcPr>
            <w:tcW w:w="3619" w:type="dxa"/>
          </w:tcPr>
          <w:p w14:paraId="112C2D46" w14:textId="77777777" w:rsidR="008F2011" w:rsidRDefault="00994197">
            <w:pPr>
              <w:pStyle w:val="cTableBody"/>
              <w:spacing w:before="0" w:after="0"/>
            </w:pPr>
            <w:r>
              <w:t>Must remain institutionally separate from the performer whose claim is accepted and retain direct access to raw/source evidence.</w:t>
            </w:r>
          </w:p>
        </w:tc>
      </w:tr>
      <w:tr w:rsidR="003A5A50" w14:paraId="51530881" w14:textId="77777777" w:rsidTr="003A5A50">
        <w:tc>
          <w:tcPr>
            <w:tcW w:w="2088" w:type="dxa"/>
          </w:tcPr>
          <w:p w14:paraId="104B1375" w14:textId="77777777" w:rsidR="008F2011" w:rsidRDefault="00994197">
            <w:pPr>
              <w:pStyle w:val="cTableBody"/>
              <w:spacing w:before="0" w:after="0"/>
            </w:pPr>
            <w:r>
              <w:t>Prototype Campus / Phase II Transition Leads</w:t>
            </w:r>
          </w:p>
        </w:tc>
        <w:tc>
          <w:tcPr>
            <w:tcW w:w="4319" w:type="dxa"/>
          </w:tcPr>
          <w:p w14:paraId="2B3619B1" w14:textId="77777777" w:rsidR="008F2011" w:rsidRDefault="00994197">
            <w:pPr>
              <w:pStyle w:val="cTableBody"/>
              <w:spacing w:before="0" w:after="0"/>
            </w:pPr>
            <w:r>
              <w:t>Run the non-nuclear PWR-like and HTR-like heat loops, integrated campaigns, maintenance and endurance testing, and prepare platform-family transition packages.</w:t>
            </w:r>
          </w:p>
        </w:tc>
        <w:tc>
          <w:tcPr>
            <w:tcW w:w="3619" w:type="dxa"/>
          </w:tcPr>
          <w:p w14:paraId="558458E4" w14:textId="77777777" w:rsidR="008F2011" w:rsidRDefault="00994197">
            <w:pPr>
              <w:pStyle w:val="cTableBody"/>
              <w:spacing w:before="0" w:after="0"/>
            </w:pPr>
            <w:r>
              <w:t>Phase II, a nuclear-connected demonstration, commercial chemical production, or ship deployment is separately authorized; evidence may justify scaling some platform families and stopping others.</w:t>
            </w:r>
          </w:p>
        </w:tc>
      </w:tr>
    </w:tbl>
    <w:p w14:paraId="797A295B" w14:textId="77777777" w:rsidR="008F2011" w:rsidRDefault="00994197">
      <w:pPr>
        <w:pStyle w:val="cSubject"/>
        <w:spacing w:before="280" w:after="280"/>
      </w:pPr>
      <w:r>
        <w:t>Initiative-specific management requirements</w:t>
      </w:r>
    </w:p>
    <w:p w14:paraId="5E9188DC" w14:textId="77777777" w:rsidR="008F2011" w:rsidRPr="006D7F87" w:rsidRDefault="00994197" w:rsidP="004A4C23">
      <w:pPr>
        <w:pStyle w:val="blist-bullets"/>
      </w:pPr>
      <w:r w:rsidRPr="006D7F87">
        <w:t>The Managing Organization must be capable of large industrial R&amp;D procurement and integration spanning process equipment, hydrogen/ammonia, marine systems, heavy logistics, standards, long-duration testing, and China/international supply chains.</w:t>
      </w:r>
    </w:p>
    <w:p w14:paraId="103C430E" w14:textId="77777777" w:rsidR="008F2011" w:rsidRPr="006D7F87" w:rsidRDefault="00994197" w:rsidP="004A4C23">
      <w:pPr>
        <w:pStyle w:val="blist-bullets"/>
      </w:pPr>
      <w:r w:rsidRPr="006D7F87">
        <w:t>Maintain one controlled 31-platform reference architecture and interface-control baseline covering module dimensions, heat, piping, electricity, rail, controls/data, metrology, storage, waterfront transfer, and safety boundaries.</w:t>
      </w:r>
    </w:p>
    <w:p w14:paraId="72E52F79" w14:textId="77777777" w:rsidR="008F2011" w:rsidRPr="006D7F87" w:rsidRDefault="00994197" w:rsidP="004A4C23">
      <w:pPr>
        <w:pStyle w:val="blist-bullets"/>
      </w:pPr>
      <w:r w:rsidRPr="006D7F87">
        <w:t>Independent acceptance is required for high-temperature/pressure loops, ammonia and fuel-cell endurance, corrosion/materials evidence, giant-module handling, electrified-rail high-power tests, tank welding/NDE, multi-vendor interoperability, and bottom-up cost/emissions models.</w:t>
      </w:r>
    </w:p>
    <w:p w14:paraId="5D5B286C" w14:textId="77777777" w:rsidR="008F2011" w:rsidRPr="006D7F87" w:rsidRDefault="00994197" w:rsidP="004A4C23">
      <w:pPr>
        <w:pStyle w:val="blist-bullets"/>
      </w:pPr>
      <w:r w:rsidRPr="006D7F87">
        <w:t>Use the common framework's one-funded-asset rule for equipment shared with the Nuclear Power Automated Site-Construction initiative; a joint interface/change board should control shared geometry, loads, digital identifiers, and test requirements.</w:t>
      </w:r>
    </w:p>
    <w:p w14:paraId="0D2A8DA1" w14:textId="77777777" w:rsidR="008F2011" w:rsidRPr="004A4C23" w:rsidRDefault="00994197" w:rsidP="004A4C23">
      <w:pPr>
        <w:pStyle w:val="blist-bullets"/>
      </w:pPr>
      <w:r w:rsidRPr="006D7F87">
        <w:t>By Year 4-5, maintain separate Phase II packages for the platform families and enabling systems that survive technical, safety, cost, durability, and market screening. Follow-on funding need not be distributed evenly across the original 31 designs.</w:t>
      </w:r>
    </w:p>
    <w:p w14:paraId="34881D86" w14:textId="77777777" w:rsidR="008F2011" w:rsidRDefault="00994197">
      <w:pPr>
        <w:pStyle w:val="Heading1"/>
        <w:spacing w:before="0" w:after="280"/>
      </w:pPr>
      <w:bookmarkStart w:id="85" w:name="_Toc238129777"/>
      <w:bookmarkStart w:id="86" w:name="_Toc238205564"/>
      <w:r>
        <w:t>Funding Source Requirements</w:t>
      </w:r>
      <w:bookmarkEnd w:id="85"/>
      <w:bookmarkEnd w:id="86"/>
    </w:p>
    <w:p w14:paraId="3E4028E5" w14:textId="77777777" w:rsidR="00B331BA" w:rsidRDefault="00B331BA" w:rsidP="00B331BA">
      <w:r>
        <w:t>We assume the F</w:t>
      </w:r>
      <w:r w:rsidRPr="00EE160D">
        <w:t xml:space="preserve">unding Source </w:t>
      </w:r>
      <w:r>
        <w:t>aims to</w:t>
      </w:r>
      <w:r w:rsidRPr="00EE160D">
        <w:t xml:space="preserve"> maximize climate benefit per dollar</w:t>
      </w:r>
      <w:r>
        <w:t xml:space="preserve"> spent, as opposed to maximize financial return on an investment. This is sometimes referred to as “climate money”, and it differs from the traditional investment portfolio. Sources of climate money include high-net-worth individuals, foundations, and governments. </w:t>
      </w:r>
    </w:p>
    <w:p w14:paraId="6FFF1BFE" w14:textId="5BA847C4" w:rsidR="00182712" w:rsidRPr="00843587" w:rsidRDefault="00994197" w:rsidP="00843587">
      <w:r>
        <w:t xml:space="preserve">The portfolio-wide Funding Source requirements </w:t>
      </w:r>
      <w:r w:rsidR="00843587">
        <w:t xml:space="preserve">are specified in the </w:t>
      </w:r>
      <w:hyperlink r:id="rId47" w:anchor="framework" w:history="1">
        <w:r w:rsidR="00843587">
          <w:rPr>
            <w:rStyle w:val="bhyperlinkChar"/>
          </w:rPr>
          <w:t>Moonshot</w:t>
        </w:r>
        <w:r w:rsidR="00843587" w:rsidRPr="00D14B0C">
          <w:rPr>
            <w:rStyle w:val="bhyperlinkChar"/>
          </w:rPr>
          <w:t xml:space="preserve"> Common Framework</w:t>
        </w:r>
      </w:hyperlink>
      <w:r>
        <w:t>. The additions below address the 31-platform industrial mission, dual-reactor planning assumptions, chemical and marine hazards, open interoperability, long-duration testing, and the shared-asset boundary with the nuclear-construction initiative.</w:t>
      </w:r>
    </w:p>
    <w:tbl>
      <w:tblPr>
        <w:tblStyle w:val="gswTableStyle"/>
        <w:tblW w:w="9936" w:type="dxa"/>
        <w:tblLayout w:type="fixed"/>
        <w:tblLook w:val="04A0" w:firstRow="1" w:lastRow="0" w:firstColumn="1" w:lastColumn="0" w:noHBand="0" w:noVBand="1"/>
      </w:tblPr>
      <w:tblGrid>
        <w:gridCol w:w="2519"/>
        <w:gridCol w:w="7417"/>
      </w:tblGrid>
      <w:tr w:rsidR="003A5A50" w14:paraId="35A274D4" w14:textId="77777777" w:rsidTr="003A5A50">
        <w:trPr>
          <w:cnfStyle w:val="100000000000" w:firstRow="1" w:lastRow="0" w:firstColumn="0" w:lastColumn="0" w:oddVBand="0" w:evenVBand="0" w:oddHBand="0" w:evenHBand="0" w:firstRowFirstColumn="0" w:firstRowLastColumn="0" w:lastRowFirstColumn="0" w:lastRowLastColumn="0"/>
        </w:trPr>
        <w:tc>
          <w:tcPr>
            <w:tcW w:w="2519" w:type="dxa"/>
          </w:tcPr>
          <w:p w14:paraId="28E1DE81" w14:textId="77777777" w:rsidR="008F2011" w:rsidRDefault="00994197">
            <w:pPr>
              <w:pStyle w:val="cTableHeader"/>
              <w:spacing w:before="0" w:after="0"/>
            </w:pPr>
            <w:r>
              <w:t>Requirement</w:t>
            </w:r>
          </w:p>
        </w:tc>
        <w:tc>
          <w:tcPr>
            <w:tcW w:w="7416" w:type="dxa"/>
          </w:tcPr>
          <w:p w14:paraId="7C21BED2" w14:textId="77777777" w:rsidR="008F2011" w:rsidRDefault="00994197">
            <w:pPr>
              <w:pStyle w:val="cTableHeader"/>
              <w:spacing w:before="0" w:after="0"/>
            </w:pPr>
            <w:r>
              <w:t>Initiative-specific addition to the common framework</w:t>
            </w:r>
          </w:p>
        </w:tc>
      </w:tr>
      <w:tr w:rsidR="003A5A50" w14:paraId="321E8DB0" w14:textId="77777777" w:rsidTr="003A5A50">
        <w:tc>
          <w:tcPr>
            <w:tcW w:w="2519" w:type="dxa"/>
          </w:tcPr>
          <w:p w14:paraId="3468AA47" w14:textId="77777777" w:rsidR="008F2011" w:rsidRDefault="00994197">
            <w:pPr>
              <w:pStyle w:val="cTableBody"/>
              <w:spacing w:before="0" w:after="0"/>
            </w:pPr>
            <w:r>
              <w:t>Industrial-processing mission</w:t>
            </w:r>
          </w:p>
        </w:tc>
        <w:tc>
          <w:tcPr>
            <w:tcW w:w="7416" w:type="dxa"/>
          </w:tcPr>
          <w:p w14:paraId="2E5947A7" w14:textId="77777777" w:rsidR="008F2011" w:rsidRDefault="00994197">
            <w:pPr>
              <w:pStyle w:val="cTableBody"/>
              <w:spacing w:before="0" w:after="0"/>
            </w:pPr>
            <w:r>
              <w:t>Spend only on the five-year R&amp;D mission for the 31 industrial-processing platform families and the supporting ammonia, marine, logistics, rail, thermal-storage, standards, and non-nuclear test infrastructure defined by this proposal.</w:t>
            </w:r>
          </w:p>
        </w:tc>
      </w:tr>
      <w:tr w:rsidR="003A5A50" w14:paraId="1A457471" w14:textId="77777777" w:rsidTr="003A5A50">
        <w:tc>
          <w:tcPr>
            <w:tcW w:w="2519" w:type="dxa"/>
          </w:tcPr>
          <w:p w14:paraId="592E5F5E" w14:textId="77777777" w:rsidR="008F2011" w:rsidRDefault="00994197">
            <w:pPr>
              <w:pStyle w:val="cTableBody"/>
              <w:spacing w:before="0" w:after="0"/>
            </w:pPr>
            <w:r>
              <w:t>Dual-reactor planning scenarios</w:t>
            </w:r>
          </w:p>
        </w:tc>
        <w:tc>
          <w:tcPr>
            <w:tcW w:w="7416" w:type="dxa"/>
          </w:tcPr>
          <w:p w14:paraId="630D8F75" w14:textId="77777777" w:rsidR="008F2011" w:rsidRDefault="00994197">
            <w:pPr>
              <w:pStyle w:val="cTableBody"/>
              <w:spacing w:before="0" w:after="0"/>
            </w:pPr>
            <w:r>
              <w:t>Treat Automated China PWR and HTR-PM electricity/heat values as explicit planning scenarios to be tested, not guaranteed commercial prices or authorization to build a reactor.</w:t>
            </w:r>
          </w:p>
        </w:tc>
      </w:tr>
      <w:tr w:rsidR="003A5A50" w14:paraId="5472AA77" w14:textId="77777777" w:rsidTr="003A5A50">
        <w:tc>
          <w:tcPr>
            <w:tcW w:w="2519" w:type="dxa"/>
          </w:tcPr>
          <w:p w14:paraId="7590CCF8" w14:textId="77777777" w:rsidR="008F2011" w:rsidRDefault="00994197">
            <w:pPr>
              <w:pStyle w:val="cTableBody"/>
              <w:spacing w:before="0" w:after="0"/>
            </w:pPr>
            <w:r>
              <w:t>Nuclear / industrial isolation</w:t>
            </w:r>
          </w:p>
        </w:tc>
        <w:tc>
          <w:tcPr>
            <w:tcW w:w="7416" w:type="dxa"/>
          </w:tcPr>
          <w:p w14:paraId="4F142F98" w14:textId="77777777" w:rsidR="008F2011" w:rsidRDefault="00994197">
            <w:pPr>
              <w:pStyle w:val="cTableBody"/>
              <w:spacing w:before="0" w:after="0"/>
            </w:pPr>
            <w:r>
              <w:t>Maintain a qualified isolation boundary so process, chemical, electrical, logistics, or platform faults cannot compromise reactor safety. Any nuclear-connected demonstration requires separate licensing and authorization.</w:t>
            </w:r>
          </w:p>
        </w:tc>
      </w:tr>
      <w:tr w:rsidR="003A5A50" w14:paraId="0F4B5DF1" w14:textId="77777777" w:rsidTr="003A5A50">
        <w:tc>
          <w:tcPr>
            <w:tcW w:w="2519" w:type="dxa"/>
          </w:tcPr>
          <w:p w14:paraId="4E0285AD" w14:textId="77777777" w:rsidR="008F2011" w:rsidRDefault="00994197">
            <w:pPr>
              <w:pStyle w:val="cTableBody"/>
              <w:spacing w:before="0" w:after="0"/>
            </w:pPr>
            <w:r>
              <w:t>Evidence-based platform down-selection</w:t>
            </w:r>
          </w:p>
        </w:tc>
        <w:tc>
          <w:tcPr>
            <w:tcW w:w="7416" w:type="dxa"/>
          </w:tcPr>
          <w:p w14:paraId="51CF0DA5" w14:textId="77777777" w:rsidR="008F2011" w:rsidRDefault="00994197">
            <w:pPr>
              <w:pStyle w:val="cTableBody"/>
              <w:spacing w:before="0" w:after="0"/>
            </w:pPr>
            <w:r>
              <w:t>Do not require all 31 platform families to receive equal prototype scale or follow-on funding. Increase spending only where measured efficiency, durability, safety, economics, and climate value justify it.</w:t>
            </w:r>
          </w:p>
        </w:tc>
      </w:tr>
      <w:tr w:rsidR="003A5A50" w14:paraId="12BDB9F1" w14:textId="77777777" w:rsidTr="003A5A50">
        <w:tc>
          <w:tcPr>
            <w:tcW w:w="2519" w:type="dxa"/>
          </w:tcPr>
          <w:p w14:paraId="595FA8B6" w14:textId="77777777" w:rsidR="008F2011" w:rsidRDefault="00994197">
            <w:pPr>
              <w:pStyle w:val="cTableBody"/>
              <w:spacing w:before="0" w:after="0"/>
            </w:pPr>
            <w:r>
              <w:t>Process and hazardous-energy safety</w:t>
            </w:r>
          </w:p>
        </w:tc>
        <w:tc>
          <w:tcPr>
            <w:tcW w:w="7416" w:type="dxa"/>
          </w:tcPr>
          <w:p w14:paraId="45D836DE" w14:textId="77777777" w:rsidR="008F2011" w:rsidRDefault="00994197">
            <w:pPr>
              <w:pStyle w:val="cTableBody"/>
              <w:spacing w:before="0" w:after="0"/>
            </w:pPr>
            <w:r>
              <w:t>Apply independent PHA/HAZOP, relief/containment, hazardous-area, fire/explosion, ammonia/hydrogen, pressure/high-temperature, emergency-response, worker-safety, and environmental controls appropriate to each test.</w:t>
            </w:r>
          </w:p>
        </w:tc>
      </w:tr>
      <w:tr w:rsidR="003A5A50" w14:paraId="3607EB26" w14:textId="77777777" w:rsidTr="003A5A50">
        <w:tc>
          <w:tcPr>
            <w:tcW w:w="2519" w:type="dxa"/>
          </w:tcPr>
          <w:p w14:paraId="13931D7B" w14:textId="77777777" w:rsidR="008F2011" w:rsidRDefault="00994197">
            <w:pPr>
              <w:pStyle w:val="cTableBody"/>
              <w:spacing w:before="0" w:after="0"/>
            </w:pPr>
            <w:r>
              <w:t>Marine ammonia and waterfront work</w:t>
            </w:r>
          </w:p>
        </w:tc>
        <w:tc>
          <w:tcPr>
            <w:tcW w:w="7416" w:type="dxa"/>
          </w:tcPr>
          <w:p w14:paraId="0DDEC3BD" w14:textId="77777777" w:rsidR="008F2011" w:rsidRDefault="00994197">
            <w:pPr>
              <w:pStyle w:val="cTableBody"/>
              <w:spacing w:before="0" w:after="0"/>
            </w:pPr>
            <w:r>
              <w:t>Use marine-class, bunkering, fuel-system, emissions, port, ship/shore-transfer, and warranty/safety review appropriate to the actual prototype; land-based success does not by itself establish ship readiness.</w:t>
            </w:r>
          </w:p>
        </w:tc>
      </w:tr>
      <w:tr w:rsidR="003A5A50" w14:paraId="59AF7B33" w14:textId="77777777" w:rsidTr="003A5A50">
        <w:tc>
          <w:tcPr>
            <w:tcW w:w="2519" w:type="dxa"/>
          </w:tcPr>
          <w:p w14:paraId="68D4E133" w14:textId="77777777" w:rsidR="008F2011" w:rsidRDefault="00994197">
            <w:pPr>
              <w:pStyle w:val="cTableBody"/>
              <w:spacing w:before="0" w:after="0"/>
            </w:pPr>
            <w:r>
              <w:t>Open standards / lawful process-IP exceptions</w:t>
            </w:r>
          </w:p>
        </w:tc>
        <w:tc>
          <w:tcPr>
            <w:tcW w:w="7416" w:type="dxa"/>
          </w:tcPr>
          <w:p w14:paraId="49D05DE8" w14:textId="77777777" w:rsidR="008F2011" w:rsidRDefault="00994197">
            <w:pPr>
              <w:pStyle w:val="cTableBody"/>
              <w:spacing w:before="0" w:after="0"/>
            </w:pPr>
            <w:r>
              <w:t>Keep sponsor-funded interface standards, conformance tools, digital schemas, and reference implementations open and multi-vendor. Identify process-licensor and other background-IP restrictions before award and narrow them to what is genuinely pre-existing.</w:t>
            </w:r>
          </w:p>
        </w:tc>
      </w:tr>
      <w:tr w:rsidR="003A5A50" w14:paraId="059B6D8D" w14:textId="77777777" w:rsidTr="003A5A50">
        <w:tc>
          <w:tcPr>
            <w:tcW w:w="2519" w:type="dxa"/>
          </w:tcPr>
          <w:p w14:paraId="3C163F46" w14:textId="77777777" w:rsidR="008F2011" w:rsidRDefault="00994197">
            <w:pPr>
              <w:pStyle w:val="cTableBody"/>
              <w:spacing w:before="0" w:after="0"/>
            </w:pPr>
            <w:r>
              <w:t>Shared assets / no double funding</w:t>
            </w:r>
          </w:p>
        </w:tc>
        <w:tc>
          <w:tcPr>
            <w:tcW w:w="7416" w:type="dxa"/>
          </w:tcPr>
          <w:p w14:paraId="3C8641E9" w14:textId="77777777" w:rsidR="008F2011" w:rsidRDefault="00994197">
            <w:pPr>
              <w:pStyle w:val="cTableBody"/>
              <w:spacing w:before="0" w:after="0"/>
            </w:pPr>
            <w:r>
              <w:t>Apply asset-level accounting to transporters, gantries, rail, digital systems, metrology, test facilities, and other capabilities shared with the nuclear-construction initiative; the second program pays only incremental requirements, adaptation, operating time, or consumables.</w:t>
            </w:r>
          </w:p>
        </w:tc>
      </w:tr>
      <w:tr w:rsidR="003A5A50" w14:paraId="129173AC" w14:textId="77777777" w:rsidTr="003A5A50">
        <w:tc>
          <w:tcPr>
            <w:tcW w:w="2519" w:type="dxa"/>
          </w:tcPr>
          <w:p w14:paraId="36C66EE6" w14:textId="77777777" w:rsidR="008F2011" w:rsidRDefault="00994197">
            <w:pPr>
              <w:pStyle w:val="cTableBody"/>
              <w:spacing w:before="0" w:after="0"/>
            </w:pPr>
            <w:r>
              <w:t>Long-duration and degradation evidence</w:t>
            </w:r>
          </w:p>
        </w:tc>
        <w:tc>
          <w:tcPr>
            <w:tcW w:w="7416" w:type="dxa"/>
          </w:tcPr>
          <w:p w14:paraId="75993BA1" w14:textId="77777777" w:rsidR="008F2011" w:rsidRDefault="00994197">
            <w:pPr>
              <w:pStyle w:val="cTableBody"/>
              <w:spacing w:before="0" w:after="0"/>
            </w:pPr>
            <w:r>
              <w:t xml:space="preserve">Require representative temperature, pressure, chemistry, duty cycle, corrosion, catalyst/stack aging, sealing, cycling, maintenance, and teardown evidence before </w:t>
            </w:r>
            <w:r>
              <w:t>scaling systems whose economics depend on long life.</w:t>
            </w:r>
          </w:p>
        </w:tc>
      </w:tr>
      <w:tr w:rsidR="003A5A50" w14:paraId="42F3901D" w14:textId="77777777" w:rsidTr="003A5A50">
        <w:tc>
          <w:tcPr>
            <w:tcW w:w="2519" w:type="dxa"/>
          </w:tcPr>
          <w:p w14:paraId="710F3B6A" w14:textId="77777777" w:rsidR="008F2011" w:rsidRDefault="00994197">
            <w:pPr>
              <w:pStyle w:val="cTableBody"/>
              <w:spacing w:before="0" w:after="0"/>
            </w:pPr>
            <w:r>
              <w:t>Transparent product economics</w:t>
            </w:r>
          </w:p>
        </w:tc>
        <w:tc>
          <w:tcPr>
            <w:tcW w:w="7416" w:type="dxa"/>
          </w:tcPr>
          <w:p w14:paraId="7067389B" w14:textId="77777777" w:rsidR="008F2011" w:rsidRDefault="00994197">
            <w:pPr>
              <w:pStyle w:val="cTableBody"/>
              <w:spacing w:before="0" w:after="0"/>
            </w:pPr>
            <w:r>
              <w:t>Publish consistent accounting boundaries for electricity, useful heat, water, hydrogen, ammonia, DAC, shipping energy, storage, logistics, capital, replacement, financing, emissions, and product delivery so nuclear and fossil comparisons can be independently reconstructed.</w:t>
            </w:r>
          </w:p>
        </w:tc>
      </w:tr>
      <w:tr w:rsidR="003A5A50" w14:paraId="5A1AD38F" w14:textId="77777777" w:rsidTr="003A5A50">
        <w:tc>
          <w:tcPr>
            <w:tcW w:w="2519" w:type="dxa"/>
          </w:tcPr>
          <w:p w14:paraId="14EC817A" w14:textId="77777777" w:rsidR="008F2011" w:rsidRDefault="00994197">
            <w:pPr>
              <w:pStyle w:val="cTableBody"/>
              <w:spacing w:before="0" w:after="0"/>
            </w:pPr>
            <w:r>
              <w:t>Separate Phase II authorization</w:t>
            </w:r>
          </w:p>
        </w:tc>
        <w:tc>
          <w:tcPr>
            <w:tcW w:w="7416" w:type="dxa"/>
          </w:tcPr>
          <w:p w14:paraId="502FF019" w14:textId="77777777" w:rsidR="008F2011" w:rsidRDefault="00994197">
            <w:pPr>
              <w:pStyle w:val="cTableBody"/>
              <w:spacing w:before="0" w:after="0"/>
            </w:pPr>
            <w:r>
              <w:t>Completion of the five-year R&amp;D program does not authorize commercial chemical production, a nuclear-connected industrial yard, a commercial ammonia ship fleet, or equal follow-on funding for every platform family.</w:t>
            </w:r>
          </w:p>
        </w:tc>
      </w:tr>
    </w:tbl>
    <w:p w14:paraId="5233050B" w14:textId="77777777" w:rsidR="008F2011" w:rsidRDefault="00994197">
      <w:pPr>
        <w:pStyle w:val="cSubject"/>
        <w:spacing w:before="280" w:after="280"/>
      </w:pPr>
      <w:r>
        <w:t>Program-specific record additions</w:t>
      </w:r>
    </w:p>
    <w:p w14:paraId="0A5546A6" w14:textId="77777777" w:rsidR="008F2011" w:rsidRPr="006D7F87" w:rsidRDefault="00994197" w:rsidP="004A4C23">
      <w:pPr>
        <w:pStyle w:val="blist-bullets"/>
      </w:pPr>
      <w:r w:rsidRPr="006D7F87">
        <w:t>Controlled 31-platform requirements, priority order, interface definitions, heat/electricity assumptions, conventional fossil baselines, and change history.</w:t>
      </w:r>
    </w:p>
    <w:p w14:paraId="04840502" w14:textId="77777777" w:rsidR="008F2011" w:rsidRPr="006D7F87" w:rsidRDefault="00994197" w:rsidP="004A4C23">
      <w:pPr>
        <w:pStyle w:val="blist-bullets"/>
      </w:pPr>
      <w:r w:rsidRPr="006D7F87">
        <w:t>As-built/as-run process, ammonia, fuel-cell, logistics, rail, tank, corrosion, and prototype-campus configurations; calibration; failures; nonconformances; maintenance; teardown findings; and corrective actions.</w:t>
      </w:r>
    </w:p>
    <w:p w14:paraId="57C0C1C4" w14:textId="77777777" w:rsidR="008F2011" w:rsidRPr="006D7F87" w:rsidRDefault="00994197" w:rsidP="004A4C23">
      <w:pPr>
        <w:pStyle w:val="blist-bullets"/>
      </w:pPr>
      <w:r w:rsidRPr="006D7F87">
        <w:t>An indexed record of nuclear-interface assumptions, process-safety analyses, marine/classification assumptions, environmental permits, cybersecurity controls, standards/conformance results, and any lawful controlled-data or background-IP restrictions that affect reuse.</w:t>
      </w:r>
    </w:p>
    <w:p w14:paraId="18D66435" w14:textId="77777777" w:rsidR="008F2011" w:rsidRPr="004A4C23" w:rsidRDefault="00994197" w:rsidP="004A4C23">
      <w:pPr>
        <w:pStyle w:val="blist-bullets"/>
      </w:pPr>
      <w:r w:rsidRPr="006D7F87">
        <w:t>Side-by-side estimates for delivered product cost and CO2 reduction across relevant PWR, HTR-PM, coal, natural-gas, and other incumbent cases, with consistent financing, capacity factor, product specification, infrastructure, and delivery boundaries.</w:t>
      </w:r>
    </w:p>
    <w:p w14:paraId="73CEFD39" w14:textId="77777777" w:rsidR="009C3A0E" w:rsidRDefault="00994197">
      <w:pPr>
        <w:pStyle w:val="Heading2"/>
        <w:spacing w:before="280"/>
      </w:pPr>
      <w:r>
        <w:t>Climate-benefit metric</w:t>
      </w:r>
    </w:p>
    <w:p w14:paraId="66D567D8" w14:textId="77777777" w:rsidR="009C3A0E" w:rsidRDefault="00994197">
      <w:pPr>
        <w:spacing w:before="280" w:after="280"/>
      </w:pPr>
      <w:r>
        <w:t>Do not claim climate benefit from prototype completion alone. Report the expected reduction in delivered cost and deployment time of low-carbon hydrogen or ammonia, multiplied by plausible deployment scale and adjusted for technical, licensing, financing, infrastructure, market, and adoption risk. Publish ranges and assumptions. Also report whether the platform system reduces or increases the number of unique site designs, construction labor, outage exposure, water use, hazardous inventories, and product-tr</w:t>
      </w:r>
      <w:r>
        <w:t>ansport distance.</w:t>
      </w:r>
    </w:p>
    <w:p w14:paraId="23FDB84A" w14:textId="77777777" w:rsidR="009C3A0E" w:rsidRDefault="00994197">
      <w:pPr>
        <w:pStyle w:val="Heading2"/>
        <w:spacing w:before="280"/>
      </w:pPr>
      <w:r>
        <w:t>Cost-model equations and bookkeeping</w:t>
      </w:r>
    </w:p>
    <w:p w14:paraId="5793BB29" w14:textId="77777777" w:rsidR="009C3A0E" w:rsidRPr="00D81064" w:rsidRDefault="00994197" w:rsidP="00D81064">
      <w:pPr>
        <w:pStyle w:val="blist-bullets"/>
      </w:pPr>
      <w:r w:rsidRPr="00D81064">
        <w:t>Hydrogen: levelized cost per kilogram equals annualized capital, fixed O&amp;M, variable O&amp;M, electricity, heat, water, stack replacement, compression, storage, transport, financing, and decommissioning, minus defensible co-product credits, divided by annual saleable hydrogen.</w:t>
      </w:r>
    </w:p>
    <w:p w14:paraId="597FEA49" w14:textId="77777777" w:rsidR="009C3A0E" w:rsidRPr="00D81064" w:rsidRDefault="00994197" w:rsidP="00D81064">
      <w:pPr>
        <w:pStyle w:val="blist-bullets"/>
      </w:pPr>
      <w:r w:rsidRPr="00D81064">
        <w:t>Ammonia: levelized cost per metric ton adds hydrogen, nitrogen, synthesis-loop, refrigeration, catalyst, storage, loading, losses, and financing. Stoichiometrically, one metric ton of ammonia contains about 176 kg of hydrogen and 824 kg of nitrogen before process losses.</w:t>
      </w:r>
    </w:p>
    <w:p w14:paraId="1B4BDCEC" w14:textId="77777777" w:rsidR="009C3A0E" w:rsidRPr="00D81064" w:rsidRDefault="00994197" w:rsidP="00D81064">
      <w:pPr>
        <w:pStyle w:val="blist-bullets"/>
      </w:pPr>
      <w:r w:rsidRPr="00D81064">
        <w:t>Water and oxygen: splitting water requires at least 9 kg of water per kg of hydrogen and produces 8 kg of oxygen per kg of hydrogen. Actual water use is higher because of purification, cooling, blowdown, and losses.</w:t>
      </w:r>
    </w:p>
    <w:p w14:paraId="4866FA83" w14:textId="77777777" w:rsidR="009C3A0E" w:rsidRPr="00D81064" w:rsidRDefault="00994197" w:rsidP="00D81064">
      <w:pPr>
        <w:pStyle w:val="blist-bullets"/>
      </w:pPr>
      <w:r w:rsidRPr="00D81064">
        <w:t>Comparisons must use the same financing year, currency, capacity factor, product pressure/purity, plant life, tax, infrastructure boundary, and delivery point.</w:t>
      </w:r>
    </w:p>
    <w:p w14:paraId="31A556F2" w14:textId="77777777" w:rsidR="0092789D" w:rsidRDefault="0092789D" w:rsidP="0092789D">
      <w:pPr>
        <w:pStyle w:val="Heading1"/>
        <w:spacing w:before="280" w:after="280"/>
      </w:pPr>
      <w:bookmarkStart w:id="87" w:name="_Toc238205565"/>
      <w:r>
        <w:t>Top Industrial Processing and Nuclear Integration References</w:t>
      </w:r>
      <w:bookmarkEnd w:id="87"/>
    </w:p>
    <w:p w14:paraId="2F055636" w14:textId="77777777" w:rsidR="0092789D" w:rsidRDefault="0092789D" w:rsidP="0092789D">
      <w:pPr>
        <w:pStyle w:val="cUserPromptText"/>
        <w:spacing w:before="280" w:after="280"/>
      </w:pPr>
      <w:r w:rsidRPr="00AB708B">
        <w:rPr>
          <w:rStyle w:val="UserPromptHeadingChar"/>
        </w:rPr>
        <w:t xml:space="preserve">Prompt to AI: </w:t>
      </w:r>
      <w:r>
        <w:t>Identify and summarize the papers, reports, standards, or major references most relevant to the fund. Explain why each matters and what it does not establish.</w:t>
      </w:r>
    </w:p>
    <w:p w14:paraId="7AC9165A" w14:textId="77777777" w:rsidR="0092789D" w:rsidRDefault="0092789D" w:rsidP="0092789D">
      <w:pPr>
        <w:spacing w:before="280" w:after="280"/>
      </w:pPr>
      <w:r>
        <w:rPr>
          <w:b/>
          <w:color w:val="4F81BD"/>
          <w:u w:val="single"/>
        </w:rPr>
        <w:t>Response From AI:</w:t>
      </w:r>
    </w:p>
    <w:p w14:paraId="0F6B7881" w14:textId="77777777" w:rsidR="0092789D" w:rsidRDefault="0092789D" w:rsidP="006D7F87">
      <w:pPr>
        <w:spacing w:before="280" w:after="280"/>
      </w:pPr>
      <w:r>
        <w:t>The list emphasizes references most useful for nuclear-integrated industrial processing: reactor/process-heat interfaces, heat pumps and electrification, hydrogen/ammonia, DAC, marine propulsion, heat exchangers, thermal storage, interoperability, and heavy modular transport. It is a program-design list rather than a citation-count ranking.</w:t>
      </w:r>
    </w:p>
    <w:p w14:paraId="28FA9F71" w14:textId="77777777" w:rsidR="00837698" w:rsidRDefault="00994197">
      <w:pPr>
        <w:pStyle w:val="Heading2"/>
      </w:pPr>
      <w:r>
        <w:t>Reactor and Nuclear Process-Heat Foundations</w:t>
      </w:r>
    </w:p>
    <w:p w14:paraId="31C37CD5" w14:textId="77777777" w:rsidR="0092789D" w:rsidRDefault="0092789D" w:rsidP="0092789D">
      <w:pPr>
        <w:pStyle w:val="cPaperTitle"/>
        <w:spacing w:before="280"/>
      </w:pPr>
      <w:r>
        <w:t>Zhang, “Design Aspects of the Chinese Modular High-Temperature Gas-Cooled Reactor HTR-PM,” 2006</w:t>
      </w:r>
    </w:p>
    <w:p w14:paraId="3398B57F" w14:textId="77777777" w:rsidR="0092789D" w:rsidRDefault="0092789D" w:rsidP="0092789D">
      <w:pPr>
        <w:spacing w:before="280" w:after="280"/>
        <w:ind w:left="360"/>
      </w:pPr>
      <w:r>
        <w:t>Establishes the design lineage, module arrangement, helium-cooled reactor concept, and safety philosophy relevant to defining the nuclear utility envelope.</w:t>
      </w:r>
    </w:p>
    <w:p w14:paraId="047792DF" w14:textId="77777777" w:rsidR="0092789D" w:rsidRDefault="0092789D" w:rsidP="0092789D">
      <w:pPr>
        <w:spacing w:before="280" w:after="280"/>
        <w:ind w:left="360"/>
      </w:pPr>
      <w:r>
        <w:t>Limitation: Orientation only; not a design-data license, process-heat interface standard, or commercial platform design.</w:t>
      </w:r>
    </w:p>
    <w:p w14:paraId="7A4A1E4B" w14:textId="77777777" w:rsidR="0092789D" w:rsidRDefault="0092789D" w:rsidP="0092789D">
      <w:pPr>
        <w:pStyle w:val="bhyperlink"/>
        <w:spacing w:after="280"/>
        <w:ind w:left="360"/>
      </w:pPr>
      <w:r>
        <w:rPr>
          <w:rStyle w:val="bhyperlinkChar"/>
        </w:rPr>
        <w:t>https://inis.iaea.org/</w:t>
      </w:r>
    </w:p>
    <w:p w14:paraId="087926AD" w14:textId="77777777" w:rsidR="0092789D" w:rsidRDefault="0092789D" w:rsidP="0092789D">
      <w:pPr>
        <w:pStyle w:val="cPaperTitle"/>
        <w:spacing w:before="280"/>
      </w:pPr>
      <w:r>
        <w:t>Zhang, “Current Status and Technical Description of Chinese 2 × 250 MWth HTR-PM Demonstration Plant,” 2009</w:t>
      </w:r>
    </w:p>
    <w:p w14:paraId="2ACD5F0A" w14:textId="77777777" w:rsidR="0092789D" w:rsidRDefault="0092789D" w:rsidP="0092789D">
      <w:pPr>
        <w:spacing w:before="280" w:after="280"/>
        <w:ind w:left="360"/>
      </w:pPr>
      <w:r>
        <w:t>Provides technical description of the HTR-PM demonstration plant and useful temperatures, power levels, systems, and module relationships for reference architecture.</w:t>
      </w:r>
    </w:p>
    <w:p w14:paraId="23C3D235" w14:textId="77777777" w:rsidR="0092789D" w:rsidRDefault="0092789D" w:rsidP="0092789D">
      <w:pPr>
        <w:spacing w:before="280" w:after="280"/>
        <w:ind w:left="360"/>
      </w:pPr>
      <w:r>
        <w:t>Limitation: Published information cannot replace controlled vendor drawings, operating limits, or regulator-approved interface data.</w:t>
      </w:r>
    </w:p>
    <w:p w14:paraId="2A641159" w14:textId="77777777" w:rsidR="0092789D" w:rsidRDefault="0092789D" w:rsidP="0092789D">
      <w:pPr>
        <w:pStyle w:val="bhyperlink"/>
        <w:spacing w:after="280"/>
        <w:ind w:left="360"/>
      </w:pPr>
      <w:r>
        <w:rPr>
          <w:rStyle w:val="bhyperlinkChar"/>
        </w:rPr>
        <w:t>https://inis.iaea.org/</w:t>
      </w:r>
    </w:p>
    <w:p w14:paraId="5BFA51DB" w14:textId="77777777" w:rsidR="0092789D" w:rsidRDefault="0092789D" w:rsidP="0092789D">
      <w:pPr>
        <w:pStyle w:val="cPaperTitle"/>
        <w:spacing w:before="280"/>
      </w:pPr>
      <w:r>
        <w:t>Zhang, “The Shidao Bay 200 MWe HTR-PM Demonstration Power Plant: An Engineering and Technological Innovation,” 2016</w:t>
      </w:r>
    </w:p>
    <w:p w14:paraId="2D232630" w14:textId="77777777" w:rsidR="0092789D" w:rsidRDefault="0092789D" w:rsidP="0092789D">
      <w:pPr>
        <w:spacing w:before="280" w:after="280"/>
        <w:ind w:left="360"/>
      </w:pPr>
      <w:r>
        <w:t>Explains the realized plant and helps separate proven reactor features from proposed industrial-platform additions.</w:t>
      </w:r>
    </w:p>
    <w:p w14:paraId="387CBAEE" w14:textId="77777777" w:rsidR="0092789D" w:rsidRDefault="0092789D" w:rsidP="0092789D">
      <w:pPr>
        <w:spacing w:before="280" w:after="280"/>
        <w:ind w:left="360"/>
      </w:pPr>
      <w:r>
        <w:t>Limitation: Does not establish cost or licensing of a replicated plant outside China.</w:t>
      </w:r>
    </w:p>
    <w:p w14:paraId="241C1ED8" w14:textId="77777777" w:rsidR="0092789D" w:rsidRDefault="0092789D" w:rsidP="0092789D">
      <w:pPr>
        <w:pStyle w:val="bhyperlink"/>
        <w:spacing w:after="280"/>
        <w:ind w:left="360"/>
      </w:pPr>
      <w:r>
        <w:rPr>
          <w:rStyle w:val="bhyperlinkChar"/>
        </w:rPr>
        <w:t>https://doi.org/10.1016/j.eng.2016.01.020</w:t>
      </w:r>
    </w:p>
    <w:p w14:paraId="65D80AE6" w14:textId="77777777" w:rsidR="0092789D" w:rsidRDefault="0092789D" w:rsidP="0092789D">
      <w:pPr>
        <w:pStyle w:val="cPaperTitle"/>
        <w:spacing w:before="280"/>
      </w:pPr>
      <w:r>
        <w:t>Zhang, “Loss-of-Cooling Tests Validate the Inherent Safety of the World’s First Commercial Small Modular Reactor,” Joule, 2024</w:t>
      </w:r>
    </w:p>
    <w:p w14:paraId="2C270FDE" w14:textId="77777777" w:rsidR="0092789D" w:rsidRDefault="0092789D" w:rsidP="0092789D">
      <w:pPr>
        <w:spacing w:before="280" w:after="280"/>
        <w:ind w:left="360"/>
      </w:pPr>
      <w:r>
        <w:t>Reports full-scale loss-of-cooling test evidence important to the user’s choice of an HTR-PM reference.</w:t>
      </w:r>
    </w:p>
    <w:p w14:paraId="71988A37" w14:textId="77777777" w:rsidR="0092789D" w:rsidRDefault="0092789D" w:rsidP="0092789D">
      <w:pPr>
        <w:spacing w:before="280" w:after="280"/>
        <w:ind w:left="360"/>
      </w:pPr>
      <w:r>
        <w:t>Limitation: Reactor safety evidence does not make a co-located hydrogen or ammonia facility safe; chemical hazards and coupling must be analyzed separately.</w:t>
      </w:r>
    </w:p>
    <w:p w14:paraId="03FB66A1" w14:textId="77777777" w:rsidR="0092789D" w:rsidRDefault="0092789D" w:rsidP="0092789D">
      <w:pPr>
        <w:pStyle w:val="bhyperlink"/>
        <w:spacing w:after="280"/>
        <w:ind w:left="360"/>
      </w:pPr>
      <w:r>
        <w:rPr>
          <w:rStyle w:val="bhyperlinkChar"/>
        </w:rPr>
        <w:t>https://www.cell.com/joule/</w:t>
      </w:r>
    </w:p>
    <w:p w14:paraId="5E9CF1B3" w14:textId="77777777" w:rsidR="0092789D" w:rsidRDefault="0092789D" w:rsidP="0092789D">
      <w:pPr>
        <w:pStyle w:val="cPaperTitle"/>
        <w:spacing w:before="280"/>
      </w:pPr>
      <w:r>
        <w:t>IAEA, “Opportunities for Cogeneration with Nuclear Energy,” 2017</w:t>
      </w:r>
    </w:p>
    <w:p w14:paraId="45F1373E" w14:textId="77777777" w:rsidR="0092789D" w:rsidRDefault="0092789D" w:rsidP="0092789D">
      <w:pPr>
        <w:spacing w:before="280" w:after="280"/>
        <w:ind w:left="360"/>
      </w:pPr>
      <w:r>
        <w:t>Frames nuclear cogeneration for process heat, hydrogen, desalination, and industrial applications and emphasizes matching reactor temperatures to process needs.</w:t>
      </w:r>
    </w:p>
    <w:p w14:paraId="51E12FD9" w14:textId="77777777" w:rsidR="0092789D" w:rsidRDefault="0092789D" w:rsidP="0092789D">
      <w:pPr>
        <w:spacing w:before="280" w:after="280"/>
        <w:ind w:left="360"/>
      </w:pPr>
      <w:r>
        <w:t>Limitation: Does not prescribe the proposed open platform interface or transport system.</w:t>
      </w:r>
    </w:p>
    <w:p w14:paraId="46F56801" w14:textId="77777777" w:rsidR="0092789D" w:rsidRDefault="0092789D" w:rsidP="0092789D">
      <w:pPr>
        <w:pStyle w:val="bhyperlink"/>
        <w:spacing w:after="280"/>
        <w:ind w:left="360"/>
      </w:pPr>
      <w:r>
        <w:rPr>
          <w:rStyle w:val="bhyperlinkChar"/>
        </w:rPr>
        <w:t>https://www.iaea.org/publications</w:t>
      </w:r>
    </w:p>
    <w:p w14:paraId="4FA3D5D7" w14:textId="77777777" w:rsidR="0092789D" w:rsidRDefault="0092789D" w:rsidP="0092789D">
      <w:pPr>
        <w:pStyle w:val="cPaperTitle"/>
        <w:spacing w:before="280"/>
      </w:pPr>
      <w:r>
        <w:t>Arvanitidis, “Nuclear-Driven Integrated Energy Systems: A State-of-the-Art Review,” 2023</w:t>
      </w:r>
    </w:p>
    <w:p w14:paraId="5B4F6D06" w14:textId="77777777" w:rsidR="0092789D" w:rsidRDefault="0092789D" w:rsidP="0092789D">
      <w:pPr>
        <w:spacing w:before="280" w:after="280"/>
        <w:ind w:left="360"/>
      </w:pPr>
      <w:r>
        <w:t>Reviews nuclear integration with hydrogen, ammonia, fuels, thermal storage, grids, and industrial processes, helping define interfaces and research gaps.</w:t>
      </w:r>
    </w:p>
    <w:p w14:paraId="111669CE" w14:textId="77777777" w:rsidR="0092789D" w:rsidRDefault="0092789D" w:rsidP="0092789D">
      <w:pPr>
        <w:spacing w:before="280" w:after="280"/>
        <w:ind w:left="360"/>
      </w:pPr>
      <w:r>
        <w:t>Limitation: A broad review cannot replace detailed design of one reactor, product, platform, route, and site.</w:t>
      </w:r>
    </w:p>
    <w:p w14:paraId="23E5C985" w14:textId="77777777" w:rsidR="0092789D" w:rsidRDefault="0092789D" w:rsidP="0092789D">
      <w:pPr>
        <w:pStyle w:val="bhyperlink"/>
        <w:spacing w:after="280"/>
        <w:ind w:left="360"/>
      </w:pPr>
      <w:r>
        <w:rPr>
          <w:rStyle w:val="bhyperlinkChar"/>
        </w:rPr>
        <w:t>https://www.osti.gov/servlets/purl/1992919</w:t>
      </w:r>
    </w:p>
    <w:p w14:paraId="4170CA4F" w14:textId="77777777" w:rsidR="0092789D" w:rsidRDefault="0092789D" w:rsidP="0092789D">
      <w:pPr>
        <w:pStyle w:val="cPaperTitle"/>
        <w:spacing w:before="280"/>
      </w:pPr>
      <w:r>
        <w:t>Ramirez-Corredores, “Identification of Opportunities for Integrating Chemical Processes for Carbon (Dioxide) Utilization to Nuclear Power Plants,” 2021</w:t>
      </w:r>
    </w:p>
    <w:p w14:paraId="1F0E0E1F" w14:textId="77777777" w:rsidR="0092789D" w:rsidRDefault="0092789D" w:rsidP="0092789D">
      <w:pPr>
        <w:spacing w:before="280" w:after="280"/>
        <w:ind w:left="360"/>
      </w:pPr>
      <w:r>
        <w:t>Examines process integration, temperature matching, heat and electricity use, and chemical opportunities adjacent to nuclear plants.</w:t>
      </w:r>
    </w:p>
    <w:p w14:paraId="7940716F" w14:textId="77777777" w:rsidR="0092789D" w:rsidRDefault="0092789D" w:rsidP="0092789D">
      <w:pPr>
        <w:spacing w:before="280" w:after="280"/>
        <w:ind w:left="360"/>
      </w:pPr>
      <w:r>
        <w:t>Limitation: Focuses on process opportunities rather than the proposed transport and open-interface hardware.</w:t>
      </w:r>
    </w:p>
    <w:p w14:paraId="384C95AD" w14:textId="77777777" w:rsidR="0092789D" w:rsidRDefault="0092789D" w:rsidP="0092789D">
      <w:pPr>
        <w:pStyle w:val="bhyperlink"/>
        <w:spacing w:after="280"/>
        <w:ind w:left="360"/>
      </w:pPr>
      <w:r>
        <w:rPr>
          <w:rStyle w:val="bhyperlinkChar"/>
        </w:rPr>
        <w:t>https://www.osti.gov/pages/biblio/1898534</w:t>
      </w:r>
    </w:p>
    <w:p w14:paraId="6D16EC7B" w14:textId="77777777" w:rsidR="0092789D" w:rsidRDefault="0092789D" w:rsidP="0092789D">
      <w:pPr>
        <w:pStyle w:val="cPaperTitle"/>
        <w:spacing w:before="280"/>
      </w:pPr>
      <w:r>
        <w:t>Bragg-Sitton, “Non-Electric Applications of Generation IV Reactors,” 2022</w:t>
      </w:r>
    </w:p>
    <w:p w14:paraId="237B1456" w14:textId="77777777" w:rsidR="0092789D" w:rsidRDefault="0092789D" w:rsidP="0092789D">
      <w:pPr>
        <w:spacing w:before="280" w:after="280"/>
        <w:ind w:left="360"/>
      </w:pPr>
      <w:r>
        <w:t>Provides a systematic view of reactor temperature ranges, industrial heat demands, augmentation, and non-electric products.</w:t>
      </w:r>
    </w:p>
    <w:p w14:paraId="43C7DF37" w14:textId="77777777" w:rsidR="0092789D" w:rsidRDefault="0092789D" w:rsidP="0092789D">
      <w:pPr>
        <w:spacing w:before="280" w:after="280"/>
        <w:ind w:left="360"/>
      </w:pPr>
      <w:r>
        <w:t>Limitation: Does not prove economic deployment or settle the reactor-to-process licensing boundary.</w:t>
      </w:r>
    </w:p>
    <w:p w14:paraId="65CB0EC1" w14:textId="77777777" w:rsidR="0092789D" w:rsidRDefault="0092789D" w:rsidP="0092789D">
      <w:pPr>
        <w:pStyle w:val="bhyperlink"/>
        <w:spacing w:after="280"/>
        <w:ind w:left="360"/>
      </w:pPr>
      <w:r>
        <w:rPr>
          <w:rStyle w:val="bhyperlinkChar"/>
        </w:rPr>
        <w:t>https://www.osti.gov/servlets/purl/1865911</w:t>
      </w:r>
    </w:p>
    <w:p w14:paraId="3A01F0C8" w14:textId="77777777" w:rsidR="00837698" w:rsidRDefault="00994197">
      <w:pPr>
        <w:pStyle w:val="Heading2"/>
      </w:pPr>
      <w:r>
        <w:t>Industrial Heat Pumps and Process Electrification</w:t>
      </w:r>
    </w:p>
    <w:p w14:paraId="777F0D5B" w14:textId="77777777" w:rsidR="0092789D" w:rsidRDefault="0092789D" w:rsidP="0092789D">
      <w:pPr>
        <w:pStyle w:val="cPaperTitle"/>
        <w:spacing w:before="280"/>
      </w:pPr>
      <w:r>
        <w:t>IEA, “The Future of Heat Pumps in China,” 2024</w:t>
      </w:r>
    </w:p>
    <w:p w14:paraId="6030610E" w14:textId="77777777" w:rsidR="0092789D" w:rsidRDefault="0092789D" w:rsidP="0092789D">
      <w:pPr>
        <w:spacing w:before="280" w:after="280"/>
        <w:ind w:left="360"/>
      </w:pPr>
      <w:r>
        <w:t>Directly supports the program’s emphasis on low- and medium-temperature industrial heat: the report identifies major Chinese industrial demand below 200°C, highlights heat-pump potential in light industry, pulp and paper, and chemicals, and notes standardization as a barrier that the platform concept is intended to address.</w:t>
      </w:r>
    </w:p>
    <w:p w14:paraId="3B083FCF" w14:textId="77777777" w:rsidR="0092789D" w:rsidRDefault="0092789D" w:rsidP="0092789D">
      <w:pPr>
        <w:spacing w:before="280" w:after="280"/>
        <w:ind w:left="360"/>
      </w:pPr>
      <w:r>
        <w:t>Limitation: The report evaluates heat-pump deployment and policy at sector scale; it does not establish the cost, COP, reliability, or integration performance of a particular nuclear-powered 12 m × 96 m platform.</w:t>
      </w:r>
    </w:p>
    <w:p w14:paraId="4684CD5A" w14:textId="77777777" w:rsidR="0092789D" w:rsidRDefault="0092789D" w:rsidP="0092789D">
      <w:pPr>
        <w:pStyle w:val="bhyperlink"/>
        <w:spacing w:after="280"/>
        <w:ind w:left="360"/>
      </w:pPr>
      <w:r>
        <w:t>https://www.iea.org/reports/the-future-of-heat-pumps-in-china</w:t>
      </w:r>
    </w:p>
    <w:p w14:paraId="6FC6D7C6" w14:textId="77777777" w:rsidR="00837698" w:rsidRDefault="00994197">
      <w:pPr>
        <w:pStyle w:val="Heading2"/>
      </w:pPr>
      <w:r>
        <w:t>Hydrogen and High-Temperature Electrolysis</w:t>
      </w:r>
    </w:p>
    <w:p w14:paraId="3A50BE37" w14:textId="77777777" w:rsidR="0092789D" w:rsidRDefault="0092789D" w:rsidP="0092789D">
      <w:pPr>
        <w:pStyle w:val="cPaperTitle"/>
        <w:spacing w:before="280"/>
      </w:pPr>
      <w:r>
        <w:t>IAEA, “Hydrogen Production Using Nuclear Energy,” Nuclear Energy Series, 2013</w:t>
      </w:r>
    </w:p>
    <w:p w14:paraId="469E246A" w14:textId="77777777" w:rsidR="0092789D" w:rsidRDefault="0092789D" w:rsidP="0092789D">
      <w:pPr>
        <w:spacing w:before="280" w:after="280"/>
        <w:ind w:left="360"/>
      </w:pPr>
      <w:r>
        <w:t>Comprehensive reference on nuclear hydrogen pathways, reactor coupling, high-temperature electrolysis, thermochemical cycles, safety, economics, and deployment considerations.</w:t>
      </w:r>
    </w:p>
    <w:p w14:paraId="3BE7C795" w14:textId="77777777" w:rsidR="0092789D" w:rsidRDefault="0092789D" w:rsidP="0092789D">
      <w:pPr>
        <w:spacing w:before="280" w:after="280"/>
        <w:ind w:left="360"/>
      </w:pPr>
      <w:r>
        <w:t>Limitation: Technology and cost assumptions require updating and site-specific validation.</w:t>
      </w:r>
    </w:p>
    <w:p w14:paraId="45E06723" w14:textId="77777777" w:rsidR="0092789D" w:rsidRDefault="0092789D" w:rsidP="0092789D">
      <w:pPr>
        <w:pStyle w:val="bhyperlink"/>
        <w:spacing w:after="280"/>
        <w:ind w:left="360"/>
      </w:pPr>
      <w:r>
        <w:rPr>
          <w:rStyle w:val="bhyperlinkChar"/>
        </w:rPr>
        <w:t>https://www-pub.iaea.org/MTCD/Publications/PDF/Pub1577_web.pdf</w:t>
      </w:r>
    </w:p>
    <w:p w14:paraId="4CE1728B" w14:textId="77777777" w:rsidR="0092789D" w:rsidRDefault="0092789D" w:rsidP="0092789D">
      <w:pPr>
        <w:pStyle w:val="cPaperTitle"/>
        <w:spacing w:before="280"/>
      </w:pPr>
      <w:r>
        <w:t>O’Brien, “High-Temperature Electrolysis for Large-Scale Hydrogen and Syngas Production from Nuclear Energy,” 2009</w:t>
      </w:r>
    </w:p>
    <w:p w14:paraId="7FF42D9C" w14:textId="77777777" w:rsidR="0092789D" w:rsidRDefault="0092789D" w:rsidP="0092789D">
      <w:pPr>
        <w:spacing w:before="280" w:after="280"/>
        <w:ind w:left="360"/>
      </w:pPr>
      <w:r>
        <w:t>A key technical treatment of coupling high-temperature gas-cooled reactors to solid-oxide electrolysis and using heat to reduce electrical demand.</w:t>
      </w:r>
    </w:p>
    <w:p w14:paraId="5586C82F" w14:textId="77777777" w:rsidR="0092789D" w:rsidRDefault="0092789D" w:rsidP="0092789D">
      <w:pPr>
        <w:spacing w:before="280" w:after="280"/>
        <w:ind w:left="360"/>
      </w:pPr>
      <w:r>
        <w:t>Limitation: Large commercial stack lifetime, cost, manufacturing yield, and availability remain separate questions.</w:t>
      </w:r>
    </w:p>
    <w:p w14:paraId="2EBA9F7F" w14:textId="77777777" w:rsidR="0092789D" w:rsidRDefault="0092789D" w:rsidP="0092789D">
      <w:pPr>
        <w:pStyle w:val="bhyperlink"/>
        <w:spacing w:after="280"/>
        <w:ind w:left="360"/>
      </w:pPr>
      <w:r>
        <w:rPr>
          <w:rStyle w:val="bhyperlinkChar"/>
        </w:rPr>
        <w:t>https://www.osti.gov/servlets/purl/957519-qfRtcd/</w:t>
      </w:r>
    </w:p>
    <w:p w14:paraId="48859E9B" w14:textId="77777777" w:rsidR="0092789D" w:rsidRDefault="0092789D" w:rsidP="0092789D">
      <w:pPr>
        <w:pStyle w:val="cPaperTitle"/>
        <w:spacing w:before="280"/>
      </w:pPr>
      <w:r>
        <w:t>O’Brien, “High Temperature Electrolysis for Hydrogen Production from Nuclear Energy – Technology Summary,” INL, 2010</w:t>
      </w:r>
    </w:p>
    <w:p w14:paraId="4922877C" w14:textId="77777777" w:rsidR="0092789D" w:rsidRDefault="0092789D" w:rsidP="0092789D">
      <w:pPr>
        <w:spacing w:before="280" w:after="280"/>
        <w:ind w:left="360"/>
      </w:pPr>
      <w:r>
        <w:t>Summarizes thermodynamics, cell technology, system efficiency, test results, and reference integration for nuclear-powered HTSE.</w:t>
      </w:r>
    </w:p>
    <w:p w14:paraId="4CB47E75" w14:textId="77777777" w:rsidR="0092789D" w:rsidRDefault="0092789D" w:rsidP="0092789D">
      <w:pPr>
        <w:spacing w:before="280" w:after="280"/>
        <w:ind w:left="360"/>
      </w:pPr>
      <w:r>
        <w:t>Limitation: A technology summary is not a bankable vendor guarantee or a current commercial quote.</w:t>
      </w:r>
    </w:p>
    <w:p w14:paraId="4364233F" w14:textId="77777777" w:rsidR="0092789D" w:rsidRDefault="0092789D" w:rsidP="0092789D">
      <w:pPr>
        <w:pStyle w:val="bhyperlink"/>
        <w:spacing w:after="280"/>
        <w:ind w:left="360"/>
      </w:pPr>
      <w:r>
        <w:rPr>
          <w:rStyle w:val="bhyperlinkChar"/>
        </w:rPr>
        <w:t>https://www.osti.gov/biblio/978368</w:t>
      </w:r>
    </w:p>
    <w:p w14:paraId="73A9126F" w14:textId="77777777" w:rsidR="0092789D" w:rsidRDefault="0092789D" w:rsidP="0092789D">
      <w:pPr>
        <w:pStyle w:val="cPaperTitle"/>
        <w:spacing w:before="280"/>
      </w:pPr>
      <w:r>
        <w:t>O’Brien, “High Temperature Steam Electrolysis: Demonstration of Advanced Solid-Oxide Stack Technology,” INL, 2011</w:t>
      </w:r>
    </w:p>
    <w:p w14:paraId="38351167" w14:textId="77777777" w:rsidR="0092789D" w:rsidRDefault="0092789D" w:rsidP="0092789D">
      <w:pPr>
        <w:spacing w:before="280" w:after="280"/>
        <w:ind w:left="360"/>
      </w:pPr>
      <w:r>
        <w:t>Documents laboratory-scale integrated operation and degradation behavior, informing pilot design and acceptance metrics.</w:t>
      </w:r>
    </w:p>
    <w:p w14:paraId="66E9779B" w14:textId="77777777" w:rsidR="0092789D" w:rsidRDefault="0092789D" w:rsidP="0092789D">
      <w:pPr>
        <w:spacing w:before="280" w:after="280"/>
        <w:ind w:left="360"/>
      </w:pPr>
      <w:r>
        <w:t>Limitation: Scale and duration are far below a 100+ MW commercial platform.</w:t>
      </w:r>
    </w:p>
    <w:p w14:paraId="259E5153" w14:textId="77777777" w:rsidR="0092789D" w:rsidRDefault="0092789D" w:rsidP="0092789D">
      <w:pPr>
        <w:pStyle w:val="bhyperlink"/>
        <w:spacing w:after="280"/>
        <w:ind w:left="360"/>
      </w:pPr>
      <w:r>
        <w:rPr>
          <w:rStyle w:val="bhyperlinkChar"/>
        </w:rPr>
        <w:t>https://www.osti.gov/servlets/purl/1034816</w:t>
      </w:r>
    </w:p>
    <w:p w14:paraId="45A292BA" w14:textId="77777777" w:rsidR="0092789D" w:rsidRDefault="0092789D" w:rsidP="0092789D">
      <w:pPr>
        <w:pStyle w:val="cPaperTitle"/>
        <w:spacing w:before="280"/>
      </w:pPr>
      <w:r>
        <w:t>Harvego, “Economic Analysis of the Reference Design for a Nuclear-Driven High-Temperature-Electrolysis Hydrogen Production Plant,” INL, 2008</w:t>
      </w:r>
    </w:p>
    <w:p w14:paraId="08E3BE8B" w14:textId="77777777" w:rsidR="0092789D" w:rsidRDefault="0092789D" w:rsidP="0092789D">
      <w:pPr>
        <w:spacing w:before="280" w:after="280"/>
        <w:ind w:left="360"/>
      </w:pPr>
      <w:r>
        <w:t>Provides a detailed reference flowsheet and H2A-based economic method for a high-temperature helium reactor coupled to electrolysis.</w:t>
      </w:r>
    </w:p>
    <w:p w14:paraId="24118D39" w14:textId="77777777" w:rsidR="0092789D" w:rsidRDefault="0092789D" w:rsidP="0092789D">
      <w:pPr>
        <w:spacing w:before="280" w:after="280"/>
        <w:ind w:left="360"/>
      </w:pPr>
      <w:r>
        <w:t>Limitation: Its dollar values, financing, reactor costs, stack assumptions, and scale are dated; reuse the method, not the headline number.</w:t>
      </w:r>
    </w:p>
    <w:p w14:paraId="50639C6C" w14:textId="77777777" w:rsidR="0092789D" w:rsidRDefault="0092789D" w:rsidP="0092789D">
      <w:pPr>
        <w:pStyle w:val="bhyperlink"/>
        <w:spacing w:after="280"/>
        <w:ind w:left="360"/>
      </w:pPr>
      <w:r>
        <w:rPr>
          <w:rStyle w:val="bhyperlinkChar"/>
        </w:rPr>
        <w:t>https://www.osti.gov/biblio/933186</w:t>
      </w:r>
    </w:p>
    <w:p w14:paraId="1874B779" w14:textId="77777777" w:rsidR="0092789D" w:rsidRDefault="0092789D" w:rsidP="0092789D">
      <w:pPr>
        <w:pStyle w:val="cPaperTitle"/>
        <w:spacing w:before="280"/>
      </w:pPr>
      <w:r>
        <w:t>Frick, “Technoeconomic Assessment of Hydrogen Cogeneration via High Temperature Steam Electrolysis with a Light-Water Reactor,” Applied Energy, 2022</w:t>
      </w:r>
    </w:p>
    <w:p w14:paraId="50AF676F" w14:textId="77777777" w:rsidR="0092789D" w:rsidRDefault="0092789D" w:rsidP="0092789D">
      <w:pPr>
        <w:spacing w:before="280" w:after="280"/>
        <w:ind w:left="360"/>
      </w:pPr>
      <w:r>
        <w:t>Shows how thermal and electrical integration, market operation, capital cost, and plant utilization affect nuclear hydrogen economics.</w:t>
      </w:r>
    </w:p>
    <w:p w14:paraId="741FFC4A" w14:textId="77777777" w:rsidR="0092789D" w:rsidRDefault="0092789D" w:rsidP="0092789D">
      <w:pPr>
        <w:spacing w:before="280" w:after="280"/>
        <w:ind w:left="360"/>
      </w:pPr>
      <w:r>
        <w:t>Limitation: A light-water-reactor case does not directly establish HTR-PM performance or platform logistics.</w:t>
      </w:r>
    </w:p>
    <w:p w14:paraId="0A1EA377" w14:textId="77777777" w:rsidR="0092789D" w:rsidRDefault="0092789D" w:rsidP="0092789D">
      <w:pPr>
        <w:pStyle w:val="bhyperlink"/>
        <w:spacing w:after="280"/>
        <w:ind w:left="360"/>
      </w:pPr>
      <w:r>
        <w:rPr>
          <w:rStyle w:val="bhyperlinkChar"/>
        </w:rPr>
        <w:t>https://doi.org/10.1016/j.apenergy.2021.118342</w:t>
      </w:r>
    </w:p>
    <w:p w14:paraId="5471B404" w14:textId="77777777" w:rsidR="0092789D" w:rsidRDefault="0092789D" w:rsidP="0092789D">
      <w:pPr>
        <w:pStyle w:val="cPaperTitle"/>
        <w:spacing w:before="280"/>
      </w:pPr>
      <w:r>
        <w:t>Cheng, “Assessing the Role of High Temperature Steam Electrolysis in Nuclear-Integrated Hydrogen Production,” 2026</w:t>
      </w:r>
    </w:p>
    <w:p w14:paraId="2913E89A" w14:textId="77777777" w:rsidR="0092789D" w:rsidRDefault="0092789D" w:rsidP="0092789D">
      <w:pPr>
        <w:spacing w:before="280" w:after="280"/>
        <w:ind w:left="360"/>
      </w:pPr>
      <w:r>
        <w:t>Recent techno-economic assessment useful for current parameter ranges, sensitivity methods, and comparison of HTSE with lower-temperature electrolysis.</w:t>
      </w:r>
    </w:p>
    <w:p w14:paraId="7BCF2C0A" w14:textId="77777777" w:rsidR="0092789D" w:rsidRDefault="0092789D" w:rsidP="0092789D">
      <w:pPr>
        <w:spacing w:before="280" w:after="280"/>
        <w:ind w:left="360"/>
      </w:pPr>
      <w:r>
        <w:t>Limitation: Results depend on assumed electricity opportunity cost, stack performance, financing, and utilization.</w:t>
      </w:r>
    </w:p>
    <w:p w14:paraId="55D98281" w14:textId="77777777" w:rsidR="0092789D" w:rsidRDefault="0092789D" w:rsidP="0092789D">
      <w:pPr>
        <w:pStyle w:val="bhyperlink"/>
        <w:spacing w:after="280"/>
        <w:ind w:left="360"/>
      </w:pPr>
      <w:r>
        <w:rPr>
          <w:rStyle w:val="bhyperlinkChar"/>
        </w:rPr>
        <w:t>https://www.osti.gov/servlets/purl/3024427</w:t>
      </w:r>
    </w:p>
    <w:p w14:paraId="147066E8" w14:textId="77777777" w:rsidR="0092789D" w:rsidRDefault="0092789D" w:rsidP="0092789D">
      <w:pPr>
        <w:pStyle w:val="cPaperTitle"/>
        <w:spacing w:before="280"/>
      </w:pPr>
      <w:r>
        <w:t>U.S. DOE, “H2A Production Models” and methodology documentation</w:t>
      </w:r>
    </w:p>
    <w:p w14:paraId="3728962B" w14:textId="77777777" w:rsidR="0092789D" w:rsidRDefault="0092789D" w:rsidP="0092789D">
      <w:pPr>
        <w:spacing w:before="280" w:after="280"/>
        <w:ind w:left="360"/>
      </w:pPr>
      <w:r>
        <w:t>Provides standardized discounted-cash-flow definitions and inputs for levelized hydrogen cost, enabling transparent comparison and sensitivity analysis.</w:t>
      </w:r>
    </w:p>
    <w:p w14:paraId="2B15B8D4" w14:textId="77777777" w:rsidR="0092789D" w:rsidRDefault="0092789D" w:rsidP="0092789D">
      <w:pPr>
        <w:spacing w:before="280" w:after="280"/>
        <w:ind w:left="360"/>
      </w:pPr>
      <w:r>
        <w:t>Limitation: The model is only as credible as its inputs and system boundary; it does not independently validate hardware performance.</w:t>
      </w:r>
    </w:p>
    <w:p w14:paraId="7B60623F" w14:textId="77777777" w:rsidR="0092789D" w:rsidRDefault="0092789D" w:rsidP="0092789D">
      <w:pPr>
        <w:pStyle w:val="bhyperlink"/>
        <w:spacing w:after="280"/>
        <w:ind w:left="360"/>
      </w:pPr>
      <w:r>
        <w:rPr>
          <w:rStyle w:val="bhyperlinkChar"/>
        </w:rPr>
        <w:t>https://www.hydrogen.energy.gov/program-areas/systems-analysis/h2a-analysis</w:t>
      </w:r>
    </w:p>
    <w:p w14:paraId="3BA604CC" w14:textId="77777777" w:rsidR="0092789D" w:rsidRDefault="0092789D" w:rsidP="0092789D">
      <w:pPr>
        <w:pStyle w:val="cPaperTitle"/>
        <w:spacing w:before="280"/>
      </w:pPr>
      <w:r>
        <w:t>U.S. DOE H2NEW Consortium, technical targets and durability research</w:t>
      </w:r>
    </w:p>
    <w:p w14:paraId="6B12CDF7" w14:textId="77777777" w:rsidR="0092789D" w:rsidRDefault="0092789D" w:rsidP="0092789D">
      <w:pPr>
        <w:spacing w:before="280" w:after="280"/>
        <w:ind w:left="360"/>
      </w:pPr>
      <w:r>
        <w:t>Provides current performance, manufacturing, durability, and cost targets for electrolyzers and a framework for stack and system validation.</w:t>
      </w:r>
    </w:p>
    <w:p w14:paraId="4B745DFD" w14:textId="77777777" w:rsidR="0092789D" w:rsidRDefault="0092789D" w:rsidP="0092789D">
      <w:pPr>
        <w:spacing w:before="280" w:after="280"/>
        <w:ind w:left="360"/>
      </w:pPr>
      <w:r>
        <w:t>Limitation: Targets are not achieved commercial performance and are not specific to HTSE or nuclear steam integration.</w:t>
      </w:r>
    </w:p>
    <w:p w14:paraId="4A46840F" w14:textId="77777777" w:rsidR="0092789D" w:rsidRDefault="0092789D" w:rsidP="0092789D">
      <w:pPr>
        <w:pStyle w:val="bhyperlink"/>
        <w:spacing w:after="280"/>
        <w:ind w:left="360"/>
      </w:pPr>
      <w:r>
        <w:rPr>
          <w:rStyle w:val="bhyperlinkChar"/>
        </w:rPr>
        <w:t>https://h2new.energy.gov/</w:t>
      </w:r>
    </w:p>
    <w:p w14:paraId="0E45026D" w14:textId="77777777" w:rsidR="00837698" w:rsidRDefault="00994197">
      <w:pPr>
        <w:pStyle w:val="Heading2"/>
      </w:pPr>
      <w:r>
        <w:t>Direct Air Capture</w:t>
      </w:r>
    </w:p>
    <w:p w14:paraId="087AD450" w14:textId="77777777" w:rsidR="0092789D" w:rsidRDefault="0092789D" w:rsidP="0092789D">
      <w:pPr>
        <w:pStyle w:val="cPaperTitle"/>
        <w:spacing w:before="280"/>
      </w:pPr>
      <w:r>
        <w:t>Agbo, “Technological Innovation Opportunities for CO2 Removal,” U.S. DOE, 2024</w:t>
      </w:r>
    </w:p>
    <w:p w14:paraId="6B2FA3D4" w14:textId="77777777" w:rsidR="0092789D" w:rsidRDefault="0092789D" w:rsidP="0092789D">
      <w:pPr>
        <w:spacing w:before="280" w:after="280"/>
        <w:ind w:left="360"/>
      </w:pPr>
      <w:r>
        <w:t>Provides a current national-laboratory assessment of direct-air-capture cost drivers and R&amp;D opportunities, including regeneration energy, sorbent lifetime and cost, contactor capital, capture kinetics, lifecycle accounting, and durable storage. It is a strong basis for deciding what the nuclear-powered DAC platforms should measure rather than assuming a single mature cost.</w:t>
      </w:r>
    </w:p>
    <w:p w14:paraId="1DACE0A6" w14:textId="77777777" w:rsidR="0092789D" w:rsidRDefault="0092789D" w:rsidP="0092789D">
      <w:pPr>
        <w:spacing w:before="280" w:after="280"/>
        <w:ind w:left="360"/>
      </w:pPr>
      <w:r>
        <w:t>Limitation: The cost-reduction cases are R&amp;D analyses and illustrative scenarios, not guarantees that a particular DAC technology will reach $100/tCO2 or that nuclear integration alone will deliver the modeled reductions.</w:t>
      </w:r>
    </w:p>
    <w:p w14:paraId="0C32F1B0" w14:textId="77777777" w:rsidR="0092789D" w:rsidRDefault="0092789D" w:rsidP="00426F8F">
      <w:pPr>
        <w:pStyle w:val="bhyperlink"/>
        <w:ind w:left="360"/>
      </w:pPr>
      <w:r w:rsidRPr="00426F8F">
        <w:rPr>
          <w:sz w:val="12"/>
          <w:szCs w:val="10"/>
        </w:rPr>
        <w:t>https://www.energy.gov/sites/default/files/2024-11/Carbon%20Negative%20Shot_Technological%20Innovation%20Opportunities%20for%20CO2%20Removal_November2024.pdf</w:t>
      </w:r>
    </w:p>
    <w:p w14:paraId="196E94F4" w14:textId="77777777" w:rsidR="00837698" w:rsidRDefault="00994197">
      <w:pPr>
        <w:pStyle w:val="Heading2"/>
      </w:pPr>
      <w:r>
        <w:t>Ammonia and Low-Carbon Fuels</w:t>
      </w:r>
    </w:p>
    <w:p w14:paraId="425507F7" w14:textId="77777777" w:rsidR="0092789D" w:rsidRDefault="0092789D" w:rsidP="0092789D">
      <w:pPr>
        <w:pStyle w:val="cPaperTitle"/>
        <w:spacing w:before="280"/>
      </w:pPr>
      <w:r>
        <w:t>Nørskov, “Sustainable Ammonia Synthesis,” U.S. DOE Basic Research Needs Roundtable Report, 2016</w:t>
      </w:r>
    </w:p>
    <w:p w14:paraId="531F78D4" w14:textId="77777777" w:rsidR="0092789D" w:rsidRDefault="0092789D" w:rsidP="0092789D">
      <w:pPr>
        <w:spacing w:before="280" w:after="280"/>
        <w:ind w:left="360"/>
      </w:pPr>
      <w:r>
        <w:t>Defines the scientific opportunity space for lower-energy ammonia synthesis, catalysts, separations, electrochemical routes, and conventional Haber-Bosch improvement.</w:t>
      </w:r>
    </w:p>
    <w:p w14:paraId="796B3EA5" w14:textId="77777777" w:rsidR="0092789D" w:rsidRDefault="0092789D" w:rsidP="0092789D">
      <w:pPr>
        <w:spacing w:before="280" w:after="280"/>
        <w:ind w:left="360"/>
      </w:pPr>
      <w:r>
        <w:t>Limitation: Research opportunities are not commercial readiness claims; the five-year fund should use proven synthesis where needed and test alternatives separately.</w:t>
      </w:r>
    </w:p>
    <w:p w14:paraId="224F33C8" w14:textId="77777777" w:rsidR="0092789D" w:rsidRDefault="0092789D" w:rsidP="0092789D">
      <w:pPr>
        <w:pStyle w:val="bhyperlink"/>
        <w:spacing w:after="280"/>
        <w:ind w:left="360"/>
      </w:pPr>
      <w:r>
        <w:rPr>
          <w:rStyle w:val="bhyperlinkChar"/>
        </w:rPr>
        <w:t>https://sc-dev.osti.gov/-/media/bes/pdf/reports/2016/SustainableAmmoniaReport.pdf</w:t>
      </w:r>
    </w:p>
    <w:p w14:paraId="5382529A" w14:textId="77777777" w:rsidR="0092789D" w:rsidRDefault="0092789D" w:rsidP="0092789D">
      <w:pPr>
        <w:pStyle w:val="cPaperTitle"/>
        <w:spacing w:before="280"/>
      </w:pPr>
      <w:r>
        <w:t>Smith, “Current and Future Role of Haber–Bosch Ammonia in a Carbon-Free Energy Landscape,” Energy &amp; Environmental Science, 2020</w:t>
      </w:r>
    </w:p>
    <w:p w14:paraId="49A7BAB5" w14:textId="77777777" w:rsidR="0092789D" w:rsidRDefault="0092789D" w:rsidP="0092789D">
      <w:pPr>
        <w:spacing w:before="280" w:after="280"/>
        <w:ind w:left="360"/>
      </w:pPr>
      <w:r>
        <w:t>Explains ammonia’s energy and fertilizer role, conventional process energy, low-carbon hydrogen integration, storage, and system tradeoffs.</w:t>
      </w:r>
    </w:p>
    <w:p w14:paraId="42B286A6" w14:textId="77777777" w:rsidR="0092789D" w:rsidRDefault="0092789D" w:rsidP="0092789D">
      <w:pPr>
        <w:spacing w:before="280" w:after="280"/>
        <w:ind w:left="360"/>
      </w:pPr>
      <w:r>
        <w:t>Limitation: Does not provide a nuclear-specific platform design or full logistics cost.</w:t>
      </w:r>
    </w:p>
    <w:p w14:paraId="55E4606D" w14:textId="77777777" w:rsidR="0092789D" w:rsidRDefault="0092789D" w:rsidP="0092789D">
      <w:pPr>
        <w:pStyle w:val="bhyperlink"/>
        <w:spacing w:after="280"/>
        <w:ind w:left="360"/>
      </w:pPr>
      <w:r>
        <w:rPr>
          <w:rStyle w:val="bhyperlinkChar"/>
        </w:rPr>
        <w:t>https://doi.org/10.1039/C9EE02873K</w:t>
      </w:r>
    </w:p>
    <w:p w14:paraId="3554126F" w14:textId="77777777" w:rsidR="0092789D" w:rsidRDefault="0092789D" w:rsidP="0092789D">
      <w:pPr>
        <w:pStyle w:val="cPaperTitle"/>
        <w:spacing w:before="280"/>
      </w:pPr>
      <w:r>
        <w:t>MacFarlane, “A Roadmap to the Ammonia Economy,” Joule, 2020</w:t>
      </w:r>
    </w:p>
    <w:p w14:paraId="7554082F" w14:textId="77777777" w:rsidR="0092789D" w:rsidRDefault="0092789D" w:rsidP="0092789D">
      <w:pPr>
        <w:spacing w:before="280" w:after="280"/>
        <w:ind w:left="360"/>
      </w:pPr>
      <w:r>
        <w:t>Broad roadmap covering production, use, transport, safety, direct synthesis, fuel applications, and research priorities.</w:t>
      </w:r>
    </w:p>
    <w:p w14:paraId="33CAE770" w14:textId="77777777" w:rsidR="0092789D" w:rsidRDefault="0092789D" w:rsidP="0092789D">
      <w:pPr>
        <w:spacing w:before="280" w:after="280"/>
        <w:ind w:left="360"/>
      </w:pPr>
      <w:r>
        <w:t>Limitation: Roadmap scenarios are not a substitute for product offtake contracts, local regulations, or platform-scale hazard analysis.</w:t>
      </w:r>
    </w:p>
    <w:p w14:paraId="0A1D90FA" w14:textId="77777777" w:rsidR="0092789D" w:rsidRDefault="0092789D" w:rsidP="0092789D">
      <w:pPr>
        <w:pStyle w:val="bhyperlink"/>
        <w:spacing w:after="280"/>
        <w:ind w:left="360"/>
      </w:pPr>
      <w:r>
        <w:rPr>
          <w:rStyle w:val="bhyperlinkChar"/>
        </w:rPr>
        <w:t>https://doi.org/10.1016/j.joule.2020.04.004</w:t>
      </w:r>
    </w:p>
    <w:p w14:paraId="2B4F7FC4" w14:textId="77777777" w:rsidR="0092789D" w:rsidRDefault="0092789D" w:rsidP="0092789D">
      <w:pPr>
        <w:pStyle w:val="cPaperTitle"/>
        <w:spacing w:before="280"/>
      </w:pPr>
      <w:r>
        <w:t>Armijo, “Flexible Production of Green Hydrogen and Ammonia from Variable Solar and Wind Energy: Case Study of Chile and Argentina,” 2020</w:t>
      </w:r>
    </w:p>
    <w:p w14:paraId="23E55DD8" w14:textId="77777777" w:rsidR="0092789D" w:rsidRDefault="0092789D" w:rsidP="0092789D">
      <w:pPr>
        <w:spacing w:before="280" w:after="280"/>
        <w:ind w:left="360"/>
      </w:pPr>
      <w:r>
        <w:t>Useful benchmark for how utilization, storage, electrolysis, air separation, and ammonia-loop flexibility affect low-carbon ammonia economics.</w:t>
      </w:r>
    </w:p>
    <w:p w14:paraId="314DE091" w14:textId="77777777" w:rsidR="0092789D" w:rsidRDefault="0092789D" w:rsidP="0092789D">
      <w:pPr>
        <w:spacing w:before="280" w:after="280"/>
        <w:ind w:left="360"/>
      </w:pPr>
      <w:r>
        <w:t>Limitation: Variable-renewable integration differs from high-capacity-factor nuclear heat and electricity, so assumptions must be normalized.</w:t>
      </w:r>
    </w:p>
    <w:p w14:paraId="13ACDDE4" w14:textId="77777777" w:rsidR="0092789D" w:rsidRDefault="0092789D" w:rsidP="0092789D">
      <w:pPr>
        <w:pStyle w:val="bhyperlink"/>
        <w:spacing w:after="280"/>
        <w:ind w:left="360"/>
      </w:pPr>
      <w:r>
        <w:rPr>
          <w:rStyle w:val="bhyperlinkChar"/>
        </w:rPr>
        <w:t>https://doi.org/10.1016/j.ijhydene.2019.11.028</w:t>
      </w:r>
    </w:p>
    <w:p w14:paraId="69C924AE" w14:textId="77777777" w:rsidR="00837698" w:rsidRDefault="00994197">
      <w:pPr>
        <w:pStyle w:val="Heading2"/>
      </w:pPr>
      <w:r>
        <w:t>Marine Ammonia and Fuel-Cell Propulsion</w:t>
      </w:r>
    </w:p>
    <w:p w14:paraId="64911188" w14:textId="77777777" w:rsidR="0092789D" w:rsidRDefault="0092789D" w:rsidP="0092789D">
      <w:pPr>
        <w:pStyle w:val="cPaperTitle"/>
        <w:spacing w:before="280"/>
      </w:pPr>
      <w:r>
        <w:t>Kanchiralla, “How Do Variations in Ship Operation Impact the Techno-Economic Feasibility and Environmental Performance of Fossil-Free Fuels? A Life Cycle Study,” Applied Energy, 2023</w:t>
      </w:r>
    </w:p>
    <w:p w14:paraId="2C5A84F2" w14:textId="77777777" w:rsidR="0092789D" w:rsidRDefault="0092789D" w:rsidP="0092789D">
      <w:pPr>
        <w:spacing w:before="280" w:after="280"/>
        <w:ind w:left="360"/>
      </w:pPr>
      <w:r>
        <w:t>Compares alternative marine fuels and propulsion choices under realistic variations in ship operation and is especially useful for testing whether ammonia-SOFC conclusions remain robust when utilization, voyage profile, lifecycle emissions, and system assumptions change.</w:t>
      </w:r>
    </w:p>
    <w:p w14:paraId="27AAF907" w14:textId="77777777" w:rsidR="0092789D" w:rsidRDefault="0092789D" w:rsidP="0092789D">
      <w:pPr>
        <w:spacing w:before="280" w:after="280"/>
        <w:ind w:left="360"/>
      </w:pPr>
      <w:r>
        <w:t>Limitation: It is a scenario and lifecycle study rather than a full-scale ammonia-SOFC sea trial, and its fuel prices, equipment costs, efficiencies, and operating profiles must be replaced with project-specific values for a 50–100 MW ship.</w:t>
      </w:r>
    </w:p>
    <w:p w14:paraId="65205576" w14:textId="77777777" w:rsidR="0092789D" w:rsidRDefault="0092789D" w:rsidP="0092789D">
      <w:pPr>
        <w:pStyle w:val="bhyperlink"/>
        <w:spacing w:after="280"/>
        <w:ind w:left="360"/>
      </w:pPr>
      <w:r>
        <w:t>https://doi.org/10.1016/j.apenergy.2023.121773</w:t>
      </w:r>
    </w:p>
    <w:p w14:paraId="247B7A7E" w14:textId="77777777" w:rsidR="0092789D" w:rsidRDefault="0092789D" w:rsidP="0092789D">
      <w:pPr>
        <w:pStyle w:val="cPaperTitle"/>
        <w:spacing w:before="280"/>
      </w:pPr>
      <w:r>
        <w:t>Micoli, “Advancing Zero-Emission Maritime Solutions: Case Study of an Ammonia-Powered Fuel Cell System Implementation,” Energy Conversion and Management: X, 2024</w:t>
      </w:r>
    </w:p>
    <w:p w14:paraId="3016F975" w14:textId="77777777" w:rsidR="0092789D" w:rsidRDefault="0092789D" w:rsidP="0092789D">
      <w:pPr>
        <w:spacing w:before="280" w:after="280"/>
        <w:ind w:left="360"/>
      </w:pPr>
      <w:r>
        <w:t>Provides a ship-level implementation case for ammonia-derived fuel-cell power, including the practical consequences of fuel processing, machinery arrangement, storage volume, weight, and ship integration. It helps connect fuel-cell efficiency calculations to physical vessel design.</w:t>
      </w:r>
    </w:p>
    <w:p w14:paraId="7C6CD47E" w14:textId="77777777" w:rsidR="0092789D" w:rsidRDefault="0092789D" w:rsidP="0092789D">
      <w:pPr>
        <w:spacing w:before="280" w:after="280"/>
        <w:ind w:left="360"/>
      </w:pPr>
      <w:r>
        <w:t>Limitation: A case study on one vessel class does not establish MW-scale commercial durability, class approval, stack replacement cost, or the economics of the specific high-temperature SOFC/PCFC architectures proposed in this fund.</w:t>
      </w:r>
    </w:p>
    <w:p w14:paraId="7620E18D" w14:textId="77777777" w:rsidR="0092789D" w:rsidRDefault="0092789D" w:rsidP="0092789D">
      <w:pPr>
        <w:pStyle w:val="bhyperlink"/>
        <w:spacing w:after="280"/>
        <w:ind w:left="360"/>
      </w:pPr>
      <w:r>
        <w:t>https://doi.org/10.1016/j.ecmx.2024.100588</w:t>
      </w:r>
    </w:p>
    <w:p w14:paraId="6679E11F" w14:textId="77777777" w:rsidR="00837698" w:rsidRDefault="00994197">
      <w:pPr>
        <w:pStyle w:val="Heading2"/>
      </w:pPr>
      <w:r>
        <w:t>Heat Exchangers, Nuclear Cost, and Modular Integration</w:t>
      </w:r>
    </w:p>
    <w:p w14:paraId="6CBE48B0" w14:textId="77777777" w:rsidR="0092789D" w:rsidRDefault="0092789D" w:rsidP="0092789D">
      <w:pPr>
        <w:pStyle w:val="cPaperTitle"/>
        <w:spacing w:before="280"/>
      </w:pPr>
      <w:r>
        <w:t>ASME, “Boiler and Pressure Vessel Code Roadmap for Compact Heat Exchangers in Advanced Reactors,” 2020</w:t>
      </w:r>
    </w:p>
    <w:p w14:paraId="5AF76D64" w14:textId="77777777" w:rsidR="0092789D" w:rsidRDefault="0092789D" w:rsidP="0092789D">
      <w:pPr>
        <w:spacing w:before="280" w:after="280"/>
        <w:ind w:left="360"/>
      </w:pPr>
      <w:r>
        <w:t>Identifies code, materials, fabrication, inspection, and in-service gaps for compact heat exchangers that may isolate nuclear heat from industrial loops.</w:t>
      </w:r>
    </w:p>
    <w:p w14:paraId="612C6D11" w14:textId="77777777" w:rsidR="0092789D" w:rsidRDefault="0092789D" w:rsidP="0092789D">
      <w:pPr>
        <w:spacing w:before="280" w:after="280"/>
        <w:ind w:left="360"/>
      </w:pPr>
      <w:r>
        <w:t>Limitation: A roadmap does not qualify a particular exchanger or create a complete interface standard.</w:t>
      </w:r>
    </w:p>
    <w:p w14:paraId="006119EB" w14:textId="77777777" w:rsidR="0092789D" w:rsidRDefault="0092789D" w:rsidP="0092789D">
      <w:pPr>
        <w:pStyle w:val="bhyperlink"/>
        <w:spacing w:after="280"/>
        <w:ind w:left="360"/>
      </w:pPr>
      <w:r>
        <w:rPr>
          <w:rStyle w:val="bhyperlinkChar"/>
        </w:rPr>
        <w:t>https://doi.org/10.1115/1.4047839</w:t>
      </w:r>
    </w:p>
    <w:p w14:paraId="282BFFB3" w14:textId="77777777" w:rsidR="0092789D" w:rsidRDefault="0092789D" w:rsidP="0092789D">
      <w:pPr>
        <w:pStyle w:val="cPaperTitle"/>
        <w:spacing w:before="280"/>
      </w:pPr>
      <w:r>
        <w:t>OECD Nuclear Energy Agency, “Reducing the Costs of Nuclear Power,” 2020</w:t>
      </w:r>
    </w:p>
    <w:p w14:paraId="3AFD39C4" w14:textId="77777777" w:rsidR="0092789D" w:rsidRDefault="0092789D" w:rsidP="0092789D">
      <w:pPr>
        <w:spacing w:before="280" w:after="280"/>
        <w:ind w:left="360"/>
      </w:pPr>
      <w:r>
        <w:t>Reviews standardization, repeat construction, modularization, project governance, financing, supply chains, and regulatory effects on nuclear cost.</w:t>
      </w:r>
    </w:p>
    <w:p w14:paraId="1F9DDDDC" w14:textId="77777777" w:rsidR="0092789D" w:rsidRDefault="0092789D" w:rsidP="0092789D">
      <w:pPr>
        <w:spacing w:before="280" w:after="280"/>
        <w:ind w:left="360"/>
      </w:pPr>
      <w:r>
        <w:t>Limitation: General cost lessons do not establish the economics of HTR-PM replication or chemical platforms.</w:t>
      </w:r>
    </w:p>
    <w:p w14:paraId="0655099B" w14:textId="77777777" w:rsidR="0092789D" w:rsidRDefault="0092789D" w:rsidP="0092789D">
      <w:pPr>
        <w:pStyle w:val="bhyperlink"/>
        <w:spacing w:after="280"/>
        <w:ind w:left="360"/>
      </w:pPr>
      <w:r>
        <w:rPr>
          <w:rStyle w:val="bhyperlinkChar"/>
        </w:rPr>
        <w:t>https://www.oecd-nea.org/</w:t>
      </w:r>
    </w:p>
    <w:p w14:paraId="075E3A22" w14:textId="77777777" w:rsidR="00837698" w:rsidRDefault="00994197">
      <w:pPr>
        <w:pStyle w:val="Heading2"/>
      </w:pPr>
      <w:r>
        <w:t>Thermal Storage and Industrial Interoperability Standards</w:t>
      </w:r>
    </w:p>
    <w:p w14:paraId="44E8CE04" w14:textId="77777777" w:rsidR="0092789D" w:rsidRDefault="0092789D" w:rsidP="0092789D">
      <w:pPr>
        <w:pStyle w:val="cPaperTitle"/>
        <w:spacing w:before="280"/>
      </w:pPr>
      <w:r>
        <w:t>ASME TES-1-2023, “Safety Standard for Thermal Energy Storage Systems: Molten Salt”</w:t>
      </w:r>
    </w:p>
    <w:p w14:paraId="32345AFA" w14:textId="77777777" w:rsidR="0092789D" w:rsidRDefault="0092789D" w:rsidP="0092789D">
      <w:pPr>
        <w:spacing w:before="280" w:after="280"/>
        <w:ind w:left="360"/>
      </w:pPr>
      <w:r>
        <w:t>Defines lifecycle requirements for molten-salt thermal-energy-storage systems, including storage vessels, pumps, valves, piping, heat exchangers, controls, inspection, testing, commissioning, operation, maintenance, and decommissioning. It gives the tank-automation work package an established safety framework to build upon rather than replace.</w:t>
      </w:r>
    </w:p>
    <w:p w14:paraId="1D92F566" w14:textId="77777777" w:rsidR="0092789D" w:rsidRDefault="0092789D" w:rsidP="0092789D">
      <w:pPr>
        <w:spacing w:before="280" w:after="280"/>
        <w:ind w:left="360"/>
      </w:pPr>
      <w:r>
        <w:t>Limitation: TES-1 does not specify the proposed robotic tank-jacking, panel placement, automated welding/NDE machines, modular site interfaces, or the economics of automated field construction.</w:t>
      </w:r>
    </w:p>
    <w:p w14:paraId="29DD15F5" w14:textId="77777777" w:rsidR="0092789D" w:rsidRDefault="0092789D" w:rsidP="0092789D">
      <w:pPr>
        <w:pStyle w:val="bhyperlink"/>
        <w:spacing w:after="280"/>
        <w:ind w:left="360"/>
      </w:pPr>
      <w:r w:rsidRPr="00426F8F">
        <w:rPr>
          <w:rStyle w:val="bhyperlinkChar"/>
          <w:sz w:val="18"/>
          <w:szCs w:val="16"/>
        </w:rPr>
        <w:t>https://www.asme.org/codes-standards/find-codes-standards/safety-standard-for-thermal-energy-storage-systems-molten-salt</w:t>
      </w:r>
    </w:p>
    <w:p w14:paraId="21A031EC" w14:textId="77777777" w:rsidR="0092789D" w:rsidRDefault="0092789D" w:rsidP="0092789D">
      <w:pPr>
        <w:pStyle w:val="cPaperTitle"/>
        <w:spacing w:before="280"/>
      </w:pPr>
      <w:r>
        <w:t>IEC 62541-1:2025, “OPC Unified Architecture - Part 1: Overview and Concepts”</w:t>
      </w:r>
    </w:p>
    <w:p w14:paraId="19A7DD04" w14:textId="77777777" w:rsidR="0092789D" w:rsidRDefault="0092789D" w:rsidP="0092789D">
      <w:pPr>
        <w:spacing w:before="280" w:after="280"/>
        <w:ind w:left="360"/>
      </w:pPr>
      <w:r>
        <w:t>Provides the foundation for OPC UA, the industrial interoperability architecture proposed in this document for common equipment identity, status, commands, alarms, maintenance, and data exchange across independently supplied processing platforms and site infrastructure.</w:t>
      </w:r>
    </w:p>
    <w:p w14:paraId="57D6915B" w14:textId="77777777" w:rsidR="0092789D" w:rsidRDefault="0092789D" w:rsidP="0092789D">
      <w:pPr>
        <w:spacing w:before="280" w:after="280"/>
        <w:ind w:left="360"/>
      </w:pPr>
      <w:r>
        <w:t>Limitation: The base OPC UA standard does not define this program’s platform-specific semantic model, mechanical or thermal interfaces, conformance tests, cybersecurity zoning, or safety logic; those require a dedicated companion specification and integration standard.</w:t>
      </w:r>
    </w:p>
    <w:p w14:paraId="5D934505" w14:textId="77777777" w:rsidR="0092789D" w:rsidRDefault="0092789D" w:rsidP="0092789D">
      <w:pPr>
        <w:pStyle w:val="bhyperlink"/>
        <w:spacing w:after="280"/>
        <w:ind w:left="360"/>
      </w:pPr>
      <w:r w:rsidRPr="00426F8F">
        <w:rPr>
          <w:rStyle w:val="bhyperlinkChar"/>
        </w:rPr>
        <w:t>https://webstore.iec.ch/en/publication/81513</w:t>
      </w:r>
    </w:p>
    <w:p w14:paraId="75CBBF68" w14:textId="77777777" w:rsidR="00837698" w:rsidRDefault="00994197">
      <w:pPr>
        <w:pStyle w:val="Heading2"/>
      </w:pPr>
      <w:r>
        <w:t>Heavy Module and Marine Transport</w:t>
      </w:r>
    </w:p>
    <w:p w14:paraId="247AFCE2" w14:textId="77777777" w:rsidR="0092789D" w:rsidRDefault="0092789D" w:rsidP="0092789D">
      <w:pPr>
        <w:pStyle w:val="cPaperTitle"/>
        <w:spacing w:before="280"/>
      </w:pPr>
      <w:r>
        <w:t>DNV-ST-N001, “Marine Operations and Marine Warranty,” current edition</w:t>
      </w:r>
    </w:p>
    <w:p w14:paraId="1D442692" w14:textId="77777777" w:rsidR="0092789D" w:rsidRDefault="0092789D" w:rsidP="0092789D">
      <w:pPr>
        <w:spacing w:before="280" w:after="280"/>
        <w:ind w:left="360"/>
      </w:pPr>
      <w:r>
        <w:t>Provides a recognized framework for planning, design, loads, weather criteria, documentation, and verification of heavy marine operations.</w:t>
      </w:r>
    </w:p>
    <w:p w14:paraId="5A8878EB" w14:textId="77777777" w:rsidR="0092789D" w:rsidRDefault="0092789D" w:rsidP="0092789D">
      <w:pPr>
        <w:spacing w:before="280" w:after="280"/>
        <w:ind w:left="360"/>
      </w:pPr>
      <w:r>
        <w:t>Limitation: Class and warranty standards must be applied to the actual cargo, vessel, ports, routes, and operations; they do not certify the proposed concept in advance.</w:t>
      </w:r>
    </w:p>
    <w:p w14:paraId="4093ACF5" w14:textId="77777777" w:rsidR="0092789D" w:rsidRDefault="0092789D" w:rsidP="0092789D">
      <w:pPr>
        <w:pStyle w:val="bhyperlink"/>
        <w:spacing w:after="280"/>
        <w:ind w:left="360"/>
      </w:pPr>
      <w:r>
        <w:rPr>
          <w:rStyle w:val="bhyperlinkChar"/>
        </w:rPr>
        <w:t>https://www.dnv.com/</w:t>
      </w:r>
    </w:p>
    <w:p w14:paraId="7C5F07D2" w14:textId="77777777" w:rsidR="0092789D" w:rsidRDefault="0092789D" w:rsidP="0092789D">
      <w:pPr>
        <w:pStyle w:val="cPaperTitle"/>
        <w:spacing w:before="280"/>
      </w:pPr>
      <w:r>
        <w:t>IMO, “Code of Safe Practice for Cargo Stowage and Securing” and Cargo Securing Manual guidance</w:t>
      </w:r>
    </w:p>
    <w:p w14:paraId="64BBF4CE" w14:textId="77777777" w:rsidR="0092789D" w:rsidRDefault="0092789D" w:rsidP="0092789D">
      <w:pPr>
        <w:spacing w:before="280" w:after="280"/>
        <w:ind w:left="360"/>
      </w:pPr>
      <w:r>
        <w:t>Defines international expectations for cargo loading, stowage, securing, manuals, and shipboard responsibilities, including heavy and semi-standardized cargo.</w:t>
      </w:r>
    </w:p>
    <w:p w14:paraId="19AB63DF" w14:textId="77777777" w:rsidR="0092789D" w:rsidRDefault="0092789D" w:rsidP="0092789D">
      <w:pPr>
        <w:spacing w:before="280" w:after="280"/>
        <w:ind w:left="360"/>
      </w:pPr>
      <w:r>
        <w:t>Limitation: Compliance does not solve the engineering of a 12 m by 96 m platform or guarantee port acceptance.</w:t>
      </w:r>
    </w:p>
    <w:p w14:paraId="5F231E1A" w14:textId="77777777" w:rsidR="0092789D" w:rsidRDefault="0092789D" w:rsidP="0092789D">
      <w:pPr>
        <w:pStyle w:val="bhyperlink"/>
        <w:spacing w:after="280"/>
        <w:ind w:left="360"/>
      </w:pPr>
      <w:r>
        <w:rPr>
          <w:rStyle w:val="bhyperlinkChar"/>
        </w:rPr>
        <w:t>https://www.imo.org/en/OurWork/Safety/Pages/CargoSecuring-default.aspx</w:t>
      </w:r>
    </w:p>
    <w:p w14:paraId="6146BF35" w14:textId="77777777" w:rsidR="009C3A0E" w:rsidRDefault="00994197">
      <w:pPr>
        <w:pStyle w:val="Heading1"/>
        <w:spacing w:before="280" w:after="280"/>
      </w:pPr>
      <w:bookmarkStart w:id="88" w:name="_Toc237471124"/>
      <w:bookmarkStart w:id="89" w:name="_Toc238129779"/>
      <w:bookmarkStart w:id="90" w:name="_Toc238205566"/>
      <w:r>
        <w:t>Top Researchers and Organizations</w:t>
      </w:r>
      <w:bookmarkEnd w:id="88"/>
      <w:bookmarkEnd w:id="89"/>
      <w:bookmarkEnd w:id="90"/>
    </w:p>
    <w:p w14:paraId="72224671" w14:textId="77777777" w:rsidR="009C3A0E" w:rsidRDefault="00994197">
      <w:pPr>
        <w:pStyle w:val="cUserPromptText"/>
        <w:spacing w:before="280" w:after="280"/>
      </w:pPr>
      <w:r>
        <w:rPr>
          <w:b/>
        </w:rPr>
        <w:t xml:space="preserve">Prompt to AI: </w:t>
      </w:r>
      <w:r>
        <w:t>Who are leading or especially relevant researchers, organizations, vendors, laboratories, standards bodies, transport firms, and process licensors? Group them by capability and explain their potential role.</w:t>
      </w:r>
    </w:p>
    <w:p w14:paraId="27F5565D" w14:textId="77777777" w:rsidR="009C3A0E" w:rsidRDefault="00994197">
      <w:pPr>
        <w:spacing w:before="280" w:after="280"/>
      </w:pPr>
      <w:r>
        <w:rPr>
          <w:b/>
          <w:color w:val="4F81BD"/>
          <w:u w:val="single"/>
        </w:rPr>
        <w:t>Response From AI:</w:t>
      </w:r>
    </w:p>
    <w:p w14:paraId="09FEE443" w14:textId="77777777" w:rsidR="009C3A0E" w:rsidRDefault="00994197">
      <w:r>
        <w:t>No single organization covers the mission. The fund needs HTR-PM and HTGR experts, nuclear owner engineers, process-heat and heat-exchanger specialists, electrolyzer researchers and vendors, ammonia licensors, modular fabrication yards, heavy transport and maritime firms, standards bodies, chemical and nuclear safety experts, cost modelers, regulators, and megaproject managers. “Top” below means relevant to the proposed work, not an objective global ranking. Current affiliation, availability, export restric</w:t>
      </w:r>
      <w:r>
        <w:t>tions, and conflicts must be verified before appointment or award.</w:t>
      </w:r>
    </w:p>
    <w:tbl>
      <w:tblPr>
        <w:tblStyle w:val="gswTableStyle"/>
        <w:tblW w:w="10152" w:type="dxa"/>
        <w:tblLayout w:type="fixed"/>
        <w:tblLook w:val="04A0" w:firstRow="1" w:lastRow="0" w:firstColumn="1" w:lastColumn="0" w:noHBand="0" w:noVBand="1"/>
      </w:tblPr>
      <w:tblGrid>
        <w:gridCol w:w="2374"/>
        <w:gridCol w:w="4032"/>
        <w:gridCol w:w="3746"/>
      </w:tblGrid>
      <w:tr w:rsidR="009C3A0E" w14:paraId="710DD227" w14:textId="77777777" w:rsidTr="009C3A0E">
        <w:trPr>
          <w:cnfStyle w:val="100000000000" w:firstRow="1" w:lastRow="0" w:firstColumn="0" w:lastColumn="0" w:oddVBand="0" w:evenVBand="0" w:oddHBand="0" w:evenHBand="0" w:firstRowFirstColumn="0" w:firstRowLastColumn="0" w:lastRowFirstColumn="0" w:lastRowLastColumn="0"/>
          <w:tblHeader/>
        </w:trPr>
        <w:tc>
          <w:tcPr>
            <w:tcW w:w="2374" w:type="dxa"/>
          </w:tcPr>
          <w:p w14:paraId="128793D7" w14:textId="77777777" w:rsidR="009C3A0E" w:rsidRDefault="00994197">
            <w:pPr>
              <w:pStyle w:val="cTableHeader"/>
              <w:spacing w:before="0" w:after="0"/>
            </w:pPr>
            <w:r>
              <w:t>Capability</w:t>
            </w:r>
          </w:p>
        </w:tc>
        <w:tc>
          <w:tcPr>
            <w:tcW w:w="4032" w:type="dxa"/>
          </w:tcPr>
          <w:p w14:paraId="763F6D1A" w14:textId="77777777" w:rsidR="009C3A0E" w:rsidRDefault="00994197">
            <w:pPr>
              <w:pStyle w:val="cTableHeader"/>
              <w:spacing w:before="0" w:after="0"/>
            </w:pPr>
            <w:r>
              <w:t>Illustrative people / organizations</w:t>
            </w:r>
          </w:p>
        </w:tc>
        <w:tc>
          <w:tcPr>
            <w:tcW w:w="3746" w:type="dxa"/>
          </w:tcPr>
          <w:p w14:paraId="7A498204" w14:textId="77777777" w:rsidR="009C3A0E" w:rsidRDefault="00994197">
            <w:pPr>
              <w:pStyle w:val="cTableHeader"/>
              <w:spacing w:before="0" w:after="0"/>
            </w:pPr>
            <w:r>
              <w:t>Potential contribution</w:t>
            </w:r>
          </w:p>
        </w:tc>
      </w:tr>
      <w:tr w:rsidR="009C3A0E" w14:paraId="72C89991" w14:textId="77777777" w:rsidTr="009C3A0E">
        <w:tc>
          <w:tcPr>
            <w:tcW w:w="2374" w:type="dxa"/>
          </w:tcPr>
          <w:p w14:paraId="3A44285D" w14:textId="77777777" w:rsidR="009C3A0E" w:rsidRDefault="00994197">
            <w:pPr>
              <w:pStyle w:val="cTableBody"/>
              <w:spacing w:before="0"/>
            </w:pPr>
            <w:r>
              <w:t>HTR-PM / HTGR and process heat</w:t>
            </w:r>
          </w:p>
        </w:tc>
        <w:tc>
          <w:tcPr>
            <w:tcW w:w="4032" w:type="dxa"/>
          </w:tcPr>
          <w:p w14:paraId="63CD5DE9" w14:textId="77777777" w:rsidR="009C3A0E" w:rsidRDefault="00994197">
            <w:pPr>
              <w:pStyle w:val="cTableBody"/>
              <w:spacing w:before="0"/>
            </w:pPr>
            <w:r>
              <w:t>Zhang Zuoyi and HTR-PM teams at Tsinghua INET; experts at IAEA HTGR knowledge programs; JAEA HTGR/HTTR teams; INL advanced-reactor and integrated-energy researchers.</w:t>
            </w:r>
          </w:p>
        </w:tc>
        <w:tc>
          <w:tcPr>
            <w:tcW w:w="3746" w:type="dxa"/>
          </w:tcPr>
          <w:p w14:paraId="5898A396" w14:textId="77777777" w:rsidR="009C3A0E" w:rsidRDefault="00994197">
            <w:pPr>
              <w:pStyle w:val="cTableBody"/>
              <w:spacing w:before="0"/>
            </w:pPr>
            <w:r>
              <w:t>Reference reactor envelope, high-temperature helium systems, safety, intermediate heat loops, and operating transients.</w:t>
            </w:r>
          </w:p>
        </w:tc>
      </w:tr>
      <w:tr w:rsidR="009C3A0E" w14:paraId="7E9D1A59" w14:textId="77777777" w:rsidTr="009C3A0E">
        <w:tc>
          <w:tcPr>
            <w:tcW w:w="2374" w:type="dxa"/>
          </w:tcPr>
          <w:p w14:paraId="14B834FB" w14:textId="77777777" w:rsidR="009C3A0E" w:rsidRDefault="00994197">
            <w:pPr>
              <w:pStyle w:val="cTableBody"/>
              <w:spacing w:before="0"/>
            </w:pPr>
            <w:r>
              <w:t>Nuclear integrated energy systems</w:t>
            </w:r>
          </w:p>
        </w:tc>
        <w:tc>
          <w:tcPr>
            <w:tcW w:w="4032" w:type="dxa"/>
          </w:tcPr>
          <w:p w14:paraId="79D54AD6" w14:textId="77777777" w:rsidR="009C3A0E" w:rsidRDefault="00994197">
            <w:pPr>
              <w:pStyle w:val="cTableBody"/>
              <w:spacing w:before="0"/>
            </w:pPr>
            <w:r>
              <w:t>Shannon Bragg-Sitton, Richard Boardman, Konor Frick, Daniel Wendt, Paul Talbot, J. E. O’Brien, and related INL/NREL/DOE teams.</w:t>
            </w:r>
          </w:p>
        </w:tc>
        <w:tc>
          <w:tcPr>
            <w:tcW w:w="3746" w:type="dxa"/>
          </w:tcPr>
          <w:p w14:paraId="06A4E2CA" w14:textId="77777777" w:rsidR="009C3A0E" w:rsidRDefault="00994197">
            <w:pPr>
              <w:pStyle w:val="cTableBody"/>
              <w:spacing w:before="0"/>
            </w:pPr>
            <w:r>
              <w:t>Systems integration, HTSE, dynamic models, test facilities, cost analysis, process heat, and owner-side technical review.</w:t>
            </w:r>
          </w:p>
        </w:tc>
      </w:tr>
      <w:tr w:rsidR="009C3A0E" w14:paraId="0E0B0CDD" w14:textId="77777777" w:rsidTr="009C3A0E">
        <w:tc>
          <w:tcPr>
            <w:tcW w:w="2374" w:type="dxa"/>
          </w:tcPr>
          <w:p w14:paraId="6C08C6A9" w14:textId="77777777" w:rsidR="009C3A0E" w:rsidRDefault="00994197">
            <w:pPr>
              <w:pStyle w:val="cTableBody"/>
              <w:spacing w:before="0"/>
            </w:pPr>
            <w:r>
              <w:t>Electrolysis and hydrogen</w:t>
            </w:r>
          </w:p>
        </w:tc>
        <w:tc>
          <w:tcPr>
            <w:tcW w:w="4032" w:type="dxa"/>
          </w:tcPr>
          <w:p w14:paraId="27BA24D4" w14:textId="77777777" w:rsidR="009C3A0E" w:rsidRDefault="00994197">
            <w:pPr>
              <w:pStyle w:val="cTableBody"/>
              <w:spacing w:before="0"/>
            </w:pPr>
            <w:r>
              <w:t>H2NEW consortium researchers; NREL electrolysis and H2A teams; solid-oxide electrolysis groups at INL, national laboratories, universities, and vendors such as Bloom, Sunfire, FuelCell Energy, Topsoe, and Siemens Energy.</w:t>
            </w:r>
          </w:p>
        </w:tc>
        <w:tc>
          <w:tcPr>
            <w:tcW w:w="3746" w:type="dxa"/>
          </w:tcPr>
          <w:p w14:paraId="2B238DFE" w14:textId="77777777" w:rsidR="009C3A0E" w:rsidRDefault="00994197">
            <w:pPr>
              <w:pStyle w:val="cTableBody"/>
              <w:spacing w:before="0"/>
            </w:pPr>
            <w:r>
              <w:t>Stack durability, manufacturing, steam integration, power electronics, balance of plant, compression, purity, and cost.</w:t>
            </w:r>
          </w:p>
        </w:tc>
      </w:tr>
      <w:tr w:rsidR="009C3A0E" w14:paraId="0C12C7C9" w14:textId="77777777" w:rsidTr="009C3A0E">
        <w:tc>
          <w:tcPr>
            <w:tcW w:w="2374" w:type="dxa"/>
          </w:tcPr>
          <w:p w14:paraId="58F9279E" w14:textId="77777777" w:rsidR="009C3A0E" w:rsidRDefault="00994197">
            <w:pPr>
              <w:pStyle w:val="cTableBody"/>
              <w:spacing w:before="0"/>
            </w:pPr>
            <w:r>
              <w:t>Ammonia science and process engineering</w:t>
            </w:r>
          </w:p>
        </w:tc>
        <w:tc>
          <w:tcPr>
            <w:tcW w:w="4032" w:type="dxa"/>
          </w:tcPr>
          <w:p w14:paraId="6971AE1D" w14:textId="77777777" w:rsidR="009C3A0E" w:rsidRDefault="00994197">
            <w:pPr>
              <w:pStyle w:val="cTableBody"/>
              <w:spacing w:before="0"/>
            </w:pPr>
            <w:r>
              <w:t>Jens Nørskov, Ib Chorkendorff, Douglas MacFarlane, Robert Schlögl, William Schneider, and conventional ammonia process experts at Topsoe, KBR, Casale, thyssenkrupp Uhde, Air Liquide, and Linde.</w:t>
            </w:r>
          </w:p>
        </w:tc>
        <w:tc>
          <w:tcPr>
            <w:tcW w:w="3746" w:type="dxa"/>
          </w:tcPr>
          <w:p w14:paraId="493186F2" w14:textId="77777777" w:rsidR="009C3A0E" w:rsidRDefault="00994197">
            <w:pPr>
              <w:pStyle w:val="cTableBody"/>
              <w:spacing w:before="0"/>
            </w:pPr>
            <w:r>
              <w:t>Catalysts, Haber-Bosch design, flexible operation, air separation, heat integration, refrigeration, storage, and alternative synthesis review.</w:t>
            </w:r>
          </w:p>
        </w:tc>
      </w:tr>
      <w:tr w:rsidR="009C3A0E" w14:paraId="1CFAB7B6" w14:textId="77777777" w:rsidTr="009C3A0E">
        <w:tc>
          <w:tcPr>
            <w:tcW w:w="2374" w:type="dxa"/>
          </w:tcPr>
          <w:p w14:paraId="478723A4" w14:textId="77777777" w:rsidR="009C3A0E" w:rsidRDefault="00994197">
            <w:pPr>
              <w:pStyle w:val="cTableBody"/>
              <w:spacing w:before="0"/>
            </w:pPr>
            <w:r>
              <w:t>Heavy transport and marine operations</w:t>
            </w:r>
          </w:p>
        </w:tc>
        <w:tc>
          <w:tcPr>
            <w:tcW w:w="4032" w:type="dxa"/>
          </w:tcPr>
          <w:p w14:paraId="266F1835" w14:textId="77777777" w:rsidR="009C3A0E" w:rsidRDefault="00994197">
            <w:pPr>
              <w:pStyle w:val="cTableBody"/>
              <w:spacing w:before="0"/>
            </w:pPr>
            <w:r>
              <w:t>Senior engineers at Mammoet, Sarens, Goldhofer, TII Scheuerle, DNV, ABS, Lloyd’s Register, Bureau Veritas, heavy-lift shipping companies, port engineers, and major shipyards.</w:t>
            </w:r>
          </w:p>
        </w:tc>
        <w:tc>
          <w:tcPr>
            <w:tcW w:w="3746" w:type="dxa"/>
          </w:tcPr>
          <w:p w14:paraId="0F0063A0" w14:textId="77777777" w:rsidR="009C3A0E" w:rsidRDefault="00994197">
            <w:pPr>
              <w:pStyle w:val="cTableBody"/>
              <w:spacing w:before="0"/>
            </w:pPr>
            <w:r>
              <w:t>Carrier dynamics, route engineering, active jacking, dock transfer, vessel stability, seafastening, weather criteria, class, and recovery.</w:t>
            </w:r>
          </w:p>
        </w:tc>
      </w:tr>
      <w:tr w:rsidR="009C3A0E" w14:paraId="0BA52D86" w14:textId="77777777" w:rsidTr="009C3A0E">
        <w:tc>
          <w:tcPr>
            <w:tcW w:w="2374" w:type="dxa"/>
          </w:tcPr>
          <w:p w14:paraId="596678A3" w14:textId="77777777" w:rsidR="009C3A0E" w:rsidRDefault="00994197">
            <w:pPr>
              <w:pStyle w:val="cTableBody"/>
              <w:spacing w:before="0"/>
            </w:pPr>
            <w:r>
              <w:t>Modular construction and factory QA</w:t>
            </w:r>
          </w:p>
        </w:tc>
        <w:tc>
          <w:tcPr>
            <w:tcW w:w="4032" w:type="dxa"/>
          </w:tcPr>
          <w:p w14:paraId="4B2EF5E8" w14:textId="77777777" w:rsidR="009C3A0E" w:rsidRDefault="00994197">
            <w:pPr>
              <w:pStyle w:val="cTableBody"/>
              <w:spacing w:before="0"/>
            </w:pPr>
            <w:r>
              <w:t xml:space="preserve">Module fabrication and construction leaders </w:t>
            </w:r>
            <w:r>
              <w:t>at Bechtel, Fluor, Worley, Technip Energies, McDermott, Saipem, pressure-vessel yards, shipyards, and advanced welding/NDE suppliers.</w:t>
            </w:r>
          </w:p>
        </w:tc>
        <w:tc>
          <w:tcPr>
            <w:tcW w:w="3746" w:type="dxa"/>
          </w:tcPr>
          <w:p w14:paraId="639CA650" w14:textId="77777777" w:rsidR="009C3A0E" w:rsidRDefault="00994197">
            <w:pPr>
              <w:pStyle w:val="cTableBody"/>
              <w:spacing w:before="0"/>
            </w:pPr>
            <w:r>
              <w:t>Design-for-manufacture-and-assembly, production flow, quality, pressure boundaries, digital traceability, factory acceptance, and site installation.</w:t>
            </w:r>
          </w:p>
        </w:tc>
      </w:tr>
      <w:tr w:rsidR="009C3A0E" w14:paraId="46A11FCC" w14:textId="77777777" w:rsidTr="009C3A0E">
        <w:tc>
          <w:tcPr>
            <w:tcW w:w="2374" w:type="dxa"/>
          </w:tcPr>
          <w:p w14:paraId="5AD014B7" w14:textId="77777777" w:rsidR="009C3A0E" w:rsidRDefault="00994197">
            <w:pPr>
              <w:pStyle w:val="cTableBody"/>
              <w:spacing w:before="0"/>
            </w:pPr>
            <w:r>
              <w:t>Standards, licensing, and safety</w:t>
            </w:r>
          </w:p>
        </w:tc>
        <w:tc>
          <w:tcPr>
            <w:tcW w:w="4032" w:type="dxa"/>
          </w:tcPr>
          <w:p w14:paraId="7BB7A2AB" w14:textId="77777777" w:rsidR="009C3A0E" w:rsidRDefault="00994197">
            <w:pPr>
              <w:pStyle w:val="cTableBody"/>
              <w:spacing w:before="0"/>
            </w:pPr>
            <w:r>
              <w:t>ASME, ANS, ASTM, ISA, IEC, NFPA, API, IAEA, nuclear regulators, chemical process safety specialists, classification societies, and emergency-response organizations.</w:t>
            </w:r>
          </w:p>
        </w:tc>
        <w:tc>
          <w:tcPr>
            <w:tcW w:w="3746" w:type="dxa"/>
          </w:tcPr>
          <w:p w14:paraId="4EE8736E" w14:textId="77777777" w:rsidR="009C3A0E" w:rsidRDefault="00994197">
            <w:pPr>
              <w:pStyle w:val="cTableBody"/>
              <w:spacing w:before="0"/>
            </w:pPr>
            <w:r>
              <w:t>Open interface standard, code cases, graded QA, functional safety, hazardous areas, cyber, relief, fire protection, and responsibility boundaries.</w:t>
            </w:r>
          </w:p>
        </w:tc>
      </w:tr>
      <w:tr w:rsidR="009C3A0E" w14:paraId="5DB4F3D2" w14:textId="77777777" w:rsidTr="009C3A0E">
        <w:tc>
          <w:tcPr>
            <w:tcW w:w="2374" w:type="dxa"/>
          </w:tcPr>
          <w:p w14:paraId="2E4DB0F9" w14:textId="77777777" w:rsidR="009C3A0E" w:rsidRDefault="00994197">
            <w:pPr>
              <w:pStyle w:val="cTableBody"/>
              <w:spacing w:before="0"/>
            </w:pPr>
            <w:r>
              <w:t>Cost, lifecycle, and markets</w:t>
            </w:r>
          </w:p>
        </w:tc>
        <w:tc>
          <w:tcPr>
            <w:tcW w:w="4032" w:type="dxa"/>
          </w:tcPr>
          <w:p w14:paraId="758B0E74" w14:textId="77777777" w:rsidR="009C3A0E" w:rsidRDefault="00994197">
            <w:pPr>
              <w:pStyle w:val="cTableBody"/>
              <w:spacing w:before="0"/>
            </w:pPr>
            <w:r>
              <w:t>NREL, NETL, Argonne, INL, DOE H2A teams, independent cost engineers, fertilizer-market specialists, water and lifecycle analysts, and university energy-system groups.</w:t>
            </w:r>
          </w:p>
        </w:tc>
        <w:tc>
          <w:tcPr>
            <w:tcW w:w="3746" w:type="dxa"/>
          </w:tcPr>
          <w:p w14:paraId="72B67BB6" w14:textId="77777777" w:rsidR="009C3A0E" w:rsidRDefault="00994197">
            <w:pPr>
              <w:pStyle w:val="cTableBody"/>
              <w:spacing w:before="0"/>
            </w:pPr>
            <w:r>
              <w:t>Reproducible economics, fossil benchmarks, product markets, financing, capacity factor, oxygen credit, emissions, water, and uncertainty.</w:t>
            </w:r>
          </w:p>
        </w:tc>
      </w:tr>
    </w:tbl>
    <w:p w14:paraId="01FA9F20" w14:textId="77777777" w:rsidR="009C3A0E" w:rsidRDefault="00994197">
      <w:pPr>
        <w:pStyle w:val="cSubject"/>
      </w:pPr>
      <w:r>
        <w:t>Selection principles</w:t>
      </w:r>
    </w:p>
    <w:p w14:paraId="06B74E51" w14:textId="77777777" w:rsidR="009C3A0E" w:rsidRPr="00B71D4D" w:rsidRDefault="00994197" w:rsidP="00B71D4D">
      <w:pPr>
        <w:pStyle w:val="blist-bullets"/>
      </w:pPr>
      <w:r w:rsidRPr="00B71D4D">
        <w:t>Select panels and contractors for evidence and capability, not prestige or advocacy for nuclear, hydrogen, ammonia, or a proprietary process.</w:t>
      </w:r>
    </w:p>
    <w:p w14:paraId="41443C0A" w14:textId="77777777" w:rsidR="009C3A0E" w:rsidRPr="00B71D4D" w:rsidRDefault="00994197" w:rsidP="00B71D4D">
      <w:pPr>
        <w:pStyle w:val="blist-bullets"/>
      </w:pPr>
      <w:r w:rsidRPr="00B71D4D">
        <w:t>Include operators and maintainers who have run electrolyzers, ammonia plants, heavy transport, ports, ship loading, chemical storage, and nuclear plants—not only designers.</w:t>
      </w:r>
    </w:p>
    <w:p w14:paraId="71C02875" w14:textId="77777777" w:rsidR="009C3A0E" w:rsidRPr="00B71D4D" w:rsidRDefault="00994197" w:rsidP="00B71D4D">
      <w:pPr>
        <w:pStyle w:val="blist-bullets"/>
      </w:pPr>
      <w:r w:rsidRPr="00B71D4D">
        <w:t>Require at least one skeptic or alternative-technology expert in each major review.</w:t>
      </w:r>
    </w:p>
    <w:p w14:paraId="73DD0371" w14:textId="77777777" w:rsidR="009C3A0E" w:rsidRPr="00B71D4D" w:rsidRDefault="00994197" w:rsidP="00B71D4D">
      <w:pPr>
        <w:pStyle w:val="blist-bullets"/>
      </w:pPr>
      <w:r w:rsidRPr="00B71D4D">
        <w:t>Verify access to needed facilities, data, software, process licenses, class approvals, insurance, and qualified personnel.</w:t>
      </w:r>
    </w:p>
    <w:p w14:paraId="00D9F878" w14:textId="77777777" w:rsidR="009C3A0E" w:rsidRPr="00B71D4D" w:rsidRDefault="00994197" w:rsidP="00B71D4D">
      <w:pPr>
        <w:pStyle w:val="blist-bullets"/>
      </w:pPr>
      <w:r w:rsidRPr="00B71D4D">
        <w:t>Avoid panels dominated by vendors whose revenue depends on advancing to the next phase.</w:t>
      </w:r>
    </w:p>
    <w:p w14:paraId="451DD528" w14:textId="77777777" w:rsidR="009C3A0E" w:rsidRDefault="00994197">
      <w:pPr>
        <w:pStyle w:val="Heading1"/>
        <w:spacing w:before="280" w:after="280"/>
      </w:pPr>
      <w:bookmarkStart w:id="91" w:name="_Toc237345541"/>
      <w:bookmarkStart w:id="92" w:name="_Toc237471125"/>
      <w:bookmarkStart w:id="93" w:name="_Toc238129780"/>
      <w:bookmarkStart w:id="94" w:name="_Toc238205567"/>
      <w:r>
        <w:t>Scientific and Engineering Advisory Panel</w:t>
      </w:r>
      <w:bookmarkEnd w:id="91"/>
      <w:bookmarkEnd w:id="92"/>
      <w:bookmarkEnd w:id="93"/>
      <w:bookmarkEnd w:id="94"/>
    </w:p>
    <w:p w14:paraId="248736E7" w14:textId="77777777" w:rsidR="009C3A0E" w:rsidRDefault="00994197">
      <w:pPr>
        <w:pStyle w:val="cUserPromptText"/>
        <w:spacing w:before="280" w:after="280"/>
      </w:pPr>
      <w:r>
        <w:rPr>
          <w:b/>
        </w:rPr>
        <w:t xml:space="preserve">Prompt to AI: </w:t>
      </w:r>
      <w:r>
        <w:t>If a scientific and engineering panel were established, who might serve, what expertise should be represented, and how should it operate?</w:t>
      </w:r>
    </w:p>
    <w:p w14:paraId="7251F2EA" w14:textId="77777777" w:rsidR="009C3A0E" w:rsidRDefault="00994197">
      <w:pPr>
        <w:spacing w:before="280" w:after="280"/>
      </w:pPr>
      <w:r>
        <w:rPr>
          <w:b/>
          <w:color w:val="4F81BD"/>
          <w:u w:val="single"/>
        </w:rPr>
        <w:t>Response From AI:</w:t>
      </w:r>
    </w:p>
    <w:p w14:paraId="4CE0E149" w14:textId="77777777" w:rsidR="009C3A0E" w:rsidRDefault="00994197">
      <w:r>
        <w:t>The panel should be small enough to deliberate, broad enough to challenge the reference concept, and independent enough to report uncomfortable findings. Names are illustrative; availability, employer approval, nationality/export restrictions, and conflicts require confirmation. Comparable substitutes are acceptable.</w:t>
      </w:r>
    </w:p>
    <w:tbl>
      <w:tblPr>
        <w:tblStyle w:val="gswTableStyle"/>
        <w:tblW w:w="10332" w:type="dxa"/>
        <w:tblLayout w:type="fixed"/>
        <w:tblLook w:val="04A0" w:firstRow="1" w:lastRow="0" w:firstColumn="1" w:lastColumn="0" w:noHBand="0" w:noVBand="1"/>
      </w:tblPr>
      <w:tblGrid>
        <w:gridCol w:w="2376"/>
        <w:gridCol w:w="3420"/>
        <w:gridCol w:w="4536"/>
      </w:tblGrid>
      <w:tr w:rsidR="009C3A0E" w14:paraId="08BD5A51" w14:textId="77777777" w:rsidTr="009C3A0E">
        <w:trPr>
          <w:cnfStyle w:val="100000000000" w:firstRow="1" w:lastRow="0" w:firstColumn="0" w:lastColumn="0" w:oddVBand="0" w:evenVBand="0" w:oddHBand="0" w:evenHBand="0" w:firstRowFirstColumn="0" w:firstRowLastColumn="0" w:lastRowFirstColumn="0" w:lastRowLastColumn="0"/>
          <w:tblHeader/>
        </w:trPr>
        <w:tc>
          <w:tcPr>
            <w:tcW w:w="2376" w:type="dxa"/>
          </w:tcPr>
          <w:p w14:paraId="6A2F851C" w14:textId="77777777" w:rsidR="009C3A0E" w:rsidRDefault="00994197">
            <w:pPr>
              <w:pStyle w:val="cTableHeader"/>
              <w:spacing w:before="0" w:after="0"/>
            </w:pPr>
            <w:r>
              <w:t>Expertise seat</w:t>
            </w:r>
          </w:p>
        </w:tc>
        <w:tc>
          <w:tcPr>
            <w:tcW w:w="3420" w:type="dxa"/>
          </w:tcPr>
          <w:p w14:paraId="3C1269F9" w14:textId="77777777" w:rsidR="009C3A0E" w:rsidRDefault="00994197">
            <w:pPr>
              <w:pStyle w:val="cTableHeader"/>
              <w:spacing w:before="0" w:after="0"/>
            </w:pPr>
            <w:r>
              <w:t>Illustrative profile</w:t>
            </w:r>
          </w:p>
        </w:tc>
        <w:tc>
          <w:tcPr>
            <w:tcW w:w="4536" w:type="dxa"/>
          </w:tcPr>
          <w:p w14:paraId="29785764" w14:textId="77777777" w:rsidR="009C3A0E" w:rsidRDefault="00994197">
            <w:pPr>
              <w:pStyle w:val="cTableHeader"/>
              <w:spacing w:before="0" w:after="0"/>
            </w:pPr>
            <w:r>
              <w:t>Primary review questions</w:t>
            </w:r>
          </w:p>
        </w:tc>
      </w:tr>
      <w:tr w:rsidR="009C3A0E" w14:paraId="58C56855" w14:textId="77777777" w:rsidTr="009C3A0E">
        <w:tc>
          <w:tcPr>
            <w:tcW w:w="2376" w:type="dxa"/>
          </w:tcPr>
          <w:p w14:paraId="633E97BC" w14:textId="77777777" w:rsidR="009C3A0E" w:rsidRDefault="00994197">
            <w:pPr>
              <w:pStyle w:val="cTableBody"/>
              <w:spacing w:before="0"/>
            </w:pPr>
            <w:r>
              <w:t>HTR-PM / HTGR reactor expert</w:t>
            </w:r>
          </w:p>
        </w:tc>
        <w:tc>
          <w:tcPr>
            <w:tcW w:w="3420" w:type="dxa"/>
          </w:tcPr>
          <w:p w14:paraId="734FFDFB" w14:textId="77777777" w:rsidR="009C3A0E" w:rsidRDefault="00994197">
            <w:pPr>
              <w:pStyle w:val="cTableBody"/>
              <w:spacing w:before="0"/>
            </w:pPr>
            <w:r>
              <w:t>Senior Tsinghua INET, JAEA, IAEA, or independent HTGR engineer</w:t>
            </w:r>
          </w:p>
        </w:tc>
        <w:tc>
          <w:tcPr>
            <w:tcW w:w="4536" w:type="dxa"/>
          </w:tcPr>
          <w:p w14:paraId="5ECF7B98" w14:textId="77777777" w:rsidR="009C3A0E" w:rsidRDefault="00994197">
            <w:pPr>
              <w:pStyle w:val="cTableBody"/>
              <w:spacing w:before="0"/>
            </w:pPr>
            <w:r>
              <w:t>Reactor utility envelope, safety features, transients, data access, and limitations of the reference concept.</w:t>
            </w:r>
          </w:p>
        </w:tc>
      </w:tr>
      <w:tr w:rsidR="009C3A0E" w14:paraId="5191477F" w14:textId="77777777" w:rsidTr="009C3A0E">
        <w:tc>
          <w:tcPr>
            <w:tcW w:w="2376" w:type="dxa"/>
          </w:tcPr>
          <w:p w14:paraId="28407739" w14:textId="77777777" w:rsidR="009C3A0E" w:rsidRDefault="00994197">
            <w:pPr>
              <w:pStyle w:val="cTableBody"/>
              <w:spacing w:before="0"/>
            </w:pPr>
            <w:r>
              <w:t>Nuclear integrated energy systems</w:t>
            </w:r>
          </w:p>
        </w:tc>
        <w:tc>
          <w:tcPr>
            <w:tcW w:w="3420" w:type="dxa"/>
          </w:tcPr>
          <w:p w14:paraId="4C2A803A" w14:textId="77777777" w:rsidR="009C3A0E" w:rsidRDefault="00994197">
            <w:pPr>
              <w:pStyle w:val="cTableBody"/>
              <w:spacing w:before="0"/>
            </w:pPr>
            <w:r>
              <w:t>Senior INL or comparable national-laboratory systems engineer</w:t>
            </w:r>
          </w:p>
        </w:tc>
        <w:tc>
          <w:tcPr>
            <w:tcW w:w="4536" w:type="dxa"/>
          </w:tcPr>
          <w:p w14:paraId="15860598" w14:textId="77777777" w:rsidR="009C3A0E" w:rsidRDefault="00994197">
            <w:pPr>
              <w:pStyle w:val="cTableBody"/>
              <w:spacing w:before="0"/>
            </w:pPr>
            <w:r>
              <w:t>Heat/electricity coupling, dynamic operation, intermediate loop, storage, and integrated test strategy.</w:t>
            </w:r>
          </w:p>
        </w:tc>
      </w:tr>
      <w:tr w:rsidR="009C3A0E" w14:paraId="39789C5B" w14:textId="77777777" w:rsidTr="009C3A0E">
        <w:tc>
          <w:tcPr>
            <w:tcW w:w="2376" w:type="dxa"/>
          </w:tcPr>
          <w:p w14:paraId="4D70C494" w14:textId="77777777" w:rsidR="009C3A0E" w:rsidRDefault="00994197">
            <w:pPr>
              <w:pStyle w:val="cTableBody"/>
              <w:spacing w:before="0"/>
            </w:pPr>
            <w:r>
              <w:t>Nuclear licensing and QA</w:t>
            </w:r>
          </w:p>
        </w:tc>
        <w:tc>
          <w:tcPr>
            <w:tcW w:w="3420" w:type="dxa"/>
          </w:tcPr>
          <w:p w14:paraId="7A323BC0" w14:textId="77777777" w:rsidR="009C3A0E" w:rsidRDefault="00994197">
            <w:pPr>
              <w:pStyle w:val="cTableBody"/>
              <w:spacing w:before="0"/>
            </w:pPr>
            <w:r>
              <w:t>Former regulator or independent licensing lead with advanced-reactor and supplier-QA experience</w:t>
            </w:r>
          </w:p>
        </w:tc>
        <w:tc>
          <w:tcPr>
            <w:tcW w:w="4536" w:type="dxa"/>
          </w:tcPr>
          <w:p w14:paraId="742B3AB8" w14:textId="77777777" w:rsidR="009C3A0E" w:rsidRDefault="00994197">
            <w:pPr>
              <w:pStyle w:val="cTableBody"/>
              <w:spacing w:before="0"/>
            </w:pPr>
            <w:r>
              <w:t>Licensing boundary, codes, graded QA, controlled information, and regulator engagement.</w:t>
            </w:r>
          </w:p>
        </w:tc>
      </w:tr>
      <w:tr w:rsidR="009C3A0E" w14:paraId="60259AF8" w14:textId="77777777" w:rsidTr="009C3A0E">
        <w:tc>
          <w:tcPr>
            <w:tcW w:w="2376" w:type="dxa"/>
          </w:tcPr>
          <w:p w14:paraId="63131E1B" w14:textId="77777777" w:rsidR="009C3A0E" w:rsidRDefault="00994197">
            <w:pPr>
              <w:pStyle w:val="cTableBody"/>
              <w:spacing w:before="0"/>
            </w:pPr>
            <w:r>
              <w:t>Chemical process safety</w:t>
            </w:r>
          </w:p>
        </w:tc>
        <w:tc>
          <w:tcPr>
            <w:tcW w:w="3420" w:type="dxa"/>
          </w:tcPr>
          <w:p w14:paraId="6F76E3D9" w14:textId="77777777" w:rsidR="009C3A0E" w:rsidRDefault="00994197">
            <w:pPr>
              <w:pStyle w:val="cTableBody"/>
              <w:spacing w:before="0"/>
            </w:pPr>
            <w:r>
              <w:t>Independent CCPS/HAZOP/relief/fire-protection expert</w:t>
            </w:r>
          </w:p>
        </w:tc>
        <w:tc>
          <w:tcPr>
            <w:tcW w:w="4536" w:type="dxa"/>
          </w:tcPr>
          <w:p w14:paraId="3F0FE734" w14:textId="77777777" w:rsidR="009C3A0E" w:rsidRDefault="00994197">
            <w:pPr>
              <w:pStyle w:val="cTableBody"/>
              <w:spacing w:before="0"/>
            </w:pPr>
            <w:r>
              <w:t>Hydrogen, oxygen, ammonia, high pressure, hazardous areas, siting, containment, and emergency response.</w:t>
            </w:r>
          </w:p>
        </w:tc>
      </w:tr>
      <w:tr w:rsidR="009C3A0E" w14:paraId="7AF114B6" w14:textId="77777777" w:rsidTr="009C3A0E">
        <w:tc>
          <w:tcPr>
            <w:tcW w:w="2376" w:type="dxa"/>
          </w:tcPr>
          <w:p w14:paraId="1DB6F735" w14:textId="77777777" w:rsidR="009C3A0E" w:rsidRDefault="00994197">
            <w:pPr>
              <w:pStyle w:val="cTableBody"/>
              <w:spacing w:before="0"/>
            </w:pPr>
            <w:r>
              <w:t>Hydrogen / HTSE</w:t>
            </w:r>
          </w:p>
        </w:tc>
        <w:tc>
          <w:tcPr>
            <w:tcW w:w="3420" w:type="dxa"/>
          </w:tcPr>
          <w:p w14:paraId="0F36814D" w14:textId="77777777" w:rsidR="009C3A0E" w:rsidRDefault="00994197">
            <w:pPr>
              <w:pStyle w:val="cTableBody"/>
              <w:spacing w:before="0"/>
            </w:pPr>
            <w:r>
              <w:t>Independent electrolyzer scientist or operator with long-duration solid-oxide experience</w:t>
            </w:r>
          </w:p>
        </w:tc>
        <w:tc>
          <w:tcPr>
            <w:tcW w:w="4536" w:type="dxa"/>
          </w:tcPr>
          <w:p w14:paraId="390B20AB" w14:textId="77777777" w:rsidR="009C3A0E" w:rsidRDefault="00994197">
            <w:pPr>
              <w:pStyle w:val="cTableBody"/>
              <w:spacing w:before="0"/>
            </w:pPr>
            <w:r>
              <w:t>Stack degradation, steam quality, system efficiency, dynamic limits, manufacturing, and pilot acceptance.</w:t>
            </w:r>
          </w:p>
        </w:tc>
      </w:tr>
      <w:tr w:rsidR="009C3A0E" w14:paraId="7A6196B3" w14:textId="77777777" w:rsidTr="009C3A0E">
        <w:tc>
          <w:tcPr>
            <w:tcW w:w="2376" w:type="dxa"/>
          </w:tcPr>
          <w:p w14:paraId="0DB48D18" w14:textId="77777777" w:rsidR="009C3A0E" w:rsidRDefault="00994197">
            <w:pPr>
              <w:pStyle w:val="cTableBody"/>
              <w:spacing w:before="0"/>
            </w:pPr>
            <w:r>
              <w:t>Ammonia process</w:t>
            </w:r>
          </w:p>
        </w:tc>
        <w:tc>
          <w:tcPr>
            <w:tcW w:w="3420" w:type="dxa"/>
          </w:tcPr>
          <w:p w14:paraId="629598AD" w14:textId="77777777" w:rsidR="009C3A0E" w:rsidRDefault="00994197">
            <w:pPr>
              <w:pStyle w:val="cTableBody"/>
              <w:spacing w:before="0"/>
            </w:pPr>
            <w:r>
              <w:t>Independent ammonia licensor/operator or university expert</w:t>
            </w:r>
          </w:p>
        </w:tc>
        <w:tc>
          <w:tcPr>
            <w:tcW w:w="4536" w:type="dxa"/>
          </w:tcPr>
          <w:p w14:paraId="200EFF37" w14:textId="77777777" w:rsidR="009C3A0E" w:rsidRDefault="00994197">
            <w:pPr>
              <w:pStyle w:val="cTableBody"/>
              <w:spacing w:before="0"/>
            </w:pPr>
            <w:r>
              <w:t>Air separation, synthesis loop, catalyst, compression, heat recovery, refrigeration, storage, and emissions.</w:t>
            </w:r>
          </w:p>
        </w:tc>
      </w:tr>
      <w:tr w:rsidR="009C3A0E" w14:paraId="54B2D270" w14:textId="77777777" w:rsidTr="009C3A0E">
        <w:tc>
          <w:tcPr>
            <w:tcW w:w="2376" w:type="dxa"/>
          </w:tcPr>
          <w:p w14:paraId="0CDF5A4D" w14:textId="77777777" w:rsidR="009C3A0E" w:rsidRDefault="00994197">
            <w:pPr>
              <w:pStyle w:val="cTableBody"/>
              <w:spacing w:before="0"/>
            </w:pPr>
            <w:r>
              <w:t>Mechanical and heat-exchanger codes</w:t>
            </w:r>
          </w:p>
        </w:tc>
        <w:tc>
          <w:tcPr>
            <w:tcW w:w="3420" w:type="dxa"/>
          </w:tcPr>
          <w:p w14:paraId="6F97E674" w14:textId="77777777" w:rsidR="009C3A0E" w:rsidRDefault="00994197">
            <w:pPr>
              <w:pStyle w:val="cTableBody"/>
              <w:spacing w:before="0"/>
            </w:pPr>
            <w:r>
              <w:t>ASME pressure-boundary and compact-heat-exchanger expert</w:t>
            </w:r>
          </w:p>
        </w:tc>
        <w:tc>
          <w:tcPr>
            <w:tcW w:w="4536" w:type="dxa"/>
          </w:tcPr>
          <w:p w14:paraId="3170EFF8" w14:textId="77777777" w:rsidR="009C3A0E" w:rsidRDefault="00994197">
            <w:pPr>
              <w:pStyle w:val="cTableBody"/>
              <w:spacing w:before="0"/>
            </w:pPr>
            <w:r>
              <w:t>Materials, welds/diffusion bonding, inspection, creep-fatigue, leakage, and code qualification.</w:t>
            </w:r>
          </w:p>
        </w:tc>
      </w:tr>
      <w:tr w:rsidR="009C3A0E" w14:paraId="6A80568C" w14:textId="77777777" w:rsidTr="009C3A0E">
        <w:tc>
          <w:tcPr>
            <w:tcW w:w="2376" w:type="dxa"/>
          </w:tcPr>
          <w:p w14:paraId="6B3FE841" w14:textId="77777777" w:rsidR="009C3A0E" w:rsidRDefault="00994197">
            <w:pPr>
              <w:pStyle w:val="cTableBody"/>
              <w:spacing w:before="0"/>
            </w:pPr>
            <w:r>
              <w:t>Heavy transport structural dynamics</w:t>
            </w:r>
          </w:p>
        </w:tc>
        <w:tc>
          <w:tcPr>
            <w:tcW w:w="3420" w:type="dxa"/>
          </w:tcPr>
          <w:p w14:paraId="0DBDF017" w14:textId="77777777" w:rsidR="009C3A0E" w:rsidRDefault="00994197">
            <w:pPr>
              <w:pStyle w:val="cTableBody"/>
              <w:spacing w:before="0"/>
            </w:pPr>
            <w:r>
              <w:t>Independent heavy-lift engineer or academic</w:t>
            </w:r>
          </w:p>
        </w:tc>
        <w:tc>
          <w:tcPr>
            <w:tcW w:w="4536" w:type="dxa"/>
          </w:tcPr>
          <w:p w14:paraId="4AB05A2D" w14:textId="77777777" w:rsidR="009C3A0E" w:rsidRDefault="00994197">
            <w:pPr>
              <w:pStyle w:val="cTableBody"/>
              <w:spacing w:before="0"/>
            </w:pPr>
            <w:r>
              <w:t>Platform/truss loads, active jacking, carrier synchronization, route geometry, braking, and recovery.</w:t>
            </w:r>
          </w:p>
        </w:tc>
      </w:tr>
      <w:tr w:rsidR="009C3A0E" w14:paraId="5494FFC5" w14:textId="77777777" w:rsidTr="009C3A0E">
        <w:tc>
          <w:tcPr>
            <w:tcW w:w="2376" w:type="dxa"/>
          </w:tcPr>
          <w:p w14:paraId="58852FC5" w14:textId="77777777" w:rsidR="009C3A0E" w:rsidRDefault="00994197">
            <w:pPr>
              <w:pStyle w:val="cTableBody"/>
              <w:spacing w:before="0"/>
            </w:pPr>
            <w:r>
              <w:t>Naval architecture / marine warranty</w:t>
            </w:r>
          </w:p>
        </w:tc>
        <w:tc>
          <w:tcPr>
            <w:tcW w:w="3420" w:type="dxa"/>
          </w:tcPr>
          <w:p w14:paraId="08867C86" w14:textId="77777777" w:rsidR="009C3A0E" w:rsidRDefault="00994197">
            <w:pPr>
              <w:pStyle w:val="cTableBody"/>
              <w:spacing w:before="0"/>
            </w:pPr>
            <w:r>
              <w:t>Independent class or marine warranty professional</w:t>
            </w:r>
          </w:p>
        </w:tc>
        <w:tc>
          <w:tcPr>
            <w:tcW w:w="4536" w:type="dxa"/>
          </w:tcPr>
          <w:p w14:paraId="2A63DFFF" w14:textId="77777777" w:rsidR="009C3A0E" w:rsidRDefault="00994197">
            <w:pPr>
              <w:pStyle w:val="cTableBody"/>
              <w:spacing w:before="0"/>
            </w:pPr>
            <w:r>
              <w:t>Vessel stability, deck strength, ballast, lashing, weather limits, dock transfer, and voyage risk.</w:t>
            </w:r>
          </w:p>
        </w:tc>
      </w:tr>
      <w:tr w:rsidR="009C3A0E" w14:paraId="75E7C911" w14:textId="77777777" w:rsidTr="009C3A0E">
        <w:tc>
          <w:tcPr>
            <w:tcW w:w="2376" w:type="dxa"/>
          </w:tcPr>
          <w:p w14:paraId="73250301" w14:textId="77777777" w:rsidR="009C3A0E" w:rsidRDefault="00994197">
            <w:pPr>
              <w:pStyle w:val="cTableBody"/>
              <w:spacing w:before="0"/>
            </w:pPr>
            <w:r>
              <w:t>Modular factory construction</w:t>
            </w:r>
          </w:p>
        </w:tc>
        <w:tc>
          <w:tcPr>
            <w:tcW w:w="3420" w:type="dxa"/>
          </w:tcPr>
          <w:p w14:paraId="6DF1206B" w14:textId="77777777" w:rsidR="009C3A0E" w:rsidRDefault="00994197">
            <w:pPr>
              <w:pStyle w:val="cTableBody"/>
              <w:spacing w:before="0"/>
            </w:pPr>
            <w:r>
              <w:t>Independent module-yard or EPC manufacturing leader</w:t>
            </w:r>
          </w:p>
        </w:tc>
        <w:tc>
          <w:tcPr>
            <w:tcW w:w="4536" w:type="dxa"/>
          </w:tcPr>
          <w:p w14:paraId="567587CE" w14:textId="77777777" w:rsidR="009C3A0E" w:rsidRDefault="00994197">
            <w:pPr>
              <w:pStyle w:val="cTableBody"/>
              <w:spacing w:before="0"/>
            </w:pPr>
            <w:r>
              <w:t>DFMA, production takt, pressure testing, QA records, transport restraints, and site installation.</w:t>
            </w:r>
          </w:p>
        </w:tc>
      </w:tr>
      <w:tr w:rsidR="009C3A0E" w14:paraId="602F1049" w14:textId="77777777" w:rsidTr="009C3A0E">
        <w:tc>
          <w:tcPr>
            <w:tcW w:w="2376" w:type="dxa"/>
          </w:tcPr>
          <w:p w14:paraId="58198C35" w14:textId="77777777" w:rsidR="009C3A0E" w:rsidRDefault="00994197">
            <w:pPr>
              <w:pStyle w:val="cTableBody"/>
              <w:spacing w:before="0"/>
            </w:pPr>
            <w:r>
              <w:t>Techno-economics / lifecycle</w:t>
            </w:r>
          </w:p>
        </w:tc>
        <w:tc>
          <w:tcPr>
            <w:tcW w:w="3420" w:type="dxa"/>
          </w:tcPr>
          <w:p w14:paraId="6724B0FB" w14:textId="77777777" w:rsidR="009C3A0E" w:rsidRDefault="00994197">
            <w:pPr>
              <w:pStyle w:val="cTableBody"/>
              <w:spacing w:before="0"/>
            </w:pPr>
            <w:r>
              <w:t>Independent NREL/NETL/university cost and lifecycle expert</w:t>
            </w:r>
          </w:p>
        </w:tc>
        <w:tc>
          <w:tcPr>
            <w:tcW w:w="4536" w:type="dxa"/>
          </w:tcPr>
          <w:p w14:paraId="05A68453" w14:textId="77777777" w:rsidR="009C3A0E" w:rsidRDefault="00994197">
            <w:pPr>
              <w:pStyle w:val="cTableBody"/>
              <w:spacing w:before="0"/>
            </w:pPr>
            <w:r>
              <w:t>Comparable boundaries, model replication, uncertainty, emissions, water, markets, and sensitivity.</w:t>
            </w:r>
          </w:p>
        </w:tc>
      </w:tr>
      <w:tr w:rsidR="009C3A0E" w14:paraId="6C55EDFA" w14:textId="77777777" w:rsidTr="009C3A0E">
        <w:tc>
          <w:tcPr>
            <w:tcW w:w="2376" w:type="dxa"/>
          </w:tcPr>
          <w:p w14:paraId="089099D6" w14:textId="77777777" w:rsidR="009C3A0E" w:rsidRDefault="00994197">
            <w:pPr>
              <w:pStyle w:val="cTableBody"/>
              <w:spacing w:before="0"/>
            </w:pPr>
            <w:r>
              <w:t>Human factors and operations</w:t>
            </w:r>
          </w:p>
        </w:tc>
        <w:tc>
          <w:tcPr>
            <w:tcW w:w="3420" w:type="dxa"/>
          </w:tcPr>
          <w:p w14:paraId="2E6A6E00" w14:textId="77777777" w:rsidR="009C3A0E" w:rsidRDefault="00994197">
            <w:pPr>
              <w:pStyle w:val="cTableBody"/>
              <w:spacing w:before="0"/>
            </w:pPr>
            <w:r>
              <w:t>Plant operator, maintenance, controls, and human-factors expert</w:t>
            </w:r>
          </w:p>
        </w:tc>
        <w:tc>
          <w:tcPr>
            <w:tcW w:w="4536" w:type="dxa"/>
          </w:tcPr>
          <w:p w14:paraId="440AC5E0" w14:textId="77777777" w:rsidR="009C3A0E" w:rsidRDefault="00994197">
            <w:pPr>
              <w:pStyle w:val="cTableBody"/>
              <w:spacing w:before="0"/>
            </w:pPr>
            <w:r>
              <w:t>Operability, alarms, procedures, staffing, maintenance access, training, and recovery from faults.</w:t>
            </w:r>
          </w:p>
        </w:tc>
      </w:tr>
    </w:tbl>
    <w:p w14:paraId="3797743A" w14:textId="77777777" w:rsidR="009C3A0E" w:rsidRDefault="00994197">
      <w:pPr>
        <w:pStyle w:val="cSubject"/>
      </w:pPr>
      <w:r>
        <w:t>Panel charter</w:t>
      </w:r>
    </w:p>
    <w:p w14:paraId="485297D5" w14:textId="77777777" w:rsidR="009C3A0E" w:rsidRPr="00E034BA" w:rsidRDefault="00994197" w:rsidP="00E034BA">
      <w:pPr>
        <w:pStyle w:val="blist-bullets"/>
      </w:pPr>
      <w:r w:rsidRPr="00E034BA">
        <w:t>Review mission, alternatives, requirements, architecture, interface standards, hazards, prototype designs, test evidence, cost models, and gate readiness.</w:t>
      </w:r>
    </w:p>
    <w:p w14:paraId="23979A27" w14:textId="77777777" w:rsidR="009C3A0E" w:rsidRPr="00E034BA" w:rsidRDefault="00994197" w:rsidP="00E034BA">
      <w:pPr>
        <w:pStyle w:val="blist-bullets"/>
      </w:pPr>
      <w:r w:rsidRPr="00E034BA">
        <w:t>Receive direct access to contractors, facilities, raw data, change logs, nonconformances, model code, and owner staff.</w:t>
      </w:r>
    </w:p>
    <w:p w14:paraId="0A01807F" w14:textId="77777777" w:rsidR="009C3A0E" w:rsidRPr="00E034BA" w:rsidRDefault="00994197" w:rsidP="00E034BA">
      <w:pPr>
        <w:pStyle w:val="blist-bullets"/>
      </w:pPr>
      <w:r w:rsidRPr="00E034BA">
        <w:t>Issue written findings graded by safety, technical, economic, schedule, data, and transition significance; management must respond and track closure.</w:t>
      </w:r>
    </w:p>
    <w:p w14:paraId="76AB2FB2" w14:textId="77777777" w:rsidR="009C3A0E" w:rsidRPr="00E034BA" w:rsidRDefault="00994197" w:rsidP="00E034BA">
      <w:pPr>
        <w:pStyle w:val="blist-bullets"/>
      </w:pPr>
      <w:r w:rsidRPr="00E034BA">
        <w:t>Meet quarterly plus major design, hazards, test-readiness, failure, and Phase II reviews.</w:t>
      </w:r>
    </w:p>
    <w:p w14:paraId="2051BC46" w14:textId="77777777" w:rsidR="009C3A0E" w:rsidRPr="00E034BA" w:rsidRDefault="00994197" w:rsidP="00E034BA">
      <w:pPr>
        <w:pStyle w:val="blist-bullets"/>
      </w:pPr>
      <w:r w:rsidRPr="00E034BA">
        <w:t>Publish reports and dissenting views except for narrowly justified restricted information.</w:t>
      </w:r>
    </w:p>
    <w:p w14:paraId="7AB07F99" w14:textId="77777777" w:rsidR="009C3A0E" w:rsidRPr="00E034BA" w:rsidRDefault="00994197" w:rsidP="00E034BA">
      <w:pPr>
        <w:pStyle w:val="blist-bullets"/>
      </w:pPr>
      <w:r w:rsidRPr="00E034BA">
        <w:t>Do not direct daily engineering, negotiate contracts, or substitute for the accountable Program Manager and safety authorities.</w:t>
      </w:r>
    </w:p>
    <w:p w14:paraId="601C1D4C" w14:textId="77777777" w:rsidR="008F2011" w:rsidRDefault="00994197">
      <w:pPr>
        <w:pStyle w:val="Heading1"/>
        <w:spacing w:before="0" w:after="280"/>
      </w:pPr>
      <w:bookmarkStart w:id="95" w:name="_Toc238129781"/>
      <w:bookmarkStart w:id="96" w:name="_Toc238205568"/>
      <w:r>
        <w:t>Management Advisory Panel</w:t>
      </w:r>
      <w:bookmarkEnd w:id="95"/>
      <w:bookmarkEnd w:id="96"/>
    </w:p>
    <w:p w14:paraId="319CCB3F" w14:textId="77777777" w:rsidR="008F2011" w:rsidRPr="00AB708B" w:rsidRDefault="00994197" w:rsidP="00AB708B">
      <w:pPr>
        <w:pStyle w:val="cUserPromptHeading"/>
      </w:pPr>
      <w:r>
        <w:t>Prompt to AI:</w:t>
      </w:r>
      <w:r w:rsidR="00AB708B">
        <w:t xml:space="preserve"> </w:t>
      </w:r>
      <w:r w:rsidRPr="00AB708B">
        <w:rPr>
          <w:rStyle w:val="UserPromptTextChar"/>
          <w:b w:val="0"/>
          <w:bCs w:val="0"/>
        </w:rPr>
        <w:t>What management-oversight expertise is uniquely needed for this nuclear-integrated industrial-processing program beyond the common Management Advisory Panel charter?</w:t>
      </w:r>
    </w:p>
    <w:p w14:paraId="672DF32C" w14:textId="77777777" w:rsidR="008F2011" w:rsidRDefault="00994197">
      <w:pPr>
        <w:pStyle w:val="cSubject"/>
        <w:spacing w:before="280" w:after="280"/>
      </w:pPr>
      <w:r>
        <w:t>Response From AI:</w:t>
      </w:r>
    </w:p>
    <w:p w14:paraId="2D406F34" w14:textId="6F10405F" w:rsidR="00182712" w:rsidRPr="00843587" w:rsidRDefault="00994197" w:rsidP="00843587">
      <w:r>
        <w:t xml:space="preserve">The </w:t>
      </w:r>
      <w:hyperlink r:id="rId48" w:anchor="framework" w:history="1">
        <w:r w:rsidR="00843587">
          <w:rPr>
            <w:rStyle w:val="bhyperlinkChar"/>
          </w:rPr>
          <w:t>Moonshot</w:t>
        </w:r>
        <w:r w:rsidR="00843587" w:rsidRPr="00D14B0C">
          <w:rPr>
            <w:rStyle w:val="bhyperlinkChar"/>
          </w:rPr>
          <w:t xml:space="preserve"> Common Framework</w:t>
        </w:r>
      </w:hyperlink>
      <w:r>
        <w:t xml:space="preserve"> governs the panel charter, independence, audit access, conflicts, escalation rights, reserve review, corrective action, and Managing Organization oversight. This initiative adds several seats or equivalent capabilities because it combines nuclear/process interfaces, hazardous chemical systems, marine ammonia, giant-module logistics, open standards, and international industrial supply chains.</w:t>
      </w:r>
    </w:p>
    <w:tbl>
      <w:tblPr>
        <w:tblStyle w:val="gswTableStyle"/>
        <w:tblW w:w="10026" w:type="dxa"/>
        <w:tblLayout w:type="fixed"/>
        <w:tblLook w:val="04A0" w:firstRow="1" w:lastRow="0" w:firstColumn="1" w:lastColumn="0" w:noHBand="0" w:noVBand="1"/>
      </w:tblPr>
      <w:tblGrid>
        <w:gridCol w:w="2376"/>
        <w:gridCol w:w="2519"/>
        <w:gridCol w:w="5131"/>
      </w:tblGrid>
      <w:tr w:rsidR="003A5A50" w14:paraId="6B490DCF" w14:textId="77777777" w:rsidTr="003A5A50">
        <w:trPr>
          <w:cnfStyle w:val="100000000000" w:firstRow="1" w:lastRow="0" w:firstColumn="0" w:lastColumn="0" w:oddVBand="0" w:evenVBand="0" w:oddHBand="0" w:evenHBand="0" w:firstRowFirstColumn="0" w:firstRowLastColumn="0" w:lastRowFirstColumn="0" w:lastRowLastColumn="0"/>
          <w:tblHeader/>
        </w:trPr>
        <w:tc>
          <w:tcPr>
            <w:tcW w:w="2376" w:type="dxa"/>
          </w:tcPr>
          <w:p w14:paraId="1BF6DB7C" w14:textId="77777777" w:rsidR="008F2011" w:rsidRDefault="00994197">
            <w:pPr>
              <w:pStyle w:val="cTableHeader"/>
              <w:spacing w:before="0" w:after="0"/>
            </w:pPr>
            <w:r>
              <w:t>Initiative-specific seat</w:t>
            </w:r>
          </w:p>
        </w:tc>
        <w:tc>
          <w:tcPr>
            <w:tcW w:w="2519" w:type="dxa"/>
          </w:tcPr>
          <w:p w14:paraId="684EE35C" w14:textId="77777777" w:rsidR="008F2011" w:rsidRDefault="00994197">
            <w:pPr>
              <w:pStyle w:val="cTableHeader"/>
              <w:spacing w:before="0" w:after="0"/>
            </w:pPr>
            <w:r>
              <w:t>Contribution</w:t>
            </w:r>
          </w:p>
        </w:tc>
        <w:tc>
          <w:tcPr>
            <w:tcW w:w="5131" w:type="dxa"/>
          </w:tcPr>
          <w:p w14:paraId="35752CEB" w14:textId="77777777" w:rsidR="008F2011" w:rsidRDefault="00994197">
            <w:pPr>
              <w:pStyle w:val="cTableHeader"/>
              <w:spacing w:before="0" w:after="0"/>
            </w:pPr>
            <w:r>
              <w:t>Why this program needs it</w:t>
            </w:r>
          </w:p>
        </w:tc>
      </w:tr>
      <w:tr w:rsidR="003A5A50" w14:paraId="7E9F4062" w14:textId="77777777" w:rsidTr="003A5A50">
        <w:tc>
          <w:tcPr>
            <w:tcW w:w="2376" w:type="dxa"/>
          </w:tcPr>
          <w:p w14:paraId="6CA3A141" w14:textId="77777777" w:rsidR="008F2011" w:rsidRDefault="00994197">
            <w:pPr>
              <w:pStyle w:val="cTableBody"/>
              <w:spacing w:before="0" w:after="0"/>
            </w:pPr>
            <w:r>
              <w:t>Retired nuclear-industrial cogeneration / megaproject executive</w:t>
            </w:r>
          </w:p>
        </w:tc>
        <w:tc>
          <w:tcPr>
            <w:tcW w:w="2519" w:type="dxa"/>
          </w:tcPr>
          <w:p w14:paraId="5C6E198C" w14:textId="77777777" w:rsidR="008F2011" w:rsidRDefault="00994197">
            <w:pPr>
              <w:pStyle w:val="cTableBody"/>
              <w:spacing w:before="0" w:after="0"/>
            </w:pPr>
            <w:r>
              <w:t>Integrated nuclear-industrial delivery</w:t>
            </w:r>
          </w:p>
        </w:tc>
        <w:tc>
          <w:tcPr>
            <w:tcW w:w="5131" w:type="dxa"/>
          </w:tcPr>
          <w:p w14:paraId="06D6EF19" w14:textId="77777777" w:rsidR="008F2011" w:rsidRDefault="00994197">
            <w:pPr>
              <w:pStyle w:val="cTableBody"/>
              <w:spacing w:before="0" w:after="0"/>
            </w:pPr>
            <w:r>
              <w:t>Challenges the MO on reactor-to-process boundaries, owner capability, construction/commissioning interfaces, shared infrastructure, and whether Phase II plans are executable rather than only technically interesting.</w:t>
            </w:r>
          </w:p>
        </w:tc>
      </w:tr>
      <w:tr w:rsidR="003A5A50" w14:paraId="1BA4FEE0" w14:textId="77777777" w:rsidTr="003A5A50">
        <w:tc>
          <w:tcPr>
            <w:tcW w:w="2376" w:type="dxa"/>
          </w:tcPr>
          <w:p w14:paraId="3E75F98C" w14:textId="77777777" w:rsidR="008F2011" w:rsidRDefault="00994197">
            <w:pPr>
              <w:pStyle w:val="cTableBody"/>
              <w:spacing w:before="0" w:after="0"/>
            </w:pPr>
            <w:r>
              <w:t>Independent process-safety / chemical-operations leader</w:t>
            </w:r>
          </w:p>
        </w:tc>
        <w:tc>
          <w:tcPr>
            <w:tcW w:w="2519" w:type="dxa"/>
          </w:tcPr>
          <w:p w14:paraId="4EF332C5" w14:textId="77777777" w:rsidR="008F2011" w:rsidRDefault="00994197">
            <w:pPr>
              <w:pStyle w:val="cTableBody"/>
              <w:spacing w:before="0" w:after="0"/>
            </w:pPr>
            <w:r>
              <w:t>Hydrogen, ammonia and hazardous process governance</w:t>
            </w:r>
          </w:p>
        </w:tc>
        <w:tc>
          <w:tcPr>
            <w:tcW w:w="5131" w:type="dxa"/>
          </w:tcPr>
          <w:p w14:paraId="62EF9145" w14:textId="77777777" w:rsidR="008F2011" w:rsidRDefault="00994197">
            <w:pPr>
              <w:pStyle w:val="cTableBody"/>
              <w:spacing w:before="0" w:after="0"/>
            </w:pPr>
            <w:r>
              <w:t>Reviews PHA/HAZOP quality, relief/containment, hazardous inventories, operating discipline, emergency response, incident learning, and the independence of stop-work authority.</w:t>
            </w:r>
          </w:p>
        </w:tc>
      </w:tr>
      <w:tr w:rsidR="003A5A50" w14:paraId="5CA7FB76" w14:textId="77777777" w:rsidTr="003A5A50">
        <w:tc>
          <w:tcPr>
            <w:tcW w:w="2376" w:type="dxa"/>
          </w:tcPr>
          <w:p w14:paraId="23D2A60D" w14:textId="77777777" w:rsidR="008F2011" w:rsidRDefault="00994197">
            <w:pPr>
              <w:pStyle w:val="cTableBody"/>
              <w:spacing w:before="0" w:after="0"/>
            </w:pPr>
            <w:r>
              <w:t>Marine ammonia / classification / port executive</w:t>
            </w:r>
          </w:p>
        </w:tc>
        <w:tc>
          <w:tcPr>
            <w:tcW w:w="2519" w:type="dxa"/>
          </w:tcPr>
          <w:p w14:paraId="63390FEC" w14:textId="77777777" w:rsidR="008F2011" w:rsidRDefault="00994197">
            <w:pPr>
              <w:pStyle w:val="cTableBody"/>
              <w:spacing w:before="0" w:after="0"/>
            </w:pPr>
            <w:r>
              <w:t>Ship and waterfront deployment</w:t>
            </w:r>
          </w:p>
        </w:tc>
        <w:tc>
          <w:tcPr>
            <w:tcW w:w="5131" w:type="dxa"/>
          </w:tcPr>
          <w:p w14:paraId="1F24AA5A" w14:textId="77777777" w:rsidR="008F2011" w:rsidRDefault="00994197">
            <w:pPr>
              <w:pStyle w:val="cTableBody"/>
              <w:spacing w:before="0" w:after="0"/>
            </w:pPr>
            <w:r>
              <w:t>Reviews ammonia storage/bunkering, marine fuel-cell demonstrations, shipboard integration, class/warranty interfaces, port handling, and whether land-based test evidence translates to marine service.</w:t>
            </w:r>
          </w:p>
        </w:tc>
      </w:tr>
      <w:tr w:rsidR="003A5A50" w14:paraId="09490A61" w14:textId="77777777" w:rsidTr="003A5A50">
        <w:tc>
          <w:tcPr>
            <w:tcW w:w="2376" w:type="dxa"/>
          </w:tcPr>
          <w:p w14:paraId="3366C39F" w14:textId="77777777" w:rsidR="008F2011" w:rsidRDefault="00994197">
            <w:pPr>
              <w:pStyle w:val="cTableBody"/>
              <w:spacing w:before="0" w:after="0"/>
            </w:pPr>
            <w:r>
              <w:t>Heavy-module logistics / rail / tank-construction executive</w:t>
            </w:r>
          </w:p>
        </w:tc>
        <w:tc>
          <w:tcPr>
            <w:tcW w:w="2519" w:type="dxa"/>
          </w:tcPr>
          <w:p w14:paraId="086B77DE" w14:textId="77777777" w:rsidR="008F2011" w:rsidRDefault="00994197">
            <w:pPr>
              <w:pStyle w:val="cTableBody"/>
              <w:spacing w:before="0" w:after="0"/>
            </w:pPr>
            <w:r>
              <w:t>Large infrastructure and mechanized construction</w:t>
            </w:r>
          </w:p>
        </w:tc>
        <w:tc>
          <w:tcPr>
            <w:tcW w:w="5131" w:type="dxa"/>
          </w:tcPr>
          <w:p w14:paraId="1DE22F9B" w14:textId="77777777" w:rsidR="008F2011" w:rsidRDefault="00994197">
            <w:pPr>
              <w:pStyle w:val="cTableBody"/>
              <w:spacing w:before="0" w:after="0"/>
            </w:pPr>
            <w:r>
              <w:t>Reviews 12×96 m transport, ship/shore transfer, electrified construction rail, automated thermal-storage tank construction, maintainability, logistics bottlenecks, and shared-asset reuse.</w:t>
            </w:r>
          </w:p>
        </w:tc>
      </w:tr>
      <w:tr w:rsidR="003A5A50" w14:paraId="3A4A8107" w14:textId="77777777" w:rsidTr="003A5A50">
        <w:tc>
          <w:tcPr>
            <w:tcW w:w="2376" w:type="dxa"/>
          </w:tcPr>
          <w:p w14:paraId="521FE023" w14:textId="77777777" w:rsidR="008F2011" w:rsidRDefault="00994197">
            <w:pPr>
              <w:pStyle w:val="cTableBody"/>
              <w:spacing w:before="0" w:after="0"/>
            </w:pPr>
            <w:r>
              <w:t>Industrial standards / interoperability leader</w:t>
            </w:r>
          </w:p>
        </w:tc>
        <w:tc>
          <w:tcPr>
            <w:tcW w:w="2519" w:type="dxa"/>
          </w:tcPr>
          <w:p w14:paraId="2BE681B2" w14:textId="77777777" w:rsidR="008F2011" w:rsidRDefault="00994197">
            <w:pPr>
              <w:pStyle w:val="cTableBody"/>
              <w:spacing w:before="0" w:after="0"/>
            </w:pPr>
            <w:r>
              <w:t>Open interfaces and multi-vendor deployment</w:t>
            </w:r>
          </w:p>
        </w:tc>
        <w:tc>
          <w:tcPr>
            <w:tcW w:w="5131" w:type="dxa"/>
          </w:tcPr>
          <w:p w14:paraId="450A617B" w14:textId="77777777" w:rsidR="008F2011" w:rsidRDefault="00994197">
            <w:pPr>
              <w:pStyle w:val="cTableBody"/>
              <w:spacing w:before="0" w:after="0"/>
            </w:pPr>
            <w:r>
              <w:t>Reviews whether mechanical, thermal, piping, electrical, controls/data, cyber, rail, storage, and waterfront standards are implementable by multiple independent suppliers and supported by credible conformance tests.</w:t>
            </w:r>
          </w:p>
        </w:tc>
      </w:tr>
      <w:tr w:rsidR="003A5A50" w14:paraId="28F1C0F5" w14:textId="77777777" w:rsidTr="003A5A50">
        <w:tc>
          <w:tcPr>
            <w:tcW w:w="2376" w:type="dxa"/>
          </w:tcPr>
          <w:p w14:paraId="5744BF1C" w14:textId="77777777" w:rsidR="008F2011" w:rsidRDefault="00994197">
            <w:pPr>
              <w:pStyle w:val="cTableBody"/>
              <w:spacing w:before="0" w:after="0"/>
            </w:pPr>
            <w:r>
              <w:t>China / international industrial procurement and market expert</w:t>
            </w:r>
          </w:p>
        </w:tc>
        <w:tc>
          <w:tcPr>
            <w:tcW w:w="2519" w:type="dxa"/>
          </w:tcPr>
          <w:p w14:paraId="03647FA6" w14:textId="77777777" w:rsidR="008F2011" w:rsidRDefault="00994197">
            <w:pPr>
              <w:pStyle w:val="cTableBody"/>
              <w:spacing w:before="0" w:after="0"/>
            </w:pPr>
            <w:r>
              <w:t>Supply chain, integrity and transition</w:t>
            </w:r>
          </w:p>
        </w:tc>
        <w:tc>
          <w:tcPr>
            <w:tcW w:w="5131" w:type="dxa"/>
          </w:tcPr>
          <w:p w14:paraId="4181BB0D" w14:textId="77777777" w:rsidR="008F2011" w:rsidRDefault="00994197">
            <w:pPr>
              <w:pStyle w:val="cTableBody"/>
              <w:spacing w:before="0" w:after="0"/>
            </w:pPr>
            <w:r>
              <w:t>Challenges supplier concentration, related parties, export/sanctions constraints, localization, process-licensor dependencies, second sourcing, offtake assumptions, and successor access to sponsor-funded work.</w:t>
            </w:r>
          </w:p>
        </w:tc>
      </w:tr>
    </w:tbl>
    <w:p w14:paraId="5D844BAC" w14:textId="77777777" w:rsidR="008F2011" w:rsidRDefault="00994197">
      <w:r>
        <w:t>All other management-panel seats and responsibilities are supplied by the common framework. Technology-specific scientific and engineering review remains with the Scientific and Engineering Advisory Panel in this proposal.</w:t>
      </w:r>
    </w:p>
    <w:p w14:paraId="3757E911" w14:textId="77777777" w:rsidR="008F2011" w:rsidRDefault="00994197">
      <w:pPr>
        <w:pStyle w:val="Heading1"/>
        <w:spacing w:before="0" w:after="280"/>
      </w:pPr>
      <w:bookmarkStart w:id="97" w:name="_Toc238129782"/>
      <w:bookmarkStart w:id="98" w:name="_Toc238205569"/>
      <w:r>
        <w:t>Agreements</w:t>
      </w:r>
      <w:bookmarkEnd w:id="97"/>
      <w:bookmarkEnd w:id="98"/>
    </w:p>
    <w:p w14:paraId="4294F403" w14:textId="77777777" w:rsidR="008F2011" w:rsidRDefault="00994197">
      <w:pPr>
        <w:pStyle w:val="cUserPromptHeading"/>
      </w:pPr>
      <w:r>
        <w:t>Prompt to AI:</w:t>
      </w:r>
    </w:p>
    <w:p w14:paraId="6761F1D3" w14:textId="77777777" w:rsidR="008F2011" w:rsidRDefault="00994197">
      <w:pPr>
        <w:pStyle w:val="cUserPromptText"/>
        <w:spacing w:before="280" w:after="280"/>
      </w:pPr>
      <w:r>
        <w:rPr>
          <w:b/>
        </w:rPr>
        <w:t>Which agreement provisions should remain inside this proposal after the portfolio-wide Funding Source-to-Managing Organization and Managing Organization-to-Recipient master terms are moved to the common framework?</w:t>
      </w:r>
    </w:p>
    <w:p w14:paraId="33872A95" w14:textId="77777777" w:rsidR="008F2011" w:rsidRDefault="00994197">
      <w:pPr>
        <w:pStyle w:val="cSubject"/>
        <w:spacing w:before="280" w:after="280"/>
      </w:pPr>
      <w:r>
        <w:t>Response From AI:</w:t>
      </w:r>
    </w:p>
    <w:p w14:paraId="2383DB6F" w14:textId="2CE8A7E2" w:rsidR="00182712" w:rsidRPr="006E53D4" w:rsidRDefault="00994197" w:rsidP="006E53D4">
      <w:r>
        <w:t xml:space="preserve">The generic master agreement terms </w:t>
      </w:r>
      <w:r w:rsidR="006E53D4">
        <w:t xml:space="preserve">are specified in the </w:t>
      </w:r>
      <w:hyperlink r:id="rId49" w:anchor="framework" w:history="1">
        <w:r w:rsidR="006E53D4">
          <w:rPr>
            <w:rStyle w:val="bhyperlinkChar"/>
          </w:rPr>
          <w:t>Moonshot</w:t>
        </w:r>
        <w:r w:rsidR="006E53D4" w:rsidRPr="00D14B0C">
          <w:rPr>
            <w:rStyle w:val="bhyperlinkChar"/>
          </w:rPr>
          <w:t xml:space="preserve"> Common Framework</w:t>
        </w:r>
      </w:hyperlink>
      <w:r>
        <w:t xml:space="preserve"> are not repeated here. Final contracts would use those common terms plus the program-specific schedules below, adapted by counsel to the parties, jurisdiction, nuclear/process/marine requirements, and the actual procurement instrument.</w:t>
      </w:r>
    </w:p>
    <w:p w14:paraId="1485EC39" w14:textId="77777777" w:rsidR="008F2011" w:rsidRDefault="00994197">
      <w:pPr>
        <w:pStyle w:val="Heading2"/>
      </w:pPr>
      <w:r>
        <w:t>Program-Specific Schedules to the Common Agreements</w:t>
      </w:r>
    </w:p>
    <w:tbl>
      <w:tblPr>
        <w:tblStyle w:val="gswTableStyle"/>
        <w:tblW w:w="10026" w:type="dxa"/>
        <w:tblLayout w:type="fixed"/>
        <w:tblLook w:val="04A0" w:firstRow="1" w:lastRow="0" w:firstColumn="1" w:lastColumn="0" w:noHBand="0" w:noVBand="1"/>
      </w:tblPr>
      <w:tblGrid>
        <w:gridCol w:w="2376"/>
        <w:gridCol w:w="7650"/>
      </w:tblGrid>
      <w:tr w:rsidR="003A5A50" w14:paraId="4F04DFAD" w14:textId="77777777" w:rsidTr="003A5A50">
        <w:trPr>
          <w:cnfStyle w:val="100000000000" w:firstRow="1" w:lastRow="0" w:firstColumn="0" w:lastColumn="0" w:oddVBand="0" w:evenVBand="0" w:oddHBand="0" w:evenHBand="0" w:firstRowFirstColumn="0" w:firstRowLastColumn="0" w:lastRowFirstColumn="0" w:lastRowLastColumn="0"/>
        </w:trPr>
        <w:tc>
          <w:tcPr>
            <w:tcW w:w="2376" w:type="dxa"/>
          </w:tcPr>
          <w:p w14:paraId="70C3F157" w14:textId="77777777" w:rsidR="008F2011" w:rsidRDefault="00994197">
            <w:pPr>
              <w:pStyle w:val="cTableHeader"/>
              <w:spacing w:before="0" w:after="0"/>
            </w:pPr>
            <w:r>
              <w:t>Schedule</w:t>
            </w:r>
          </w:p>
        </w:tc>
        <w:tc>
          <w:tcPr>
            <w:tcW w:w="7649" w:type="dxa"/>
          </w:tcPr>
          <w:p w14:paraId="280E7E02" w14:textId="77777777" w:rsidR="008F2011" w:rsidRDefault="00994197">
            <w:pPr>
              <w:pStyle w:val="cTableHeader"/>
              <w:spacing w:before="0" w:after="0"/>
            </w:pPr>
            <w:r>
              <w:t>Initiative-specific contents</w:t>
            </w:r>
          </w:p>
        </w:tc>
      </w:tr>
      <w:tr w:rsidR="003A5A50" w14:paraId="4A543F8E" w14:textId="77777777" w:rsidTr="003A5A50">
        <w:tc>
          <w:tcPr>
            <w:tcW w:w="2376" w:type="dxa"/>
          </w:tcPr>
          <w:p w14:paraId="0905DE98" w14:textId="77777777" w:rsidR="008F2011" w:rsidRDefault="00994197">
            <w:pPr>
              <w:pStyle w:val="cTableBody"/>
              <w:spacing w:before="0" w:after="0"/>
            </w:pPr>
            <w:r>
              <w:t>A - Program / Statement of Work</w:t>
            </w:r>
          </w:p>
        </w:tc>
        <w:tc>
          <w:tcPr>
            <w:tcW w:w="7649" w:type="dxa"/>
          </w:tcPr>
          <w:p w14:paraId="41393287" w14:textId="77777777" w:rsidR="008F2011" w:rsidRDefault="00994197">
            <w:pPr>
              <w:pStyle w:val="cTableBody"/>
              <w:spacing w:before="0" w:after="0"/>
            </w:pPr>
            <w:r>
              <w:t>31 controlled 12 m × 96 m platform families; eleven baseline work packages; dual PWR/HTR-PM planning assumptions; hydrogen/ammonia and marine fuel-cell R&amp;D; shared logistics/rail/tank/standards systems; non-nuclear prototype campus; exclusions and nuclear-interface boundaries.</w:t>
            </w:r>
          </w:p>
        </w:tc>
      </w:tr>
      <w:tr w:rsidR="003A5A50" w14:paraId="24E7D7D7" w14:textId="77777777" w:rsidTr="003A5A50">
        <w:tc>
          <w:tcPr>
            <w:tcW w:w="2376" w:type="dxa"/>
          </w:tcPr>
          <w:p w14:paraId="1D17149D" w14:textId="77777777" w:rsidR="008F2011" w:rsidRDefault="00994197">
            <w:pPr>
              <w:pStyle w:val="cTableBody"/>
              <w:spacing w:before="0" w:after="0"/>
            </w:pPr>
            <w:r>
              <w:t>B - Budget / Payment</w:t>
            </w:r>
          </w:p>
        </w:tc>
        <w:tc>
          <w:tcPr>
            <w:tcW w:w="7649" w:type="dxa"/>
          </w:tcPr>
          <w:p w14:paraId="197E7F56" w14:textId="77777777" w:rsidR="008F2011" w:rsidRDefault="00994197">
            <w:pPr>
              <w:pStyle w:val="cTableBody"/>
              <w:spacing w:before="0" w:after="0"/>
            </w:pPr>
            <w:r>
              <w:t>$800M baseline technical program plus $200M centrally controlled reserve; annual profile; platform-family and shared-infrastructure cost tags; explicit shared-asset accounting with the nuclear-construction initiative; initiative-specific acceptance holdbacks.</w:t>
            </w:r>
          </w:p>
        </w:tc>
      </w:tr>
      <w:tr w:rsidR="003A5A50" w14:paraId="78498DC7" w14:textId="77777777" w:rsidTr="003A5A50">
        <w:tc>
          <w:tcPr>
            <w:tcW w:w="2376" w:type="dxa"/>
          </w:tcPr>
          <w:p w14:paraId="6D502586" w14:textId="77777777" w:rsidR="008F2011" w:rsidRDefault="00994197">
            <w:pPr>
              <w:pStyle w:val="cTableBody"/>
              <w:spacing w:before="0" w:after="0"/>
            </w:pPr>
            <w:r>
              <w:t>C - Milestones / Stage Gates</w:t>
            </w:r>
          </w:p>
        </w:tc>
        <w:tc>
          <w:tcPr>
            <w:tcW w:w="7649" w:type="dxa"/>
          </w:tcPr>
          <w:p w14:paraId="36BC7E64" w14:textId="77777777" w:rsidR="008F2011" w:rsidRDefault="00994197">
            <w:pPr>
              <w:pStyle w:val="cTableBody"/>
              <w:spacing w:before="0" w:after="0"/>
            </w:pPr>
            <w:r>
              <w:t>Requirements/feasibility through Month 12; preliminary design and risk reduction through Month 24; detailed design/procurement through Month 36; prototype qualification through roughly Month 46; integrated/endurance demonstrations through roughly Month 57; Month 60 Phase II decisions, with package-specific safety hold points.</w:t>
            </w:r>
          </w:p>
        </w:tc>
      </w:tr>
      <w:tr w:rsidR="003A5A50" w14:paraId="73D9793F" w14:textId="77777777" w:rsidTr="003A5A50">
        <w:tc>
          <w:tcPr>
            <w:tcW w:w="2376" w:type="dxa"/>
          </w:tcPr>
          <w:p w14:paraId="38D10820" w14:textId="77777777" w:rsidR="008F2011" w:rsidRDefault="00994197">
            <w:pPr>
              <w:pStyle w:val="cTableBody"/>
              <w:spacing w:before="0" w:after="0"/>
            </w:pPr>
            <w:r>
              <w:t>D - Data / IP / Open Release</w:t>
            </w:r>
          </w:p>
        </w:tc>
        <w:tc>
          <w:tcPr>
            <w:tcW w:w="7649" w:type="dxa"/>
          </w:tcPr>
          <w:p w14:paraId="46317EC7" w14:textId="77777777" w:rsidR="008F2011" w:rsidRDefault="00994197">
            <w:pPr>
              <w:pStyle w:val="cTableBody"/>
              <w:spacing w:before="0" w:after="0"/>
            </w:pPr>
            <w:r>
              <w:t>Broad reusable rights in sponsor-funded platform CAD, interfaces, software, digital schemas, conformance tools, test data, materials/corrosion records, manufacturing/maintenance packages, and economics; explicit schedules for pre-existing process-licensor, reactor-vendor, or other lawful background restrictions.</w:t>
            </w:r>
          </w:p>
        </w:tc>
      </w:tr>
      <w:tr w:rsidR="003A5A50" w14:paraId="5DF1A979" w14:textId="77777777" w:rsidTr="003A5A50">
        <w:tc>
          <w:tcPr>
            <w:tcW w:w="2376" w:type="dxa"/>
          </w:tcPr>
          <w:p w14:paraId="790D67BC" w14:textId="77777777" w:rsidR="008F2011" w:rsidRDefault="00994197">
            <w:pPr>
              <w:pStyle w:val="cTableBody"/>
              <w:spacing w:before="0" w:after="0"/>
            </w:pPr>
            <w:r>
              <w:t>E - Safety / Quality / Environment / Security</w:t>
            </w:r>
          </w:p>
        </w:tc>
        <w:tc>
          <w:tcPr>
            <w:tcW w:w="7649" w:type="dxa"/>
          </w:tcPr>
          <w:p w14:paraId="12518F43" w14:textId="77777777" w:rsidR="008F2011" w:rsidRDefault="00994197">
            <w:pPr>
              <w:pStyle w:val="cTableBody"/>
              <w:spacing w:before="0" w:after="0"/>
            </w:pPr>
            <w:r>
              <w:t>Nuclear/industrial isolation; chemical/process safety; hydrogen/ammonia hazardous areas; pressure/high-temperature systems; marine and waterfront safety; electrified rail; heavy transport; tank welding/NDE; environmental permits; cybersecurity; incident reporting; stop/hold authority.</w:t>
            </w:r>
          </w:p>
        </w:tc>
      </w:tr>
      <w:tr w:rsidR="003A5A50" w14:paraId="431543D0" w14:textId="77777777" w:rsidTr="003A5A50">
        <w:tc>
          <w:tcPr>
            <w:tcW w:w="2376" w:type="dxa"/>
          </w:tcPr>
          <w:p w14:paraId="1AFF6046" w14:textId="77777777" w:rsidR="008F2011" w:rsidRDefault="00994197">
            <w:pPr>
              <w:pStyle w:val="cTableBody"/>
              <w:spacing w:before="0" w:after="0"/>
            </w:pPr>
            <w:r>
              <w:t>F - Testing / Validation / Acceptance</w:t>
            </w:r>
          </w:p>
        </w:tc>
        <w:tc>
          <w:tcPr>
            <w:tcW w:w="7649" w:type="dxa"/>
          </w:tcPr>
          <w:p w14:paraId="521D24B0" w14:textId="77777777" w:rsidR="008F2011" w:rsidRDefault="00994197">
            <w:pPr>
              <w:pStyle w:val="cTableBody"/>
              <w:spacing w:before="0" w:after="0"/>
            </w:pPr>
            <w:r>
              <w:t>Efficiency, heat and mass balances, temperature/pressure, throughput, emissions, corrosion/materials, catalyst/stack degradation, availability/reliability, maintenance, interoperability, transport and ship/shore handling, rail high-power behavior, tank build quality, cost/emissions reconstruction, and independent witnesses/reviewers.</w:t>
            </w:r>
          </w:p>
        </w:tc>
      </w:tr>
      <w:tr w:rsidR="003A5A50" w14:paraId="02BA8D86" w14:textId="77777777" w:rsidTr="003A5A50">
        <w:tc>
          <w:tcPr>
            <w:tcW w:w="2376" w:type="dxa"/>
          </w:tcPr>
          <w:p w14:paraId="21D74E2B" w14:textId="77777777" w:rsidR="008F2011" w:rsidRDefault="00994197">
            <w:pPr>
              <w:pStyle w:val="cTableBody"/>
              <w:spacing w:before="0" w:after="0"/>
            </w:pPr>
            <w:r>
              <w:t>G - Transition / Closeout</w:t>
            </w:r>
          </w:p>
        </w:tc>
        <w:tc>
          <w:tcPr>
            <w:tcW w:w="7649" w:type="dxa"/>
          </w:tcPr>
          <w:p w14:paraId="5BDE85A9" w14:textId="77777777" w:rsidR="008F2011" w:rsidRDefault="00994197">
            <w:pPr>
              <w:pStyle w:val="cTableBody"/>
              <w:spacing w:before="0" w:after="0"/>
            </w:pPr>
            <w:r>
              <w:t>Per-platform Phase II packages; standards v2.0 and conformance assets; final source files/data; tooling, spares and maintenance records; supplier continuity/second source; shared-asset disposition; controlled-data disposition; first-site/first-ship recommendations and explicit stop/redirect decisions.</w:t>
            </w:r>
          </w:p>
        </w:tc>
      </w:tr>
    </w:tbl>
    <w:p w14:paraId="49D3FB16" w14:textId="77777777" w:rsidR="008F2011" w:rsidRDefault="00994197">
      <w:pPr>
        <w:pStyle w:val="cSubject"/>
        <w:spacing w:before="280" w:after="280"/>
      </w:pPr>
      <w:r>
        <w:t>No duplicate master terms</w:t>
      </w:r>
    </w:p>
    <w:p w14:paraId="645457AE" w14:textId="77777777" w:rsidR="008F2011" w:rsidRDefault="00994197">
      <w:r>
        <w:t>Procurement, milestone-payment logic, audit, conflicts, open-source/data rights, background-IP disclosure, reserve, shared assets, changes/claims, remedies, termination, step-in, succession, insurance, and general reporting provisions are governed by the common framework unless a written program-specific schedule expressly adds or overrides a term for this initiative.</w:t>
      </w:r>
    </w:p>
    <w:p w14:paraId="12B49324" w14:textId="77777777" w:rsidR="009C3A0E" w:rsidRDefault="00994197">
      <w:pPr>
        <w:pStyle w:val="Heading1"/>
        <w:spacing w:before="0" w:after="0"/>
      </w:pPr>
      <w:bookmarkStart w:id="99" w:name="_Toc238205570"/>
      <w:r>
        <w:t>Key Codes, Standards, and Data Sources</w:t>
      </w:r>
      <w:bookmarkEnd w:id="99"/>
    </w:p>
    <w:p w14:paraId="347D9941" w14:textId="77777777" w:rsidR="009C3A0E" w:rsidRDefault="00994197">
      <w:pPr>
        <w:pStyle w:val="cUserPromptText"/>
        <w:spacing w:before="280" w:after="280"/>
      </w:pPr>
      <w:r>
        <w:rPr>
          <w:b/>
        </w:rPr>
        <w:t>Prompt to AI: Provide a concise list of user-provided source material, codes, standards, and cost/lifecycle tools not already summarized in the Top References chapter.</w:t>
      </w:r>
    </w:p>
    <w:p w14:paraId="516D2FE6" w14:textId="77777777" w:rsidR="009C3A0E" w:rsidRDefault="00994197">
      <w:pPr>
        <w:pStyle w:val="cSubject"/>
        <w:spacing w:before="280" w:after="280"/>
      </w:pPr>
      <w:r>
        <w:rPr>
          <w:color w:val="4F81BD"/>
        </w:rPr>
        <w:t>Response From AI:</w:t>
      </w:r>
    </w:p>
    <w:p w14:paraId="64D369DD" w14:textId="77777777" w:rsidR="009C3A0E" w:rsidRDefault="00994197">
      <w:pPr>
        <w:pStyle w:val="Heading2"/>
        <w:spacing w:before="280"/>
      </w:pPr>
      <w:r>
        <w:t>Primary user-provided source material</w:t>
      </w:r>
    </w:p>
    <w:p w14:paraId="1D911EED" w14:textId="77777777" w:rsidR="009C3A0E" w:rsidRPr="00181D98" w:rsidRDefault="00994197" w:rsidP="00181D98">
      <w:pPr>
        <w:pStyle w:val="blist-bullets"/>
      </w:pPr>
      <w:r w:rsidRPr="00181D98">
        <w:t>Climate Moonshot Business Plan, especially “Nuclear Power Climate Strategy,” “Automate Nuclear Power Construction,” and “Co-locate Chemical Processing with Nuclear Power” (</w:t>
      </w:r>
      <w:hyperlink r:id="rId50">
        <w:r w:rsidR="009C3A0E" w:rsidRPr="00181D98">
          <w:rPr>
            <w:rStyle w:val="bhyperlinkChar"/>
          </w:rPr>
          <w:t>google drive</w:t>
        </w:r>
      </w:hyperlink>
      <w:r w:rsidRPr="00181D98">
        <w:t>).</w:t>
      </w:r>
    </w:p>
    <w:p w14:paraId="635C2331" w14:textId="77777777" w:rsidR="009C3A0E" w:rsidRPr="00181D98" w:rsidRDefault="00994197" w:rsidP="00181D98">
      <w:pPr>
        <w:pStyle w:val="blist-bullets"/>
      </w:pPr>
      <w:r w:rsidRPr="00181D98">
        <w:t>Proposed $1B Nuclear Power Automated Site-Construction Initiative (</w:t>
      </w:r>
      <w:hyperlink r:id="rId51">
        <w:r w:rsidR="009C3A0E" w:rsidRPr="00181D98">
          <w:rPr>
            <w:rStyle w:val="bhyperlinkChar"/>
          </w:rPr>
          <w:t>google drive</w:t>
        </w:r>
      </w:hyperlink>
      <w:r w:rsidRPr="00181D98">
        <w:t>)</w:t>
      </w:r>
    </w:p>
    <w:p w14:paraId="60BEF860" w14:textId="77777777" w:rsidR="009C3A0E" w:rsidRPr="00181D98" w:rsidRDefault="00994197" w:rsidP="00181D98">
      <w:pPr>
        <w:pStyle w:val="blist-bullets"/>
      </w:pPr>
      <w:r w:rsidRPr="00181D98">
        <w:t>Formatting instructions and gsw_research_fund_template_v4 — User-provided instruction and template files (</w:t>
      </w:r>
      <w:hyperlink r:id="rId52">
        <w:r w:rsidR="009C3A0E" w:rsidRPr="00181D98">
          <w:rPr>
            <w:rStyle w:val="bhyperlinkChar"/>
          </w:rPr>
          <w:t>google drive</w:t>
        </w:r>
      </w:hyperlink>
      <w:r w:rsidRPr="00181D98">
        <w:t>).</w:t>
      </w:r>
    </w:p>
    <w:p w14:paraId="194B5218" w14:textId="77777777" w:rsidR="009C3A0E" w:rsidRDefault="00994197">
      <w:pPr>
        <w:pStyle w:val="Heading2"/>
        <w:spacing w:before="280"/>
      </w:pPr>
      <w:r>
        <w:t>Nuclear process heat and technical data</w:t>
      </w:r>
    </w:p>
    <w:p w14:paraId="799926AD" w14:textId="77777777" w:rsidR="009C3A0E" w:rsidRPr="00181D98" w:rsidRDefault="009C3A0E" w:rsidP="00181D98">
      <w:pPr>
        <w:pStyle w:val="blist-bullets"/>
        <w:rPr>
          <w:color w:val="7F7F7F" w:themeColor="text1" w:themeTint="80"/>
          <w:u w:val="single"/>
        </w:rPr>
      </w:pPr>
      <w:hyperlink r:id="rId53">
        <w:r w:rsidRPr="00181D98">
          <w:rPr>
            <w:color w:val="7F7F7F" w:themeColor="text1" w:themeTint="80"/>
            <w:u w:val="single"/>
          </w:rPr>
          <w:t>IAEA: Hydrogen Production Using Nuclear Energy.</w:t>
        </w:r>
      </w:hyperlink>
    </w:p>
    <w:p w14:paraId="036DB163" w14:textId="77777777" w:rsidR="009C3A0E" w:rsidRPr="00181D98" w:rsidRDefault="009C3A0E" w:rsidP="00181D98">
      <w:pPr>
        <w:pStyle w:val="blist-bullets"/>
        <w:rPr>
          <w:color w:val="7F7F7F" w:themeColor="text1" w:themeTint="80"/>
          <w:u w:val="single"/>
        </w:rPr>
      </w:pPr>
      <w:hyperlink r:id="rId54">
        <w:r w:rsidRPr="00181D98">
          <w:rPr>
            <w:color w:val="7F7F7F" w:themeColor="text1" w:themeTint="80"/>
            <w:u w:val="single"/>
          </w:rPr>
          <w:t>IAEA: Opportunities for Cogeneration with Nuclear Energy.</w:t>
        </w:r>
      </w:hyperlink>
    </w:p>
    <w:p w14:paraId="223AE43B" w14:textId="77777777" w:rsidR="009C3A0E" w:rsidRPr="00181D98" w:rsidRDefault="009C3A0E" w:rsidP="00181D98">
      <w:pPr>
        <w:pStyle w:val="blist-bullets"/>
        <w:rPr>
          <w:color w:val="7F7F7F" w:themeColor="text1" w:themeTint="80"/>
          <w:u w:val="single"/>
        </w:rPr>
      </w:pPr>
      <w:hyperlink r:id="rId55">
        <w:r w:rsidRPr="00181D98">
          <w:rPr>
            <w:color w:val="7F7F7F" w:themeColor="text1" w:themeTint="80"/>
            <w:u w:val="single"/>
          </w:rPr>
          <w:t>INL/OSTI: High-temperature steam electrolysis reports, integrated energy systems reviews, and nuclear hydrogen cost studies.</w:t>
        </w:r>
      </w:hyperlink>
    </w:p>
    <w:p w14:paraId="485266ED" w14:textId="77777777" w:rsidR="009C3A0E" w:rsidRPr="00181D98" w:rsidRDefault="009C3A0E" w:rsidP="00181D98">
      <w:pPr>
        <w:pStyle w:val="blist-bullets"/>
        <w:rPr>
          <w:color w:val="7F7F7F" w:themeColor="text1" w:themeTint="80"/>
          <w:u w:val="single"/>
        </w:rPr>
      </w:pPr>
      <w:hyperlink r:id="rId56">
        <w:r w:rsidRPr="00181D98">
          <w:rPr>
            <w:color w:val="7F7F7F" w:themeColor="text1" w:themeTint="80"/>
            <w:u w:val="single"/>
          </w:rPr>
          <w:t>Generation IV and HTGR knowledge bases on process heat, intermediate loops, compact heat exchangers, materials, and safety.</w:t>
        </w:r>
      </w:hyperlink>
    </w:p>
    <w:p w14:paraId="1C43747B" w14:textId="77777777" w:rsidR="009C3A0E" w:rsidRDefault="00994197">
      <w:pPr>
        <w:pStyle w:val="Heading2"/>
        <w:spacing w:before="280"/>
      </w:pPr>
      <w:r>
        <w:t>Transport, marine, construction, and standards</w:t>
      </w:r>
    </w:p>
    <w:p w14:paraId="62D8591D" w14:textId="77777777" w:rsidR="009C3A0E" w:rsidRPr="00181D98" w:rsidRDefault="009C3A0E" w:rsidP="00181D98">
      <w:pPr>
        <w:pStyle w:val="blist-bullets"/>
        <w:rPr>
          <w:color w:val="7F7F7F" w:themeColor="text1" w:themeTint="80"/>
          <w:u w:val="single"/>
        </w:rPr>
      </w:pPr>
      <w:hyperlink r:id="rId57">
        <w:r w:rsidRPr="00181D98">
          <w:rPr>
            <w:color w:val="7F7F7F" w:themeColor="text1" w:themeTint="80"/>
            <w:u w:val="single"/>
          </w:rPr>
          <w:t>DNV-ST-N001 Marine Operations and Marine Warranty; applicable class rules from DNV, ABS, Lloyd’s Register, or Bureau Veritas.</w:t>
        </w:r>
      </w:hyperlink>
    </w:p>
    <w:p w14:paraId="20DFA3D9" w14:textId="77777777" w:rsidR="009C3A0E" w:rsidRPr="00181D98" w:rsidRDefault="009C3A0E" w:rsidP="00181D98">
      <w:pPr>
        <w:pStyle w:val="blist-bullets"/>
        <w:rPr>
          <w:color w:val="7F7F7F" w:themeColor="text1" w:themeTint="80"/>
          <w:u w:val="single"/>
        </w:rPr>
      </w:pPr>
      <w:hyperlink r:id="rId58">
        <w:r w:rsidRPr="00181D98">
          <w:rPr>
            <w:color w:val="7F7F7F" w:themeColor="text1" w:themeTint="80"/>
            <w:u w:val="single"/>
          </w:rPr>
          <w:t>IMO Code of Safe Practice for Cargo Stowage and Securing and Cargo Securing Manual guidance.</w:t>
        </w:r>
      </w:hyperlink>
    </w:p>
    <w:p w14:paraId="3E9D8E67" w14:textId="77777777" w:rsidR="009C3A0E" w:rsidRPr="00181D98" w:rsidRDefault="009C3A0E" w:rsidP="00181D98">
      <w:pPr>
        <w:pStyle w:val="blist-bullets"/>
        <w:rPr>
          <w:color w:val="7F7F7F" w:themeColor="text1" w:themeTint="80"/>
          <w:u w:val="single"/>
        </w:rPr>
      </w:pPr>
      <w:hyperlink r:id="rId59">
        <w:r w:rsidRPr="00181D98">
          <w:rPr>
            <w:color w:val="7F7F7F" w:themeColor="text1" w:themeTint="80"/>
            <w:u w:val="single"/>
          </w:rPr>
          <w:t>ASME Boiler and Pressure Vessel Code, B31 piping codes, compact heat-exchanger code-development work, and relevant ANS/ASTM/ISA/IEC/NFPA/API standards.</w:t>
        </w:r>
      </w:hyperlink>
    </w:p>
    <w:p w14:paraId="3D6CE5B4" w14:textId="77777777" w:rsidR="009C3A0E" w:rsidRPr="00181D98" w:rsidRDefault="009C3A0E" w:rsidP="00181D98">
      <w:pPr>
        <w:pStyle w:val="blist-bullets"/>
        <w:rPr>
          <w:color w:val="7F7F7F" w:themeColor="text1" w:themeTint="80"/>
          <w:u w:val="single"/>
        </w:rPr>
      </w:pPr>
      <w:hyperlink r:id="rId60">
        <w:r w:rsidRPr="00181D98">
          <w:rPr>
            <w:color w:val="7F7F7F" w:themeColor="text1" w:themeTint="80"/>
            <w:u w:val="single"/>
          </w:rPr>
          <w:t>Construction Industry Institute and major EPC modularization guidance; heavy-lift carrier, SPMT, rail, bridge, port, and route-engineering references.</w:t>
        </w:r>
      </w:hyperlink>
    </w:p>
    <w:p w14:paraId="15B4ED87" w14:textId="77777777" w:rsidR="009C3A0E" w:rsidRDefault="00994197">
      <w:pPr>
        <w:pStyle w:val="Heading2"/>
        <w:spacing w:before="280"/>
      </w:pPr>
      <w:r>
        <w:t>Cost and lifecycle tools</w:t>
      </w:r>
    </w:p>
    <w:p w14:paraId="5909244A" w14:textId="77777777" w:rsidR="009C3A0E" w:rsidRPr="00181D98" w:rsidRDefault="009C3A0E" w:rsidP="00181D98">
      <w:pPr>
        <w:pStyle w:val="blist-bullets"/>
        <w:rPr>
          <w:color w:val="7F7F7F" w:themeColor="text1" w:themeTint="80"/>
          <w:u w:val="single"/>
        </w:rPr>
      </w:pPr>
      <w:hyperlink r:id="rId61">
        <w:r w:rsidRPr="00181D98">
          <w:rPr>
            <w:color w:val="7F7F7F" w:themeColor="text1" w:themeTint="80"/>
            <w:u w:val="single"/>
          </w:rPr>
          <w:t>DOE H2A Production Models and current electrolyzer-system target definitions.</w:t>
        </w:r>
      </w:hyperlink>
    </w:p>
    <w:p w14:paraId="4EC21954" w14:textId="77777777" w:rsidR="009C3A0E" w:rsidRPr="00181D98" w:rsidRDefault="009C3A0E" w:rsidP="00181D98">
      <w:pPr>
        <w:pStyle w:val="blist-bullets"/>
        <w:rPr>
          <w:color w:val="7F7F7F" w:themeColor="text1" w:themeTint="80"/>
          <w:u w:val="single"/>
        </w:rPr>
      </w:pPr>
      <w:hyperlink r:id="rId62">
        <w:r w:rsidRPr="00181D98">
          <w:rPr>
            <w:color w:val="7F7F7F" w:themeColor="text1" w:themeTint="80"/>
            <w:u w:val="single"/>
          </w:rPr>
          <w:t>NREL H2NEW research, manufacturing, durability, and cost publications.</w:t>
        </w:r>
      </w:hyperlink>
    </w:p>
    <w:p w14:paraId="07527B51" w14:textId="77777777" w:rsidR="009C3A0E" w:rsidRPr="00181D98" w:rsidRDefault="009C3A0E" w:rsidP="00181D98">
      <w:pPr>
        <w:pStyle w:val="blist-bullets"/>
        <w:rPr>
          <w:color w:val="7F7F7F" w:themeColor="text1" w:themeTint="80"/>
          <w:u w:val="single"/>
        </w:rPr>
      </w:pPr>
      <w:hyperlink r:id="rId63">
        <w:r w:rsidRPr="00181D98">
          <w:rPr>
            <w:color w:val="7F7F7F" w:themeColor="text1" w:themeTint="80"/>
            <w:u w:val="single"/>
          </w:rPr>
          <w:t>NETL, NREL, INL, and Argonne techno-economic and lifecycle frameworks for hydrogen, ammonia, electricity, heat, water, and industrial products.</w:t>
        </w:r>
      </w:hyperlink>
    </w:p>
    <w:p w14:paraId="1B75B116" w14:textId="7B77BACB" w:rsidR="008F2011" w:rsidRDefault="008F2011"/>
    <w:sectPr w:rsidR="008F2011">
      <w:footerReference w:type="default" r:id="rId64"/>
      <w:pgSz w:w="12240" w:h="15840"/>
      <w:pgMar w:top="1152" w:right="1080" w:bottom="1152" w:left="1152" w:header="0" w:footer="504"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0B27D" w14:textId="77777777" w:rsidR="00994197" w:rsidRDefault="00994197">
      <w:r>
        <w:separator/>
      </w:r>
    </w:p>
  </w:endnote>
  <w:endnote w:type="continuationSeparator" w:id="0">
    <w:p w14:paraId="360BD6F8" w14:textId="77777777" w:rsidR="00994197" w:rsidRDefault="00994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roman"/>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D7B41" w14:textId="77777777" w:rsidR="002E7559" w:rsidRDefault="00994197" w:rsidP="001478EC">
    <w:pPr>
      <w:pStyle w:val="Footer"/>
      <w:pBdr>
        <w:top w:val="single" w:sz="8" w:space="4" w:color="666666"/>
      </w:pBdr>
      <w:tabs>
        <w:tab w:val="clear" w:pos="4680"/>
        <w:tab w:val="clear" w:pos="9360"/>
        <w:tab w:val="right" w:pos="9990"/>
      </w:tabs>
      <w:spacing w:before="80" w:beforeAutospacing="0" w:after="100"/>
    </w:pPr>
    <w:r>
      <w:t>Nuclear Power Industrial Processing</w:t>
    </w:r>
    <w:r>
      <w:tab/>
      <w:t xml:space="preserve">Page </w:t>
    </w:r>
    <w:r>
      <w:fldChar w:fldCharType="begin"/>
    </w:r>
    <w:r>
      <w:instrText xml:space="preserve"> PAGE </w:instrText>
    </w:r>
    <w:r>
      <w:fldChar w:fldCharType="separate"/>
    </w:r>
    <w:r>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8883D" w14:textId="77777777" w:rsidR="00994197" w:rsidRDefault="00994197">
      <w:r>
        <w:separator/>
      </w:r>
    </w:p>
  </w:footnote>
  <w:footnote w:type="continuationSeparator" w:id="0">
    <w:p w14:paraId="0B88679F" w14:textId="77777777" w:rsidR="00994197" w:rsidRDefault="00994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B5F29"/>
    <w:multiLevelType w:val="multilevel"/>
    <w:tmpl w:val="E5D01EF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7DF23C0"/>
    <w:multiLevelType w:val="multilevel"/>
    <w:tmpl w:val="63AAE2B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AD300A1"/>
    <w:multiLevelType w:val="multilevel"/>
    <w:tmpl w:val="7A6294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0AE40973"/>
    <w:multiLevelType w:val="multilevel"/>
    <w:tmpl w:val="5C3C06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665626C"/>
    <w:multiLevelType w:val="multilevel"/>
    <w:tmpl w:val="4FB66A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167412CB"/>
    <w:multiLevelType w:val="multilevel"/>
    <w:tmpl w:val="7FC644CA"/>
    <w:lvl w:ilvl="0">
      <w:start w:val="1"/>
      <w:numFmt w:val="bullet"/>
      <w:pStyle w:val="blist-bullets"/>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170420EB"/>
    <w:multiLevelType w:val="multilevel"/>
    <w:tmpl w:val="1D083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A2F2203"/>
    <w:multiLevelType w:val="multilevel"/>
    <w:tmpl w:val="0A3294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A8940EC"/>
    <w:multiLevelType w:val="multilevel"/>
    <w:tmpl w:val="C86C4A7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1FF37622"/>
    <w:multiLevelType w:val="multilevel"/>
    <w:tmpl w:val="A5622F4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21002B8E"/>
    <w:multiLevelType w:val="multilevel"/>
    <w:tmpl w:val="499A2FC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13B7A66"/>
    <w:multiLevelType w:val="multilevel"/>
    <w:tmpl w:val="01F08F2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27813D6B"/>
    <w:multiLevelType w:val="multilevel"/>
    <w:tmpl w:val="F02C8A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296C44A8"/>
    <w:multiLevelType w:val="multilevel"/>
    <w:tmpl w:val="4CEA1F6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CB2682E"/>
    <w:multiLevelType w:val="multilevel"/>
    <w:tmpl w:val="EFFAD84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2EA35FB6"/>
    <w:multiLevelType w:val="multilevel"/>
    <w:tmpl w:val="2EBADBF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32ED6CC2"/>
    <w:multiLevelType w:val="multilevel"/>
    <w:tmpl w:val="54E433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38083A1B"/>
    <w:multiLevelType w:val="multilevel"/>
    <w:tmpl w:val="D1BCC3E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39182038"/>
    <w:multiLevelType w:val="multilevel"/>
    <w:tmpl w:val="8E7476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41C86002"/>
    <w:multiLevelType w:val="multilevel"/>
    <w:tmpl w:val="9910992E"/>
    <w:lvl w:ilvl="0">
      <w:start w:val="1"/>
      <w:numFmt w:val="bullet"/>
      <w:pStyle w:val="blistNo-Space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4C3B2A48"/>
    <w:multiLevelType w:val="multilevel"/>
    <w:tmpl w:val="776E13F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15:restartNumberingAfterBreak="0">
    <w:nsid w:val="4CD31253"/>
    <w:multiLevelType w:val="hybridMultilevel"/>
    <w:tmpl w:val="4FA25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855E22"/>
    <w:multiLevelType w:val="multilevel"/>
    <w:tmpl w:val="0DBC46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2B41B54"/>
    <w:multiLevelType w:val="multilevel"/>
    <w:tmpl w:val="468AAF3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15:restartNumberingAfterBreak="0">
    <w:nsid w:val="55A977D9"/>
    <w:multiLevelType w:val="hybridMultilevel"/>
    <w:tmpl w:val="3DC2CCD6"/>
    <w:lvl w:ilvl="0" w:tplc="BD48FF86">
      <w:start w:val="1"/>
      <w:numFmt w:val="decimal"/>
      <w:pStyle w:val="blist-numbers"/>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57907878"/>
    <w:multiLevelType w:val="multilevel"/>
    <w:tmpl w:val="CD0AAF5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15:restartNumberingAfterBreak="0">
    <w:nsid w:val="66FC2C27"/>
    <w:multiLevelType w:val="multilevel"/>
    <w:tmpl w:val="40649FBA"/>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675F75A0"/>
    <w:multiLevelType w:val="multilevel"/>
    <w:tmpl w:val="A0B02BC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690D5662"/>
    <w:multiLevelType w:val="multilevel"/>
    <w:tmpl w:val="69206716"/>
    <w:lvl w:ilvl="0">
      <w:start w:val="1"/>
      <w:numFmt w:val="bullet"/>
      <w:pStyle w:val="ListNumber"/>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6A11529E"/>
    <w:multiLevelType w:val="multilevel"/>
    <w:tmpl w:val="8A06868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 w15:restartNumberingAfterBreak="0">
    <w:nsid w:val="6AF0488B"/>
    <w:multiLevelType w:val="multilevel"/>
    <w:tmpl w:val="86500D3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 w15:restartNumberingAfterBreak="0">
    <w:nsid w:val="6D8D77B5"/>
    <w:multiLevelType w:val="multilevel"/>
    <w:tmpl w:val="3682A7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F5B4496"/>
    <w:multiLevelType w:val="multilevel"/>
    <w:tmpl w:val="DF2AFFE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 w15:restartNumberingAfterBreak="0">
    <w:nsid w:val="6F71010D"/>
    <w:multiLevelType w:val="multilevel"/>
    <w:tmpl w:val="DB9EC07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4" w15:restartNumberingAfterBreak="0">
    <w:nsid w:val="70A11538"/>
    <w:multiLevelType w:val="multilevel"/>
    <w:tmpl w:val="8DBE22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5" w15:restartNumberingAfterBreak="0">
    <w:nsid w:val="78E40E2D"/>
    <w:multiLevelType w:val="multilevel"/>
    <w:tmpl w:val="1F6CDE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9284972"/>
    <w:multiLevelType w:val="multilevel"/>
    <w:tmpl w:val="9D6EFA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9EF2146"/>
    <w:multiLevelType w:val="multilevel"/>
    <w:tmpl w:val="62DCF5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8" w15:restartNumberingAfterBreak="0">
    <w:nsid w:val="7A78319F"/>
    <w:multiLevelType w:val="multilevel"/>
    <w:tmpl w:val="A01001A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9" w15:restartNumberingAfterBreak="0">
    <w:nsid w:val="7B960100"/>
    <w:multiLevelType w:val="multilevel"/>
    <w:tmpl w:val="1C46FD7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0" w15:restartNumberingAfterBreak="0">
    <w:nsid w:val="7FE36A80"/>
    <w:multiLevelType w:val="multilevel"/>
    <w:tmpl w:val="DD3036A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1" w15:restartNumberingAfterBreak="0">
    <w:nsid w:val="7FEE17FB"/>
    <w:multiLevelType w:val="multilevel"/>
    <w:tmpl w:val="47AE66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22808723">
    <w:abstractNumId w:val="26"/>
  </w:num>
  <w:num w:numId="2" w16cid:durableId="1986664329">
    <w:abstractNumId w:val="28"/>
  </w:num>
  <w:num w:numId="3" w16cid:durableId="1402093202">
    <w:abstractNumId w:val="4"/>
  </w:num>
  <w:num w:numId="4" w16cid:durableId="847141283">
    <w:abstractNumId w:val="23"/>
  </w:num>
  <w:num w:numId="5" w16cid:durableId="157310518">
    <w:abstractNumId w:val="16"/>
  </w:num>
  <w:num w:numId="6" w16cid:durableId="1621569529">
    <w:abstractNumId w:val="22"/>
  </w:num>
  <w:num w:numId="7" w16cid:durableId="1972860852">
    <w:abstractNumId w:val="3"/>
  </w:num>
  <w:num w:numId="8" w16cid:durableId="1777823125">
    <w:abstractNumId w:val="10"/>
  </w:num>
  <w:num w:numId="9" w16cid:durableId="1507749464">
    <w:abstractNumId w:val="7"/>
  </w:num>
  <w:num w:numId="10" w16cid:durableId="978265703">
    <w:abstractNumId w:val="8"/>
  </w:num>
  <w:num w:numId="11" w16cid:durableId="964700775">
    <w:abstractNumId w:val="33"/>
  </w:num>
  <w:num w:numId="12" w16cid:durableId="948588645">
    <w:abstractNumId w:val="27"/>
  </w:num>
  <w:num w:numId="13" w16cid:durableId="170266007">
    <w:abstractNumId w:val="20"/>
  </w:num>
  <w:num w:numId="14" w16cid:durableId="112595474">
    <w:abstractNumId w:val="29"/>
  </w:num>
  <w:num w:numId="15" w16cid:durableId="1874229600">
    <w:abstractNumId w:val="31"/>
  </w:num>
  <w:num w:numId="16" w16cid:durableId="1994018395">
    <w:abstractNumId w:val="30"/>
  </w:num>
  <w:num w:numId="17" w16cid:durableId="1832672761">
    <w:abstractNumId w:val="18"/>
  </w:num>
  <w:num w:numId="18" w16cid:durableId="1266035686">
    <w:abstractNumId w:val="0"/>
  </w:num>
  <w:num w:numId="19" w16cid:durableId="202905195">
    <w:abstractNumId w:val="32"/>
  </w:num>
  <w:num w:numId="20" w16cid:durableId="1235504271">
    <w:abstractNumId w:val="17"/>
  </w:num>
  <w:num w:numId="21" w16cid:durableId="842204830">
    <w:abstractNumId w:val="11"/>
  </w:num>
  <w:num w:numId="22" w16cid:durableId="988628367">
    <w:abstractNumId w:val="36"/>
  </w:num>
  <w:num w:numId="23" w16cid:durableId="248734225">
    <w:abstractNumId w:val="2"/>
  </w:num>
  <w:num w:numId="24" w16cid:durableId="1047533939">
    <w:abstractNumId w:val="37"/>
  </w:num>
  <w:num w:numId="25" w16cid:durableId="207453352">
    <w:abstractNumId w:val="9"/>
  </w:num>
  <w:num w:numId="26" w16cid:durableId="508908040">
    <w:abstractNumId w:val="25"/>
  </w:num>
  <w:num w:numId="27" w16cid:durableId="39597850">
    <w:abstractNumId w:val="1"/>
  </w:num>
  <w:num w:numId="28" w16cid:durableId="1254390693">
    <w:abstractNumId w:val="41"/>
  </w:num>
  <w:num w:numId="29" w16cid:durableId="309527910">
    <w:abstractNumId w:val="39"/>
  </w:num>
  <w:num w:numId="30" w16cid:durableId="418335300">
    <w:abstractNumId w:val="6"/>
  </w:num>
  <w:num w:numId="31" w16cid:durableId="969550617">
    <w:abstractNumId w:val="38"/>
  </w:num>
  <w:num w:numId="32" w16cid:durableId="574239459">
    <w:abstractNumId w:val="34"/>
  </w:num>
  <w:num w:numId="33" w16cid:durableId="1933735275">
    <w:abstractNumId w:val="14"/>
  </w:num>
  <w:num w:numId="34" w16cid:durableId="1985741879">
    <w:abstractNumId w:val="35"/>
  </w:num>
  <w:num w:numId="35" w16cid:durableId="452868312">
    <w:abstractNumId w:val="19"/>
  </w:num>
  <w:num w:numId="36" w16cid:durableId="770466104">
    <w:abstractNumId w:val="12"/>
  </w:num>
  <w:num w:numId="37" w16cid:durableId="1682123770">
    <w:abstractNumId w:val="15"/>
  </w:num>
  <w:num w:numId="38" w16cid:durableId="839009544">
    <w:abstractNumId w:val="40"/>
  </w:num>
  <w:num w:numId="39" w16cid:durableId="1376657154">
    <w:abstractNumId w:val="21"/>
  </w:num>
  <w:num w:numId="40" w16cid:durableId="960528151">
    <w:abstractNumId w:val="5"/>
  </w:num>
  <w:num w:numId="41" w16cid:durableId="963538986">
    <w:abstractNumId w:val="13"/>
  </w:num>
  <w:num w:numId="42" w16cid:durableId="1665430827">
    <w:abstractNumId w:val="2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C3A0E"/>
    <w:rsid w:val="00011E10"/>
    <w:rsid w:val="00041FA4"/>
    <w:rsid w:val="00061C37"/>
    <w:rsid w:val="00067894"/>
    <w:rsid w:val="00075713"/>
    <w:rsid w:val="000A03B6"/>
    <w:rsid w:val="000C680B"/>
    <w:rsid w:val="000D2D65"/>
    <w:rsid w:val="000D366D"/>
    <w:rsid w:val="000D51FB"/>
    <w:rsid w:val="00120C95"/>
    <w:rsid w:val="00123818"/>
    <w:rsid w:val="0013336B"/>
    <w:rsid w:val="00142074"/>
    <w:rsid w:val="001478EC"/>
    <w:rsid w:val="00155E94"/>
    <w:rsid w:val="00161E41"/>
    <w:rsid w:val="00163023"/>
    <w:rsid w:val="00170316"/>
    <w:rsid w:val="00181D98"/>
    <w:rsid w:val="00182712"/>
    <w:rsid w:val="00193326"/>
    <w:rsid w:val="00195F63"/>
    <w:rsid w:val="001C0A71"/>
    <w:rsid w:val="001C4475"/>
    <w:rsid w:val="001D23C7"/>
    <w:rsid w:val="001D7D83"/>
    <w:rsid w:val="001E2B30"/>
    <w:rsid w:val="001E542C"/>
    <w:rsid w:val="001E5BC1"/>
    <w:rsid w:val="001F3410"/>
    <w:rsid w:val="001F5854"/>
    <w:rsid w:val="00201BFA"/>
    <w:rsid w:val="00205390"/>
    <w:rsid w:val="00245FC6"/>
    <w:rsid w:val="002604B6"/>
    <w:rsid w:val="00261B32"/>
    <w:rsid w:val="0027487E"/>
    <w:rsid w:val="00282A64"/>
    <w:rsid w:val="00284556"/>
    <w:rsid w:val="0028609B"/>
    <w:rsid w:val="002A32AE"/>
    <w:rsid w:val="002A4093"/>
    <w:rsid w:val="002A63AF"/>
    <w:rsid w:val="002C715C"/>
    <w:rsid w:val="002E1628"/>
    <w:rsid w:val="002E689D"/>
    <w:rsid w:val="002E7045"/>
    <w:rsid w:val="002E7559"/>
    <w:rsid w:val="002F5909"/>
    <w:rsid w:val="002F6E52"/>
    <w:rsid w:val="00303A61"/>
    <w:rsid w:val="00303F50"/>
    <w:rsid w:val="00305792"/>
    <w:rsid w:val="00322275"/>
    <w:rsid w:val="00345711"/>
    <w:rsid w:val="0034633E"/>
    <w:rsid w:val="003509FF"/>
    <w:rsid w:val="00366120"/>
    <w:rsid w:val="00371BE1"/>
    <w:rsid w:val="003962F5"/>
    <w:rsid w:val="003B0812"/>
    <w:rsid w:val="003B570F"/>
    <w:rsid w:val="003C3ED9"/>
    <w:rsid w:val="003D3C0A"/>
    <w:rsid w:val="003D4C50"/>
    <w:rsid w:val="00426F8F"/>
    <w:rsid w:val="00435BE8"/>
    <w:rsid w:val="00440480"/>
    <w:rsid w:val="00444629"/>
    <w:rsid w:val="004455DF"/>
    <w:rsid w:val="00454E49"/>
    <w:rsid w:val="00485EB2"/>
    <w:rsid w:val="00491635"/>
    <w:rsid w:val="00496F64"/>
    <w:rsid w:val="004B1A0C"/>
    <w:rsid w:val="004B3738"/>
    <w:rsid w:val="004B458E"/>
    <w:rsid w:val="004C363F"/>
    <w:rsid w:val="004C6EF6"/>
    <w:rsid w:val="004D1C45"/>
    <w:rsid w:val="004D3942"/>
    <w:rsid w:val="004E3C2B"/>
    <w:rsid w:val="004E69F3"/>
    <w:rsid w:val="004E72C8"/>
    <w:rsid w:val="004F5F74"/>
    <w:rsid w:val="005034B9"/>
    <w:rsid w:val="005554BF"/>
    <w:rsid w:val="005A3BC8"/>
    <w:rsid w:val="005B1B06"/>
    <w:rsid w:val="005B65DB"/>
    <w:rsid w:val="005C0378"/>
    <w:rsid w:val="005C4EA6"/>
    <w:rsid w:val="005D737C"/>
    <w:rsid w:val="005E57AE"/>
    <w:rsid w:val="005E7250"/>
    <w:rsid w:val="00601088"/>
    <w:rsid w:val="006239E3"/>
    <w:rsid w:val="00636DE1"/>
    <w:rsid w:val="00637EF3"/>
    <w:rsid w:val="00654524"/>
    <w:rsid w:val="00667142"/>
    <w:rsid w:val="006859F7"/>
    <w:rsid w:val="00692A4C"/>
    <w:rsid w:val="006953E2"/>
    <w:rsid w:val="006964D0"/>
    <w:rsid w:val="006A204C"/>
    <w:rsid w:val="006C0156"/>
    <w:rsid w:val="006C09B4"/>
    <w:rsid w:val="006C7C80"/>
    <w:rsid w:val="006D469F"/>
    <w:rsid w:val="006D7F87"/>
    <w:rsid w:val="006E53D4"/>
    <w:rsid w:val="007013A0"/>
    <w:rsid w:val="007108BF"/>
    <w:rsid w:val="00717536"/>
    <w:rsid w:val="00742574"/>
    <w:rsid w:val="00751F09"/>
    <w:rsid w:val="007624B8"/>
    <w:rsid w:val="007641C5"/>
    <w:rsid w:val="007658C3"/>
    <w:rsid w:val="00774995"/>
    <w:rsid w:val="00797AAF"/>
    <w:rsid w:val="007A2C23"/>
    <w:rsid w:val="007A7BAC"/>
    <w:rsid w:val="007D2CDC"/>
    <w:rsid w:val="007E70BF"/>
    <w:rsid w:val="007F601D"/>
    <w:rsid w:val="00837532"/>
    <w:rsid w:val="00837698"/>
    <w:rsid w:val="00843587"/>
    <w:rsid w:val="008A225E"/>
    <w:rsid w:val="008A42A6"/>
    <w:rsid w:val="008B315C"/>
    <w:rsid w:val="008E1EEF"/>
    <w:rsid w:val="008F2011"/>
    <w:rsid w:val="00907806"/>
    <w:rsid w:val="0092789D"/>
    <w:rsid w:val="00935EAA"/>
    <w:rsid w:val="0093696B"/>
    <w:rsid w:val="00944416"/>
    <w:rsid w:val="009520F4"/>
    <w:rsid w:val="0095438E"/>
    <w:rsid w:val="009561AD"/>
    <w:rsid w:val="009613FB"/>
    <w:rsid w:val="00964174"/>
    <w:rsid w:val="00967478"/>
    <w:rsid w:val="0097586B"/>
    <w:rsid w:val="00994197"/>
    <w:rsid w:val="009957C9"/>
    <w:rsid w:val="009A7679"/>
    <w:rsid w:val="009B48DF"/>
    <w:rsid w:val="009C3A0E"/>
    <w:rsid w:val="009D627A"/>
    <w:rsid w:val="009E2D81"/>
    <w:rsid w:val="009F1110"/>
    <w:rsid w:val="00A0087E"/>
    <w:rsid w:val="00A034F3"/>
    <w:rsid w:val="00A352AA"/>
    <w:rsid w:val="00A46F66"/>
    <w:rsid w:val="00A50DED"/>
    <w:rsid w:val="00A551A9"/>
    <w:rsid w:val="00A556BD"/>
    <w:rsid w:val="00A57761"/>
    <w:rsid w:val="00A603A1"/>
    <w:rsid w:val="00A6082F"/>
    <w:rsid w:val="00A85289"/>
    <w:rsid w:val="00A861E8"/>
    <w:rsid w:val="00A924DD"/>
    <w:rsid w:val="00AA3E63"/>
    <w:rsid w:val="00AA66F9"/>
    <w:rsid w:val="00AB708B"/>
    <w:rsid w:val="00AC17D8"/>
    <w:rsid w:val="00AC35FE"/>
    <w:rsid w:val="00AD4CBC"/>
    <w:rsid w:val="00B079CC"/>
    <w:rsid w:val="00B16232"/>
    <w:rsid w:val="00B331BA"/>
    <w:rsid w:val="00B41F9C"/>
    <w:rsid w:val="00B54452"/>
    <w:rsid w:val="00B71A27"/>
    <w:rsid w:val="00B71D4D"/>
    <w:rsid w:val="00B867E0"/>
    <w:rsid w:val="00BB6F7D"/>
    <w:rsid w:val="00C1529C"/>
    <w:rsid w:val="00C2752F"/>
    <w:rsid w:val="00C340FE"/>
    <w:rsid w:val="00C4136C"/>
    <w:rsid w:val="00C51FB6"/>
    <w:rsid w:val="00C52D69"/>
    <w:rsid w:val="00C93F4E"/>
    <w:rsid w:val="00C94488"/>
    <w:rsid w:val="00CB7430"/>
    <w:rsid w:val="00CC7949"/>
    <w:rsid w:val="00CC7965"/>
    <w:rsid w:val="00CE5ECF"/>
    <w:rsid w:val="00D16ADB"/>
    <w:rsid w:val="00D20B0A"/>
    <w:rsid w:val="00D545F4"/>
    <w:rsid w:val="00D60D91"/>
    <w:rsid w:val="00D62CA3"/>
    <w:rsid w:val="00D74F79"/>
    <w:rsid w:val="00D7515C"/>
    <w:rsid w:val="00D81064"/>
    <w:rsid w:val="00DA424D"/>
    <w:rsid w:val="00DC4372"/>
    <w:rsid w:val="00DC502B"/>
    <w:rsid w:val="00DC5411"/>
    <w:rsid w:val="00DC7AA5"/>
    <w:rsid w:val="00DD4A62"/>
    <w:rsid w:val="00DF37DC"/>
    <w:rsid w:val="00E034BA"/>
    <w:rsid w:val="00E0465F"/>
    <w:rsid w:val="00E170A8"/>
    <w:rsid w:val="00E37EB3"/>
    <w:rsid w:val="00E616B6"/>
    <w:rsid w:val="00E74120"/>
    <w:rsid w:val="00E8036F"/>
    <w:rsid w:val="00EE10CE"/>
    <w:rsid w:val="00EE5495"/>
    <w:rsid w:val="00F018C0"/>
    <w:rsid w:val="00F42AC5"/>
    <w:rsid w:val="00F510C2"/>
    <w:rsid w:val="00F808E1"/>
    <w:rsid w:val="00FB12A5"/>
    <w:rsid w:val="00FD2BED"/>
    <w:rsid w:val="00FF42B6"/>
    <w:rsid w:val="00FF5FB9"/>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9BD61"/>
  <w15:docId w15:val="{3A6E67D4-7A1E-4E0F-999C-0E2F4AC8A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C4E"/>
    <w:pPr>
      <w:spacing w:before="100" w:beforeAutospacing="1" w:after="100" w:afterAutospacing="1" w:line="264" w:lineRule="auto"/>
    </w:pPr>
    <w:rPr>
      <w:rFonts w:ascii="Calibri" w:eastAsia="Calibri" w:hAnsi="Calibri"/>
      <w:sz w:val="24"/>
    </w:rPr>
  </w:style>
  <w:style w:type="paragraph" w:styleId="Heading1">
    <w:name w:val="heading 1"/>
    <w:basedOn w:val="Normal"/>
    <w:next w:val="Normal"/>
    <w:link w:val="Heading1Char"/>
    <w:uiPriority w:val="9"/>
    <w:qFormat/>
    <w:rsid w:val="0095221A"/>
    <w:pPr>
      <w:keepNext/>
      <w:keepLines/>
      <w:pageBreakBefore/>
      <w:pBdr>
        <w:top w:val="double" w:sz="4" w:space="1" w:color="E36C0A" w:themeColor="accent6" w:themeShade="BF"/>
        <w:bottom w:val="double" w:sz="4" w:space="1" w:color="E36C0A" w:themeColor="accent6" w:themeShade="BF"/>
      </w:pBdr>
      <w:spacing w:before="480" w:after="240"/>
      <w:outlineLvl w:val="0"/>
    </w:pPr>
    <w:rPr>
      <w:rFonts w:asciiTheme="majorHAnsi" w:eastAsiaTheme="majorEastAsia" w:hAnsiTheme="majorHAnsi" w:cstheme="majorBidi"/>
      <w:b/>
      <w:bCs/>
      <w:color w:val="E36C0A" w:themeColor="accent6" w:themeShade="BF"/>
      <w:sz w:val="44"/>
      <w:szCs w:val="28"/>
    </w:rPr>
  </w:style>
  <w:style w:type="paragraph" w:styleId="Heading2">
    <w:name w:val="heading 2"/>
    <w:basedOn w:val="Normal"/>
    <w:next w:val="Normal"/>
    <w:link w:val="Heading2Char"/>
    <w:uiPriority w:val="9"/>
    <w:unhideWhenUsed/>
    <w:qFormat/>
    <w:rsid w:val="00AE265B"/>
    <w:pPr>
      <w:keepNext/>
      <w:keepLines/>
      <w:pBdr>
        <w:top w:val="single" w:sz="4" w:space="1" w:color="76923C" w:themeColor="accent3" w:themeShade="BF"/>
        <w:bottom w:val="single" w:sz="4" w:space="1" w:color="76923C" w:themeColor="accent3" w:themeShade="BF"/>
      </w:pBdr>
      <w:spacing w:before="360" w:after="280"/>
      <w:outlineLvl w:val="1"/>
    </w:pPr>
    <w:rPr>
      <w:rFonts w:asciiTheme="majorHAnsi" w:eastAsiaTheme="majorEastAsia" w:hAnsiTheme="majorHAnsi" w:cstheme="majorBidi"/>
      <w:b/>
      <w:bCs/>
      <w:color w:val="76923C" w:themeColor="accent3" w:themeShade="BF"/>
      <w:sz w:val="32"/>
      <w:szCs w:val="26"/>
    </w:rPr>
  </w:style>
  <w:style w:type="paragraph" w:styleId="Heading3">
    <w:name w:val="heading 3"/>
    <w:basedOn w:val="Normal"/>
    <w:next w:val="Normal"/>
    <w:link w:val="Heading3Char"/>
    <w:uiPriority w:val="9"/>
    <w:unhideWhenUsed/>
    <w:qFormat/>
    <w:rsid w:val="00E41B49"/>
    <w:pPr>
      <w:keepNext/>
      <w:keepLines/>
      <w:spacing w:before="240" w:after="120"/>
      <w:outlineLvl w:val="2"/>
    </w:pPr>
    <w:rPr>
      <w:rFonts w:asciiTheme="majorHAnsi" w:eastAsiaTheme="majorEastAsia" w:hAnsiTheme="majorHAnsi" w:cstheme="majorBidi"/>
      <w:b/>
      <w:bCs/>
      <w:color w:val="76923C" w:themeColor="accent3" w:themeShade="BF"/>
      <w:sz w:val="26"/>
      <w:u w:val="single"/>
    </w:rPr>
  </w:style>
  <w:style w:type="paragraph" w:styleId="Heading4">
    <w:name w:val="heading 4"/>
    <w:basedOn w:val="Normal"/>
    <w:next w:val="Normal"/>
    <w:link w:val="Heading4Char"/>
    <w:uiPriority w:val="9"/>
    <w:unhideWhenUsed/>
    <w:qFormat/>
    <w:rsid w:val="009951D6"/>
    <w:pPr>
      <w:keepNext/>
      <w:keepLines/>
      <w:spacing w:before="200" w:after="280"/>
      <w:outlineLvl w:val="3"/>
    </w:pPr>
    <w:rPr>
      <w:rFonts w:asciiTheme="majorHAnsi" w:eastAsiaTheme="majorEastAsia" w:hAnsiTheme="majorHAnsi" w:cstheme="majorBidi"/>
      <w:b/>
      <w:bCs/>
      <w:i/>
      <w:iCs/>
      <w:color w:val="31849B" w:themeColor="accent5" w:themeShade="BF"/>
      <w:u w:val="single"/>
    </w:rPr>
  </w:style>
  <w:style w:type="paragraph" w:styleId="Heading5">
    <w:name w:val="heading 5"/>
    <w:basedOn w:val="Normal"/>
    <w:next w:val="Normal"/>
    <w:link w:val="Heading5Char"/>
    <w:uiPriority w:val="9"/>
    <w:unhideWhenUsed/>
    <w:qFormat/>
    <w:rsid w:val="00FC693F"/>
    <w:pPr>
      <w:keepNext/>
      <w:keepLines/>
      <w:spacing w:before="200" w:after="28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C693F"/>
    <w:pPr>
      <w:keepNext/>
      <w:keepLines/>
      <w:spacing w:before="200" w:after="28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28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28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28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618BF"/>
  </w:style>
  <w:style w:type="character" w:customStyle="1" w:styleId="FooterChar">
    <w:name w:val="Footer Char"/>
    <w:basedOn w:val="DefaultParagraphFont"/>
    <w:link w:val="Footer"/>
    <w:uiPriority w:val="99"/>
    <w:qFormat/>
    <w:rsid w:val="00E618BF"/>
  </w:style>
  <w:style w:type="character" w:customStyle="1" w:styleId="Heading1Char">
    <w:name w:val="Heading 1 Char"/>
    <w:basedOn w:val="DefaultParagraphFont"/>
    <w:link w:val="Heading1"/>
    <w:uiPriority w:val="9"/>
    <w:qFormat/>
    <w:rsid w:val="0095221A"/>
    <w:rPr>
      <w:rFonts w:asciiTheme="majorHAnsi" w:eastAsiaTheme="majorEastAsia" w:hAnsiTheme="majorHAnsi" w:cstheme="majorBidi"/>
      <w:b/>
      <w:bCs/>
      <w:color w:val="E36C0A" w:themeColor="accent6" w:themeShade="BF"/>
      <w:sz w:val="44"/>
      <w:szCs w:val="28"/>
    </w:rPr>
  </w:style>
  <w:style w:type="character" w:customStyle="1" w:styleId="Heading2Char">
    <w:name w:val="Heading 2 Char"/>
    <w:basedOn w:val="DefaultParagraphFont"/>
    <w:link w:val="Heading2"/>
    <w:uiPriority w:val="9"/>
    <w:qFormat/>
    <w:rsid w:val="00AE265B"/>
    <w:rPr>
      <w:rFonts w:asciiTheme="majorHAnsi" w:eastAsiaTheme="majorEastAsia" w:hAnsiTheme="majorHAnsi" w:cstheme="majorBidi"/>
      <w:b/>
      <w:bCs/>
      <w:color w:val="76923C" w:themeColor="accent3" w:themeShade="BF"/>
      <w:sz w:val="32"/>
      <w:szCs w:val="26"/>
    </w:rPr>
  </w:style>
  <w:style w:type="character" w:customStyle="1" w:styleId="Heading3Char">
    <w:name w:val="Heading 3 Char"/>
    <w:basedOn w:val="DefaultParagraphFont"/>
    <w:link w:val="Heading3"/>
    <w:uiPriority w:val="9"/>
    <w:qFormat/>
    <w:rsid w:val="00E41B49"/>
    <w:rPr>
      <w:rFonts w:asciiTheme="majorHAnsi" w:eastAsiaTheme="majorEastAsia" w:hAnsiTheme="majorHAnsi" w:cstheme="majorBidi"/>
      <w:b/>
      <w:bCs/>
      <w:color w:val="76923C" w:themeColor="accent3" w:themeShade="BF"/>
      <w:sz w:val="26"/>
      <w:u w:val="single"/>
    </w:rPr>
  </w:style>
  <w:style w:type="character" w:customStyle="1" w:styleId="TitleChar">
    <w:name w:val="Title Char"/>
    <w:basedOn w:val="DefaultParagraphFont"/>
    <w:link w:val="Title"/>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MacroTextChar">
    <w:name w:val="Macro Text Char"/>
    <w:basedOn w:val="DefaultParagraphFont"/>
    <w:link w:val="MacroText"/>
    <w:uiPriority w:val="99"/>
    <w:qFormat/>
    <w:rsid w:val="0029639D"/>
    <w:rPr>
      <w:rFonts w:ascii="Courier" w:hAnsi="Courier"/>
      <w:sz w:val="20"/>
      <w:szCs w:val="20"/>
    </w:rPr>
  </w:style>
  <w:style w:type="character" w:customStyle="1" w:styleId="QuoteChar">
    <w:name w:val="Quote Char"/>
    <w:basedOn w:val="DefaultParagraphFont"/>
    <w:link w:val="Quote"/>
    <w:uiPriority w:val="29"/>
    <w:qFormat/>
    <w:rsid w:val="00FC693F"/>
    <w:rPr>
      <w:i/>
      <w:iCs/>
      <w:color w:val="000000" w:themeColor="text1"/>
    </w:rPr>
  </w:style>
  <w:style w:type="character" w:customStyle="1" w:styleId="Heading4Char">
    <w:name w:val="Heading 4 Char"/>
    <w:basedOn w:val="DefaultParagraphFont"/>
    <w:link w:val="Heading4"/>
    <w:uiPriority w:val="9"/>
    <w:qFormat/>
    <w:rsid w:val="009951D6"/>
    <w:rPr>
      <w:rFonts w:asciiTheme="majorHAnsi" w:eastAsiaTheme="majorEastAsia" w:hAnsiTheme="majorHAnsi" w:cstheme="majorBidi"/>
      <w:b/>
      <w:bCs/>
      <w:i/>
      <w:iCs/>
      <w:color w:val="31849B" w:themeColor="accent5" w:themeShade="BF"/>
      <w:u w:val="single"/>
    </w:rPr>
  </w:style>
  <w:style w:type="character" w:customStyle="1" w:styleId="Heading5Char">
    <w:name w:val="Heading 5 Char"/>
    <w:basedOn w:val="DefaultParagraphFont"/>
    <w:link w:val="Heading5"/>
    <w:uiPriority w:val="9"/>
    <w:qFormat/>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qFormat/>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qFormat/>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qFormat/>
    <w:rsid w:val="00FC693F"/>
    <w:rPr>
      <w:b/>
      <w:bCs/>
      <w:i/>
      <w:iCs/>
      <w:color w:val="4F81BD" w:themeColor="accent1"/>
    </w:rPr>
  </w:style>
  <w:style w:type="character" w:styleId="IntenseEmphasis">
    <w:name w:val="Intense Emphasis"/>
    <w:basedOn w:val="DefaultParagraphFont"/>
    <w:uiPriority w:val="21"/>
    <w:qFormat/>
    <w:rsid w:val="00FC693F"/>
    <w:rPr>
      <w:b/>
      <w:bCs/>
      <w:i/>
      <w:iCs/>
      <w:color w:val="4F81BD" w:themeColor="accent1"/>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character" w:customStyle="1" w:styleId="UserPromptTextChar">
    <w:name w:val="User_Prompt_Text Char"/>
    <w:basedOn w:val="DefaultParagraphFont"/>
    <w:link w:val="cUserPromptText"/>
    <w:qFormat/>
    <w:rsid w:val="00D70219"/>
    <w:rPr>
      <w:rFonts w:ascii="Calibri" w:eastAsia="Calibri" w:hAnsi="Calibri"/>
      <w:color w:val="C0504D" w:themeColor="accent2"/>
    </w:rPr>
  </w:style>
  <w:style w:type="character" w:customStyle="1" w:styleId="UserPromptHeadingChar">
    <w:name w:val="User_Prompt_Heading Char"/>
    <w:basedOn w:val="DefaultParagraphFont"/>
    <w:link w:val="cUserPromptHeading"/>
    <w:qFormat/>
    <w:rsid w:val="00D70219"/>
    <w:rPr>
      <w:rFonts w:ascii="Calibri" w:eastAsia="Calibri" w:hAnsi="Calibri"/>
      <w:b/>
      <w:bCs/>
      <w:color w:val="C0504D" w:themeColor="accent2"/>
    </w:rPr>
  </w:style>
  <w:style w:type="character" w:customStyle="1" w:styleId="relative">
    <w:name w:val="relative"/>
    <w:basedOn w:val="DefaultParagraphFont"/>
    <w:rsid w:val="003707A2"/>
  </w:style>
  <w:style w:type="character" w:customStyle="1" w:styleId="vlist-t">
    <w:name w:val="vlist-t"/>
    <w:basedOn w:val="DefaultParagraphFont"/>
    <w:rsid w:val="003707A2"/>
  </w:style>
  <w:style w:type="character" w:customStyle="1" w:styleId="sizing">
    <w:name w:val="sizing"/>
    <w:basedOn w:val="DefaultParagraphFont"/>
    <w:rsid w:val="003707A2"/>
  </w:style>
  <w:style w:type="character" w:customStyle="1" w:styleId="accent-body">
    <w:name w:val="accent-body"/>
    <w:basedOn w:val="DefaultParagraphFont"/>
    <w:qFormat/>
    <w:rsid w:val="003707A2"/>
  </w:style>
  <w:style w:type="character" w:customStyle="1" w:styleId="grid">
    <w:name w:val="grid"/>
    <w:basedOn w:val="DefaultParagraphFont"/>
    <w:qFormat/>
    <w:rsid w:val="003707A2"/>
  </w:style>
  <w:style w:type="character" w:styleId="Hyperlink">
    <w:name w:val="Hyperlink"/>
    <w:basedOn w:val="DefaultParagraphFont"/>
    <w:uiPriority w:val="99"/>
    <w:unhideWhenUsed/>
    <w:rsid w:val="003707A2"/>
    <w:rPr>
      <w:color w:val="0000FF"/>
      <w:u w:val="single"/>
    </w:rPr>
  </w:style>
  <w:style w:type="character" w:customStyle="1" w:styleId="SubjectStyleChar">
    <w:name w:val="SubjectStyle Char"/>
    <w:basedOn w:val="DefaultParagraphFont"/>
    <w:link w:val="cSubjectStyle"/>
    <w:qFormat/>
    <w:rsid w:val="004C2413"/>
    <w:rPr>
      <w:rFonts w:asciiTheme="majorHAnsi" w:eastAsia="Times New Roman" w:hAnsiTheme="majorHAnsi" w:cstheme="majorHAnsi"/>
      <w:b/>
      <w:bCs/>
      <w:color w:val="943634" w:themeColor="accent2" w:themeShade="BF"/>
      <w:sz w:val="24"/>
      <w:szCs w:val="24"/>
      <w:u w:val="single"/>
    </w:rPr>
  </w:style>
  <w:style w:type="character" w:customStyle="1" w:styleId="SubjectChar">
    <w:name w:val="Subject Char"/>
    <w:basedOn w:val="DefaultParagraphFont"/>
    <w:link w:val="cSubject"/>
    <w:qFormat/>
    <w:rsid w:val="001132D9"/>
    <w:rPr>
      <w:rFonts w:ascii="Calibri" w:eastAsia="Calibri" w:hAnsi="Calibri"/>
      <w:b/>
      <w:bCs/>
      <w:color w:val="548DD4" w:themeColor="text2" w:themeTint="99"/>
      <w:sz w:val="24"/>
      <w:u w:val="single"/>
    </w:rPr>
  </w:style>
  <w:style w:type="character" w:styleId="UnresolvedMention">
    <w:name w:val="Unresolved Mention"/>
    <w:basedOn w:val="DefaultParagraphFont"/>
    <w:uiPriority w:val="99"/>
    <w:semiHidden/>
    <w:unhideWhenUsed/>
    <w:qFormat/>
    <w:rsid w:val="009B75F5"/>
    <w:rPr>
      <w:color w:val="605E5C"/>
      <w:shd w:val="clear" w:color="auto" w:fill="E1DFDD"/>
    </w:rPr>
  </w:style>
  <w:style w:type="character" w:customStyle="1" w:styleId="bhyperlinkChar">
    <w:name w:val="b.hyperlink Char"/>
    <w:basedOn w:val="DefaultParagraphFont"/>
    <w:link w:val="bhyperlink"/>
    <w:qFormat/>
    <w:rsid w:val="00935EAA"/>
    <w:rPr>
      <w:rFonts w:asciiTheme="majorHAnsi" w:eastAsiaTheme="minorHAnsi" w:hAnsiTheme="majorHAnsi"/>
      <w:color w:val="7F7F7F" w:themeColor="text1" w:themeTint="80"/>
      <w:sz w:val="24"/>
      <w:u w:val="single"/>
    </w:rPr>
  </w:style>
  <w:style w:type="character" w:customStyle="1" w:styleId="BodyTextFirstIndentChar">
    <w:name w:val="Body Text First Indent Char"/>
    <w:basedOn w:val="DefaultParagraphFont"/>
    <w:link w:val="BodyTextFirstIndent"/>
    <w:uiPriority w:val="99"/>
    <w:semiHidden/>
    <w:qFormat/>
    <w:rsid w:val="00E95F25"/>
    <w:rPr>
      <w:rFonts w:ascii="Calibri" w:eastAsia="Calibri" w:hAnsi="Calibri"/>
      <w:sz w:val="24"/>
    </w:rPr>
  </w:style>
  <w:style w:type="character" w:customStyle="1" w:styleId="BodyTextIndentChar">
    <w:name w:val="Body Text Indent Char"/>
    <w:basedOn w:val="DefaultParagraphFont"/>
    <w:link w:val="BodyTextIndent"/>
    <w:uiPriority w:val="99"/>
    <w:semiHidden/>
    <w:qFormat/>
    <w:rsid w:val="00655177"/>
    <w:rPr>
      <w:rFonts w:ascii="Calibri" w:eastAsia="Calibri" w:hAnsi="Calibri"/>
      <w:sz w:val="24"/>
    </w:rPr>
  </w:style>
  <w:style w:type="character" w:customStyle="1" w:styleId="BodyTextIndent3Char">
    <w:name w:val="Body Text Indent 3 Char"/>
    <w:basedOn w:val="DefaultParagraphFont"/>
    <w:link w:val="BodyTextIndent3"/>
    <w:uiPriority w:val="99"/>
    <w:semiHidden/>
    <w:qFormat/>
    <w:rsid w:val="00655177"/>
    <w:rPr>
      <w:rFonts w:ascii="Calibri" w:eastAsia="Calibri" w:hAnsi="Calibri"/>
      <w:sz w:val="16"/>
      <w:szCs w:val="16"/>
    </w:rPr>
  </w:style>
  <w:style w:type="character" w:customStyle="1" w:styleId="CommentTextChar">
    <w:name w:val="Comment Text Char"/>
    <w:basedOn w:val="DefaultParagraphFont"/>
    <w:link w:val="CommentText"/>
    <w:uiPriority w:val="99"/>
    <w:semiHidden/>
    <w:qFormat/>
    <w:rsid w:val="00655177"/>
    <w:rPr>
      <w:rFonts w:ascii="Calibri" w:eastAsia="Calibri" w:hAnsi="Calibri"/>
      <w:sz w:val="20"/>
      <w:szCs w:val="20"/>
    </w:rPr>
  </w:style>
  <w:style w:type="character" w:customStyle="1" w:styleId="CommentSubjectChar">
    <w:name w:val="Comment Subject Char"/>
    <w:basedOn w:val="CommentTextChar"/>
    <w:link w:val="CommentSubject"/>
    <w:uiPriority w:val="99"/>
    <w:semiHidden/>
    <w:qFormat/>
    <w:rsid w:val="00655177"/>
    <w:rPr>
      <w:rFonts w:ascii="Calibri" w:eastAsia="Calibri" w:hAnsi="Calibri"/>
      <w:b/>
      <w:bCs/>
      <w:sz w:val="20"/>
      <w:szCs w:val="20"/>
    </w:rPr>
  </w:style>
  <w:style w:type="character" w:customStyle="1" w:styleId="DateChar">
    <w:name w:val="Date Char"/>
    <w:basedOn w:val="DefaultParagraphFont"/>
    <w:link w:val="Date"/>
    <w:uiPriority w:val="99"/>
    <w:semiHidden/>
    <w:qFormat/>
    <w:rsid w:val="00655177"/>
    <w:rPr>
      <w:rFonts w:ascii="Calibri" w:eastAsia="Calibri" w:hAnsi="Calibri"/>
      <w:sz w:val="24"/>
    </w:rPr>
  </w:style>
  <w:style w:type="character" w:customStyle="1" w:styleId="DocumentMapChar">
    <w:name w:val="Document Map Char"/>
    <w:basedOn w:val="DefaultParagraphFont"/>
    <w:link w:val="DocumentMap"/>
    <w:uiPriority w:val="99"/>
    <w:semiHidden/>
    <w:qFormat/>
    <w:rsid w:val="00655177"/>
    <w:rPr>
      <w:rFonts w:ascii="Segoe UI" w:eastAsia="Calibri" w:hAnsi="Segoe UI" w:cs="Segoe UI"/>
      <w:sz w:val="16"/>
      <w:szCs w:val="16"/>
    </w:rPr>
  </w:style>
  <w:style w:type="character" w:customStyle="1" w:styleId="EndnoteTextChar">
    <w:name w:val="Endnote Text Char"/>
    <w:basedOn w:val="DefaultParagraphFont"/>
    <w:link w:val="EndnoteText"/>
    <w:uiPriority w:val="99"/>
    <w:semiHidden/>
    <w:qFormat/>
    <w:rsid w:val="00655177"/>
    <w:rPr>
      <w:rFonts w:ascii="Calibri" w:eastAsia="Calibri" w:hAnsi="Calibri"/>
      <w:sz w:val="20"/>
      <w:szCs w:val="20"/>
    </w:rPr>
  </w:style>
  <w:style w:type="character" w:customStyle="1" w:styleId="FootnoteTextChar">
    <w:name w:val="Footnote Text Char"/>
    <w:basedOn w:val="DefaultParagraphFont"/>
    <w:link w:val="FootnoteText"/>
    <w:uiPriority w:val="99"/>
    <w:semiHidden/>
    <w:qFormat/>
    <w:rsid w:val="00655177"/>
    <w:rPr>
      <w:rFonts w:ascii="Calibri" w:eastAsia="Calibri" w:hAnsi="Calibri"/>
      <w:sz w:val="20"/>
      <w:szCs w:val="20"/>
    </w:rPr>
  </w:style>
  <w:style w:type="character" w:customStyle="1" w:styleId="NoteHeadingChar">
    <w:name w:val="Note Heading Char"/>
    <w:basedOn w:val="DefaultParagraphFont"/>
    <w:link w:val="NoteHeading"/>
    <w:uiPriority w:val="99"/>
    <w:semiHidden/>
    <w:qFormat/>
    <w:rsid w:val="00655177"/>
    <w:rPr>
      <w:rFonts w:ascii="Calibri" w:eastAsia="Calibri" w:hAnsi="Calibri"/>
      <w:sz w:val="24"/>
    </w:rPr>
  </w:style>
  <w:style w:type="character" w:customStyle="1" w:styleId="SalutationChar">
    <w:name w:val="Salutation Char"/>
    <w:basedOn w:val="DefaultParagraphFont"/>
    <w:link w:val="Salutation"/>
    <w:uiPriority w:val="99"/>
    <w:semiHidden/>
    <w:qFormat/>
    <w:rsid w:val="00655177"/>
    <w:rPr>
      <w:rFonts w:ascii="Calibri" w:eastAsia="Calibri" w:hAnsi="Calibri"/>
      <w:sz w:val="24"/>
    </w:rPr>
  </w:style>
  <w:style w:type="character" w:customStyle="1" w:styleId="SignatureChar">
    <w:name w:val="Signature Char"/>
    <w:basedOn w:val="DefaultParagraphFont"/>
    <w:link w:val="Signature"/>
    <w:uiPriority w:val="99"/>
    <w:semiHidden/>
    <w:qFormat/>
    <w:rsid w:val="00655177"/>
    <w:rPr>
      <w:rFonts w:ascii="Calibri" w:eastAsia="Calibri" w:hAnsi="Calibri"/>
      <w:sz w:val="24"/>
    </w:rPr>
  </w:style>
  <w:style w:type="character" w:customStyle="1" w:styleId="z-TopofFormChar">
    <w:name w:val="z-Top of Form Char"/>
    <w:basedOn w:val="DefaultParagraphFont"/>
    <w:link w:val="z-TopofForm"/>
    <w:uiPriority w:val="99"/>
    <w:semiHidden/>
    <w:qFormat/>
    <w:rsid w:val="006715A6"/>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qFormat/>
    <w:rsid w:val="006715A6"/>
    <w:rPr>
      <w:rFonts w:ascii="Arial" w:eastAsia="Times New Roman" w:hAnsi="Arial" w:cs="Arial"/>
      <w:vanish/>
      <w:sz w:val="16"/>
      <w:szCs w:val="16"/>
    </w:rPr>
  </w:style>
  <w:style w:type="character" w:customStyle="1" w:styleId="cBeforeaftertableChar">
    <w:name w:val="c.Before_after_table Char"/>
    <w:basedOn w:val="DefaultParagraphFont"/>
    <w:link w:val="cBeforeaftertable"/>
    <w:qFormat/>
    <w:rsid w:val="00374758"/>
    <w:rPr>
      <w:rFonts w:ascii="Calibri" w:eastAsia="Calibri" w:hAnsi="Calibri"/>
      <w:sz w:val="16"/>
    </w:rPr>
  </w:style>
  <w:style w:type="character" w:customStyle="1" w:styleId="cTableHeaderChar">
    <w:name w:val="c.Table_Header Char"/>
    <w:basedOn w:val="DefaultParagraphFont"/>
    <w:link w:val="cTableHeader"/>
    <w:qFormat/>
    <w:rsid w:val="002F6DF8"/>
    <w:rPr>
      <w:rFonts w:asciiTheme="majorHAnsi" w:eastAsia="Calibri" w:hAnsiTheme="majorHAnsi"/>
      <w:b/>
      <w:color w:val="4F81BD" w:themeColor="accent1"/>
    </w:rPr>
  </w:style>
  <w:style w:type="character" w:customStyle="1" w:styleId="cTableBodyChar">
    <w:name w:val="c.Table_Body Char"/>
    <w:basedOn w:val="DefaultParagraphFont"/>
    <w:link w:val="cTableBody"/>
    <w:qFormat/>
    <w:rsid w:val="003E4594"/>
    <w:rPr>
      <w:rFonts w:asciiTheme="majorHAnsi" w:eastAsia="Calibri" w:hAnsiTheme="majorHAnsi"/>
      <w:sz w:val="20"/>
    </w:rPr>
  </w:style>
  <w:style w:type="character" w:customStyle="1" w:styleId="cTableTopRowBlueBackgroundChar">
    <w:name w:val="c.Table_Top_Row_Blue_Background Char"/>
    <w:basedOn w:val="cTableHeaderChar"/>
    <w:link w:val="cTableTopRowBlueBackground"/>
    <w:qFormat/>
    <w:rsid w:val="003C3374"/>
    <w:rPr>
      <w:rFonts w:asciiTheme="majorHAnsi" w:eastAsia="Times New Roman" w:hAnsiTheme="majorHAnsi" w:cstheme="majorHAnsi"/>
      <w:b/>
      <w:bCs/>
      <w:color w:val="4F81BD" w:themeColor="accent1"/>
      <w:szCs w:val="24"/>
    </w:rPr>
  </w:style>
  <w:style w:type="character" w:customStyle="1" w:styleId="TOC1Char">
    <w:name w:val="TOC 1 Char"/>
    <w:basedOn w:val="DefaultParagraphFont"/>
    <w:link w:val="TOC1"/>
    <w:uiPriority w:val="39"/>
    <w:qFormat/>
    <w:rsid w:val="00EA5356"/>
    <w:rPr>
      <w:rFonts w:ascii="Calibri" w:eastAsia="Calibri" w:hAnsi="Calibri"/>
      <w:sz w:val="24"/>
    </w:rPr>
  </w:style>
  <w:style w:type="character" w:customStyle="1" w:styleId="cTableofContentsChar">
    <w:name w:val="c.Table_of_Contents Char"/>
    <w:basedOn w:val="TOC1Char"/>
    <w:link w:val="cTableofContents"/>
    <w:qFormat/>
    <w:rsid w:val="006711D6"/>
    <w:rPr>
      <w:rFonts w:ascii="Calibri" w:eastAsia="Calibri" w:hAnsi="Calibri"/>
      <w:sz w:val="24"/>
    </w:rPr>
  </w:style>
  <w:style w:type="character" w:customStyle="1" w:styleId="IndexLink">
    <w:name w:val="Index Link"/>
    <w:qFormat/>
  </w:style>
  <w:style w:type="character" w:customStyle="1" w:styleId="bcharacterChar">
    <w:name w:val="b.character Char"/>
    <w:basedOn w:val="DefaultParagraphFont"/>
    <w:link w:val="bcharacter"/>
    <w:qFormat/>
    <w:rsid w:val="006964D0"/>
    <w:rPr>
      <w:rFonts w:asciiTheme="majorHAnsi" w:eastAsia="Times New Roman" w:hAnsiTheme="majorHAnsi"/>
      <w:b/>
      <w:bCs/>
      <w:color w:val="943634" w:themeColor="accent2" w:themeShade="BF"/>
      <w:sz w:val="24"/>
    </w:rPr>
  </w:style>
  <w:style w:type="character" w:customStyle="1" w:styleId="cPaperTitleChar">
    <w:name w:val="c.PaperTitle Char"/>
    <w:basedOn w:val="Heading3Char"/>
    <w:link w:val="cPaperTitle"/>
    <w:qFormat/>
    <w:rsid w:val="00091E7D"/>
    <w:rPr>
      <w:rFonts w:asciiTheme="majorHAnsi" w:eastAsiaTheme="majorEastAsia" w:hAnsiTheme="majorHAnsi" w:cstheme="majorBidi"/>
      <w:b/>
      <w:bCs/>
      <w:color w:val="4F81BD" w:themeColor="accent1"/>
      <w:sz w:val="24"/>
      <w:u w:val="single"/>
    </w:rPr>
  </w:style>
  <w:style w:type="character" w:customStyle="1" w:styleId="bblueindentChar">
    <w:name w:val="b.blue indent Char"/>
    <w:basedOn w:val="DefaultParagraphFont"/>
    <w:link w:val="bblueindent"/>
    <w:qFormat/>
    <w:rsid w:val="00F95946"/>
    <w:rPr>
      <w:rFonts w:asciiTheme="majorHAnsi" w:eastAsia="Times New Roman" w:hAnsiTheme="majorHAnsi" w:cstheme="majorHAnsi"/>
      <w:color w:val="4F81BD" w:themeColor="accent1"/>
      <w:sz w:val="24"/>
      <w:szCs w:val="24"/>
    </w:rPr>
  </w:style>
  <w:style w:type="paragraph" w:customStyle="1" w:styleId="Heading">
    <w:name w:val="Heading"/>
    <w:basedOn w:val="Normal"/>
    <w:next w:val="Normal"/>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Normal"/>
    <w:uiPriority w:val="99"/>
    <w:unhideWhenUsed/>
    <w:rsid w:val="00AA1D8D"/>
    <w:pPr>
      <w:spacing w:before="280" w:after="280"/>
      <w:ind w:left="360" w:hanging="360"/>
      <w:contextualSpacing/>
    </w:pPr>
  </w:style>
  <w:style w:type="paragraph" w:styleId="Caption">
    <w:name w:val="caption"/>
    <w:basedOn w:val="Normal"/>
    <w:next w:val="Normal"/>
    <w:uiPriority w:val="35"/>
    <w:semiHidden/>
    <w:unhideWhenUsed/>
    <w:qFormat/>
    <w:rsid w:val="00FC693F"/>
    <w:rPr>
      <w:b/>
      <w:bCs/>
      <w:color w:val="4F81BD" w:themeColor="accent1"/>
      <w:sz w:val="18"/>
      <w:szCs w:val="18"/>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618BF"/>
    <w:pPr>
      <w:tabs>
        <w:tab w:val="center" w:pos="4680"/>
        <w:tab w:val="right" w:pos="9360"/>
      </w:tabs>
      <w:spacing w:before="280" w:after="280"/>
    </w:pPr>
  </w:style>
  <w:style w:type="paragraph" w:styleId="Footer">
    <w:name w:val="footer"/>
    <w:basedOn w:val="Normal"/>
    <w:link w:val="FooterChar"/>
    <w:uiPriority w:val="99"/>
    <w:unhideWhenUsed/>
    <w:rsid w:val="00E618BF"/>
    <w:pPr>
      <w:tabs>
        <w:tab w:val="center" w:pos="4680"/>
        <w:tab w:val="right" w:pos="9360"/>
      </w:tabs>
      <w:spacing w:before="280" w:after="280"/>
    </w:pPr>
  </w:style>
  <w:style w:type="paragraph" w:styleId="NoSpacing">
    <w:name w:val="No Spacing"/>
    <w:uiPriority w:val="1"/>
    <w:qFormat/>
    <w:rsid w:val="00FC693F"/>
  </w:style>
  <w:style w:type="paragraph" w:styleId="Title">
    <w:name w:val="Title"/>
    <w:basedOn w:val="Normal"/>
    <w:next w:val="Normal"/>
    <w:link w:val="TitleChar"/>
    <w:uiPriority w:val="10"/>
    <w:qFormat/>
    <w:rsid w:val="00FC693F"/>
    <w:pPr>
      <w:pBdr>
        <w:bottom w:val="single" w:sz="8" w:space="4" w:color="4F81BD" w:themeColor="accent1"/>
      </w:pBdr>
      <w:spacing w:before="280" w:after="300"/>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szCs w:val="24"/>
    </w:rPr>
  </w:style>
  <w:style w:type="paragraph" w:styleId="ListParagraph">
    <w:name w:val="List Paragraph"/>
    <w:basedOn w:val="Normal"/>
    <w:uiPriority w:val="34"/>
    <w:qFormat/>
    <w:rsid w:val="00FC693F"/>
    <w:pPr>
      <w:spacing w:before="280" w:after="280"/>
      <w:ind w:left="720"/>
      <w:contextualSpacing/>
    </w:pPr>
  </w:style>
  <w:style w:type="paragraph" w:styleId="ListBullet">
    <w:name w:val="List Bullet"/>
    <w:basedOn w:val="Normal"/>
    <w:uiPriority w:val="99"/>
    <w:unhideWhenUsed/>
    <w:rsid w:val="00326F90"/>
    <w:pPr>
      <w:numPr>
        <w:numId w:val="1"/>
      </w:numPr>
      <w:spacing w:before="280" w:after="280"/>
      <w:contextualSpacing/>
    </w:pPr>
  </w:style>
  <w:style w:type="paragraph" w:styleId="ListNumber">
    <w:name w:val="List Number"/>
    <w:basedOn w:val="Normal"/>
    <w:uiPriority w:val="99"/>
    <w:unhideWhenUsed/>
    <w:rsid w:val="00326F90"/>
    <w:pPr>
      <w:numPr>
        <w:numId w:val="2"/>
      </w:numPr>
      <w:spacing w:before="280" w:after="280"/>
      <w:contextualSpacing/>
    </w:pPr>
  </w:style>
  <w:style w:type="paragraph" w:styleId="ListContinue">
    <w:name w:val="List Continue"/>
    <w:basedOn w:val="Normal"/>
    <w:uiPriority w:val="99"/>
    <w:unhideWhenUsed/>
    <w:rsid w:val="0029639D"/>
    <w:pPr>
      <w:spacing w:before="280" w:after="120"/>
      <w:ind w:left="360"/>
      <w:contextualSpacing/>
    </w:pPr>
  </w:style>
  <w:style w:type="paragraph" w:styleId="MacroText">
    <w:name w:val="macro"/>
    <w:link w:val="MacroTextCh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Heading">
    <w:name w:val="index heading"/>
    <w:basedOn w:val="Normal"/>
    <w:next w:val="Index1"/>
    <w:uiPriority w:val="99"/>
    <w:semiHidden/>
    <w:unhideWhenUsed/>
    <w:rsid w:val="00655177"/>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FC693F"/>
    <w:pPr>
      <w:outlineLvl w:val="9"/>
    </w:pPr>
  </w:style>
  <w:style w:type="paragraph" w:customStyle="1" w:styleId="cUserPromptText">
    <w:name w:val="c.User_Prompt_Text"/>
    <w:basedOn w:val="Normal"/>
    <w:link w:val="UserPromptTextChar"/>
    <w:qFormat/>
    <w:rsid w:val="00D70219"/>
    <w:rPr>
      <w:color w:val="C0504D" w:themeColor="accent2"/>
    </w:rPr>
  </w:style>
  <w:style w:type="paragraph" w:customStyle="1" w:styleId="cUserPromptHeading">
    <w:name w:val="c.User_Prompt_Heading"/>
    <w:basedOn w:val="Normal"/>
    <w:link w:val="UserPromptHeadingChar"/>
    <w:qFormat/>
    <w:rsid w:val="00D70219"/>
    <w:rPr>
      <w:b/>
      <w:bCs/>
      <w:color w:val="C0504D" w:themeColor="accent2"/>
    </w:rPr>
  </w:style>
  <w:style w:type="paragraph" w:styleId="NormalWeb">
    <w:name w:val="Normal (Web)"/>
    <w:basedOn w:val="Normal"/>
    <w:uiPriority w:val="99"/>
    <w:semiHidden/>
    <w:unhideWhenUsed/>
    <w:qFormat/>
    <w:rsid w:val="003707A2"/>
    <w:rPr>
      <w:rFonts w:ascii="Times New Roman" w:eastAsia="Times New Roman" w:hAnsi="Times New Roman" w:cs="Times New Roman"/>
      <w:szCs w:val="24"/>
    </w:rPr>
  </w:style>
  <w:style w:type="paragraph" w:customStyle="1" w:styleId="cSubjectStyle">
    <w:name w:val="c. SubjectStyle"/>
    <w:basedOn w:val="Normal"/>
    <w:link w:val="SubjectStyleChar"/>
    <w:qFormat/>
    <w:rsid w:val="004C2413"/>
    <w:rPr>
      <w:rFonts w:asciiTheme="majorHAnsi" w:eastAsia="Times New Roman" w:hAnsiTheme="majorHAnsi" w:cstheme="majorHAnsi"/>
      <w:b/>
      <w:bCs/>
      <w:color w:val="943634" w:themeColor="accent2" w:themeShade="BF"/>
      <w:szCs w:val="24"/>
      <w:u w:val="single"/>
    </w:rPr>
  </w:style>
  <w:style w:type="paragraph" w:customStyle="1" w:styleId="cSubject">
    <w:name w:val="c.Subject"/>
    <w:basedOn w:val="Normal"/>
    <w:link w:val="SubjectChar"/>
    <w:qFormat/>
    <w:rsid w:val="001132D9"/>
    <w:rPr>
      <w:b/>
      <w:bCs/>
      <w:color w:val="548DD4" w:themeColor="text2" w:themeTint="99"/>
      <w:u w:val="single"/>
    </w:rPr>
  </w:style>
  <w:style w:type="paragraph" w:styleId="TOC1">
    <w:name w:val="toc 1"/>
    <w:basedOn w:val="Normal"/>
    <w:next w:val="Normal"/>
    <w:link w:val="TOC1Char"/>
    <w:autoRedefine/>
    <w:uiPriority w:val="39"/>
    <w:unhideWhenUsed/>
    <w:rsid w:val="00CE3845"/>
  </w:style>
  <w:style w:type="paragraph" w:customStyle="1" w:styleId="bhyperlink">
    <w:name w:val="b.hyperlink"/>
    <w:basedOn w:val="Normal"/>
    <w:link w:val="bhyperlinkChar"/>
    <w:qFormat/>
    <w:rsid w:val="00935EAA"/>
    <w:pPr>
      <w:spacing w:before="280" w:after="120" w:line="259" w:lineRule="auto"/>
    </w:pPr>
    <w:rPr>
      <w:rFonts w:asciiTheme="majorHAnsi" w:eastAsiaTheme="minorHAnsi" w:hAnsiTheme="majorHAnsi"/>
      <w:color w:val="7F7F7F" w:themeColor="text1" w:themeTint="80"/>
      <w:u w:val="single"/>
      <w:shd w:val="clear" w:color="auto" w:fill="FFFFFF"/>
    </w:rPr>
  </w:style>
  <w:style w:type="paragraph" w:styleId="TOC2">
    <w:name w:val="toc 2"/>
    <w:basedOn w:val="Normal"/>
    <w:next w:val="Normal"/>
    <w:autoRedefine/>
    <w:uiPriority w:val="39"/>
    <w:unhideWhenUsed/>
    <w:rsid w:val="00634C55"/>
    <w:pPr>
      <w:spacing w:before="280" w:after="280"/>
      <w:ind w:left="245"/>
    </w:pPr>
    <w:rPr>
      <w:sz w:val="20"/>
    </w:rPr>
  </w:style>
  <w:style w:type="paragraph" w:styleId="TOC3">
    <w:name w:val="toc 3"/>
    <w:basedOn w:val="Normal"/>
    <w:next w:val="Normal"/>
    <w:autoRedefine/>
    <w:uiPriority w:val="39"/>
    <w:unhideWhenUsed/>
    <w:rsid w:val="00634C55"/>
    <w:pPr>
      <w:spacing w:before="280" w:after="280" w:line="278" w:lineRule="auto"/>
      <w:ind w:left="480"/>
    </w:pPr>
    <w:rPr>
      <w:rFonts w:asciiTheme="minorHAnsi" w:eastAsiaTheme="minorEastAsia" w:hAnsiTheme="minorHAnsi"/>
      <w:kern w:val="2"/>
      <w:szCs w:val="24"/>
    </w:rPr>
  </w:style>
  <w:style w:type="paragraph" w:styleId="TOC4">
    <w:name w:val="toc 4"/>
    <w:basedOn w:val="Normal"/>
    <w:next w:val="Normal"/>
    <w:autoRedefine/>
    <w:uiPriority w:val="39"/>
    <w:unhideWhenUsed/>
    <w:rsid w:val="00634C55"/>
    <w:pPr>
      <w:spacing w:before="280" w:after="280" w:line="278" w:lineRule="auto"/>
      <w:ind w:left="720"/>
    </w:pPr>
    <w:rPr>
      <w:rFonts w:asciiTheme="minorHAnsi" w:eastAsiaTheme="minorEastAsia" w:hAnsiTheme="minorHAnsi"/>
      <w:kern w:val="2"/>
      <w:szCs w:val="24"/>
    </w:rPr>
  </w:style>
  <w:style w:type="paragraph" w:styleId="TOC5">
    <w:name w:val="toc 5"/>
    <w:basedOn w:val="Normal"/>
    <w:next w:val="Normal"/>
    <w:autoRedefine/>
    <w:uiPriority w:val="39"/>
    <w:unhideWhenUsed/>
    <w:rsid w:val="00634C55"/>
    <w:pPr>
      <w:spacing w:before="280" w:after="280" w:line="278" w:lineRule="auto"/>
      <w:ind w:left="960"/>
    </w:pPr>
    <w:rPr>
      <w:rFonts w:asciiTheme="minorHAnsi" w:eastAsiaTheme="minorEastAsia" w:hAnsiTheme="minorHAnsi"/>
      <w:kern w:val="2"/>
      <w:szCs w:val="24"/>
    </w:rPr>
  </w:style>
  <w:style w:type="paragraph" w:styleId="TOC6">
    <w:name w:val="toc 6"/>
    <w:basedOn w:val="Normal"/>
    <w:next w:val="Normal"/>
    <w:autoRedefine/>
    <w:uiPriority w:val="39"/>
    <w:unhideWhenUsed/>
    <w:rsid w:val="00634C55"/>
    <w:pPr>
      <w:spacing w:before="280" w:after="280" w:line="278" w:lineRule="auto"/>
      <w:ind w:left="1200"/>
    </w:pPr>
    <w:rPr>
      <w:rFonts w:asciiTheme="minorHAnsi" w:eastAsiaTheme="minorEastAsia" w:hAnsiTheme="minorHAnsi"/>
      <w:kern w:val="2"/>
      <w:szCs w:val="24"/>
    </w:rPr>
  </w:style>
  <w:style w:type="paragraph" w:styleId="TOC7">
    <w:name w:val="toc 7"/>
    <w:basedOn w:val="Normal"/>
    <w:next w:val="Normal"/>
    <w:autoRedefine/>
    <w:uiPriority w:val="39"/>
    <w:unhideWhenUsed/>
    <w:rsid w:val="00634C55"/>
    <w:pPr>
      <w:spacing w:before="280" w:after="280" w:line="278" w:lineRule="auto"/>
      <w:ind w:left="1440"/>
    </w:pPr>
    <w:rPr>
      <w:rFonts w:asciiTheme="minorHAnsi" w:eastAsiaTheme="minorEastAsia" w:hAnsiTheme="minorHAnsi"/>
      <w:kern w:val="2"/>
      <w:szCs w:val="24"/>
    </w:rPr>
  </w:style>
  <w:style w:type="paragraph" w:styleId="TOC8">
    <w:name w:val="toc 8"/>
    <w:basedOn w:val="Normal"/>
    <w:next w:val="Normal"/>
    <w:autoRedefine/>
    <w:uiPriority w:val="39"/>
    <w:unhideWhenUsed/>
    <w:rsid w:val="00634C55"/>
    <w:pPr>
      <w:spacing w:before="280" w:after="280" w:line="278" w:lineRule="auto"/>
      <w:ind w:left="1680"/>
    </w:pPr>
    <w:rPr>
      <w:rFonts w:asciiTheme="minorHAnsi" w:eastAsiaTheme="minorEastAsia" w:hAnsiTheme="minorHAnsi"/>
      <w:kern w:val="2"/>
      <w:szCs w:val="24"/>
    </w:rPr>
  </w:style>
  <w:style w:type="paragraph" w:styleId="TOC9">
    <w:name w:val="toc 9"/>
    <w:basedOn w:val="Normal"/>
    <w:next w:val="Normal"/>
    <w:autoRedefine/>
    <w:uiPriority w:val="39"/>
    <w:unhideWhenUsed/>
    <w:rsid w:val="00634C55"/>
    <w:pPr>
      <w:spacing w:before="280" w:after="280" w:line="278" w:lineRule="auto"/>
      <w:ind w:left="1920"/>
    </w:pPr>
    <w:rPr>
      <w:rFonts w:asciiTheme="minorHAnsi" w:eastAsiaTheme="minorEastAsia" w:hAnsiTheme="minorHAnsi"/>
      <w:kern w:val="2"/>
      <w:szCs w:val="24"/>
    </w:rPr>
  </w:style>
  <w:style w:type="paragraph" w:styleId="Bibliography">
    <w:name w:val="Bibliography"/>
    <w:basedOn w:val="Normal"/>
    <w:next w:val="Normal"/>
    <w:uiPriority w:val="37"/>
    <w:semiHidden/>
    <w:unhideWhenUsed/>
    <w:qFormat/>
    <w:rsid w:val="00655177"/>
  </w:style>
  <w:style w:type="paragraph" w:styleId="BlockText">
    <w:name w:val="Block Text"/>
    <w:basedOn w:val="Normal"/>
    <w:uiPriority w:val="99"/>
    <w:semiHidden/>
    <w:unhideWhenUsed/>
    <w:qFormat/>
    <w:rsid w:val="0065517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FirstIndent">
    <w:name w:val="Body Text First Indent"/>
    <w:basedOn w:val="Normal"/>
    <w:link w:val="BodyTextFirstIndentChar"/>
    <w:uiPriority w:val="99"/>
    <w:semiHidden/>
    <w:unhideWhenUsed/>
    <w:rsid w:val="00E95F25"/>
    <w:pPr>
      <w:spacing w:before="280" w:after="160"/>
      <w:ind w:firstLine="360"/>
    </w:pPr>
  </w:style>
  <w:style w:type="paragraph" w:styleId="BodyTextIndent">
    <w:name w:val="Body Text Indent"/>
    <w:basedOn w:val="Normal"/>
    <w:link w:val="BodyTextIndentChar"/>
    <w:uiPriority w:val="99"/>
    <w:semiHidden/>
    <w:unhideWhenUsed/>
    <w:rsid w:val="00655177"/>
    <w:pPr>
      <w:spacing w:before="280" w:after="120"/>
      <w:ind w:left="360"/>
    </w:pPr>
  </w:style>
  <w:style w:type="paragraph" w:styleId="BodyTextIndent3">
    <w:name w:val="Body Text Indent 3"/>
    <w:basedOn w:val="Normal"/>
    <w:link w:val="BodyTextIndent3Char"/>
    <w:uiPriority w:val="99"/>
    <w:semiHidden/>
    <w:unhideWhenUsed/>
    <w:qFormat/>
    <w:rsid w:val="00655177"/>
    <w:pPr>
      <w:spacing w:before="280" w:after="120"/>
      <w:ind w:left="360"/>
    </w:pPr>
    <w:rPr>
      <w:sz w:val="16"/>
      <w:szCs w:val="16"/>
    </w:rPr>
  </w:style>
  <w:style w:type="paragraph" w:styleId="CommentText">
    <w:name w:val="annotation text"/>
    <w:basedOn w:val="Normal"/>
    <w:link w:val="CommentTextChar"/>
    <w:uiPriority w:val="99"/>
    <w:semiHidden/>
    <w:unhideWhenUsed/>
    <w:rsid w:val="00655177"/>
    <w:rPr>
      <w:sz w:val="20"/>
      <w:szCs w:val="20"/>
    </w:rPr>
  </w:style>
  <w:style w:type="paragraph" w:styleId="CommentSubject">
    <w:name w:val="annotation subject"/>
    <w:basedOn w:val="CommentText"/>
    <w:next w:val="CommentText"/>
    <w:link w:val="CommentSubjectChar"/>
    <w:uiPriority w:val="99"/>
    <w:semiHidden/>
    <w:unhideWhenUsed/>
    <w:qFormat/>
    <w:rsid w:val="00655177"/>
    <w:rPr>
      <w:b/>
      <w:bCs/>
    </w:rPr>
  </w:style>
  <w:style w:type="paragraph" w:styleId="Date">
    <w:name w:val="Date"/>
    <w:basedOn w:val="Normal"/>
    <w:next w:val="Normal"/>
    <w:link w:val="DateChar"/>
    <w:uiPriority w:val="99"/>
    <w:semiHidden/>
    <w:unhideWhenUsed/>
    <w:qFormat/>
    <w:rsid w:val="00655177"/>
  </w:style>
  <w:style w:type="paragraph" w:styleId="DocumentMap">
    <w:name w:val="Document Map"/>
    <w:basedOn w:val="Normal"/>
    <w:link w:val="DocumentMapChar"/>
    <w:uiPriority w:val="99"/>
    <w:semiHidden/>
    <w:unhideWhenUsed/>
    <w:qFormat/>
    <w:rsid w:val="00655177"/>
    <w:rPr>
      <w:rFonts w:ascii="Segoe UI" w:hAnsi="Segoe UI" w:cs="Segoe UI"/>
      <w:sz w:val="16"/>
      <w:szCs w:val="16"/>
    </w:rPr>
  </w:style>
  <w:style w:type="paragraph" w:styleId="EndnoteText">
    <w:name w:val="endnote text"/>
    <w:basedOn w:val="Normal"/>
    <w:link w:val="EndnoteTextChar"/>
    <w:uiPriority w:val="99"/>
    <w:semiHidden/>
    <w:unhideWhenUsed/>
    <w:rsid w:val="00655177"/>
    <w:rPr>
      <w:sz w:val="20"/>
      <w:szCs w:val="20"/>
    </w:rPr>
  </w:style>
  <w:style w:type="paragraph" w:styleId="FootnoteText">
    <w:name w:val="footnote text"/>
    <w:basedOn w:val="Normal"/>
    <w:link w:val="FootnoteTextChar"/>
    <w:uiPriority w:val="99"/>
    <w:semiHidden/>
    <w:unhideWhenUsed/>
    <w:rsid w:val="00655177"/>
    <w:rPr>
      <w:sz w:val="20"/>
      <w:szCs w:val="20"/>
    </w:rPr>
  </w:style>
  <w:style w:type="paragraph" w:styleId="Index1">
    <w:name w:val="index 1"/>
    <w:basedOn w:val="Normal"/>
    <w:next w:val="Normal"/>
    <w:autoRedefine/>
    <w:uiPriority w:val="99"/>
    <w:semiHidden/>
    <w:unhideWhenUsed/>
    <w:rsid w:val="00655177"/>
    <w:pPr>
      <w:ind w:left="240" w:hanging="240"/>
    </w:pPr>
  </w:style>
  <w:style w:type="paragraph" w:styleId="Index2">
    <w:name w:val="index 2"/>
    <w:basedOn w:val="Normal"/>
    <w:next w:val="Normal"/>
    <w:autoRedefine/>
    <w:uiPriority w:val="99"/>
    <w:semiHidden/>
    <w:unhideWhenUsed/>
    <w:rsid w:val="00655177"/>
    <w:pPr>
      <w:ind w:left="480" w:hanging="240"/>
    </w:pPr>
  </w:style>
  <w:style w:type="paragraph" w:styleId="Index3">
    <w:name w:val="index 3"/>
    <w:basedOn w:val="Normal"/>
    <w:next w:val="Normal"/>
    <w:autoRedefine/>
    <w:uiPriority w:val="99"/>
    <w:semiHidden/>
    <w:unhideWhenUsed/>
    <w:rsid w:val="00655177"/>
    <w:pPr>
      <w:ind w:left="720" w:hanging="240"/>
    </w:pPr>
  </w:style>
  <w:style w:type="paragraph" w:styleId="Index4">
    <w:name w:val="index 4"/>
    <w:basedOn w:val="Normal"/>
    <w:next w:val="Normal"/>
    <w:autoRedefine/>
    <w:uiPriority w:val="99"/>
    <w:semiHidden/>
    <w:unhideWhenUsed/>
    <w:qFormat/>
    <w:rsid w:val="00655177"/>
    <w:pPr>
      <w:ind w:left="960" w:hanging="240"/>
    </w:pPr>
  </w:style>
  <w:style w:type="paragraph" w:styleId="NormalIndent">
    <w:name w:val="Normal Indent"/>
    <w:basedOn w:val="Normal"/>
    <w:uiPriority w:val="99"/>
    <w:semiHidden/>
    <w:unhideWhenUsed/>
    <w:qFormat/>
    <w:rsid w:val="00655177"/>
    <w:pPr>
      <w:ind w:left="720"/>
    </w:pPr>
  </w:style>
  <w:style w:type="paragraph" w:styleId="NoteHeading">
    <w:name w:val="Note Heading"/>
    <w:basedOn w:val="Normal"/>
    <w:next w:val="Normal"/>
    <w:link w:val="NoteHeadingChar"/>
    <w:uiPriority w:val="99"/>
    <w:semiHidden/>
    <w:unhideWhenUsed/>
    <w:qFormat/>
    <w:rsid w:val="00655177"/>
  </w:style>
  <w:style w:type="paragraph" w:styleId="Salutation">
    <w:name w:val="Salutation"/>
    <w:basedOn w:val="Normal"/>
    <w:next w:val="Normal"/>
    <w:link w:val="SalutationChar"/>
    <w:uiPriority w:val="99"/>
    <w:semiHidden/>
    <w:unhideWhenUsed/>
    <w:rsid w:val="00655177"/>
  </w:style>
  <w:style w:type="paragraph" w:styleId="Signature">
    <w:name w:val="Signature"/>
    <w:basedOn w:val="Normal"/>
    <w:link w:val="SignatureChar"/>
    <w:uiPriority w:val="99"/>
    <w:semiHidden/>
    <w:unhideWhenUsed/>
    <w:rsid w:val="00655177"/>
    <w:pPr>
      <w:ind w:left="4320"/>
    </w:pPr>
  </w:style>
  <w:style w:type="paragraph" w:styleId="TableofAuthorities">
    <w:name w:val="table of authorities"/>
    <w:basedOn w:val="Normal"/>
    <w:next w:val="Normal"/>
    <w:uiPriority w:val="99"/>
    <w:semiHidden/>
    <w:unhideWhenUsed/>
    <w:rsid w:val="00655177"/>
    <w:pPr>
      <w:spacing w:before="280" w:after="280"/>
      <w:ind w:left="240" w:hanging="240"/>
    </w:pPr>
  </w:style>
  <w:style w:type="paragraph" w:styleId="TableofFigures">
    <w:name w:val="table of figures"/>
    <w:basedOn w:val="Normal"/>
    <w:next w:val="Normal"/>
    <w:uiPriority w:val="99"/>
    <w:semiHidden/>
    <w:unhideWhenUsed/>
    <w:rsid w:val="00655177"/>
    <w:pPr>
      <w:spacing w:before="280" w:after="280"/>
    </w:pPr>
  </w:style>
  <w:style w:type="paragraph" w:styleId="TOAHeading">
    <w:name w:val="toa heading"/>
    <w:basedOn w:val="Normal"/>
    <w:next w:val="Normal"/>
    <w:uiPriority w:val="99"/>
    <w:semiHidden/>
    <w:unhideWhenUsed/>
    <w:qFormat/>
    <w:rsid w:val="00655177"/>
    <w:pPr>
      <w:spacing w:before="120" w:after="280"/>
    </w:pPr>
    <w:rPr>
      <w:rFonts w:asciiTheme="majorHAnsi" w:eastAsiaTheme="majorEastAsia" w:hAnsiTheme="majorHAnsi" w:cstheme="majorBidi"/>
      <w:b/>
      <w:bCs/>
      <w:szCs w:val="24"/>
    </w:rPr>
  </w:style>
  <w:style w:type="paragraph" w:styleId="z-TopofForm">
    <w:name w:val="HTML Top of Form"/>
    <w:basedOn w:val="Normal"/>
    <w:next w:val="Normal"/>
    <w:link w:val="z-TopofFormChar"/>
    <w:uiPriority w:val="99"/>
    <w:semiHidden/>
    <w:unhideWhenUsed/>
    <w:qFormat/>
    <w:rsid w:val="006715A6"/>
    <w:pPr>
      <w:pBdr>
        <w:bottom w:val="single" w:sz="6" w:space="1" w:color="000000"/>
      </w:pBdr>
      <w:jc w:val="center"/>
    </w:pPr>
    <w:rPr>
      <w:rFonts w:ascii="Arial" w:eastAsia="Times New Roman" w:hAnsi="Arial" w:cs="Arial"/>
      <w:vanish/>
      <w:sz w:val="16"/>
      <w:szCs w:val="16"/>
    </w:rPr>
  </w:style>
  <w:style w:type="paragraph" w:styleId="z-BottomofForm">
    <w:name w:val="HTML Bottom of Form"/>
    <w:basedOn w:val="Normal"/>
    <w:next w:val="Normal"/>
    <w:link w:val="z-BottomofFormChar"/>
    <w:uiPriority w:val="99"/>
    <w:semiHidden/>
    <w:unhideWhenUsed/>
    <w:qFormat/>
    <w:rsid w:val="006715A6"/>
    <w:pPr>
      <w:pBdr>
        <w:top w:val="single" w:sz="6" w:space="1" w:color="000000"/>
      </w:pBdr>
      <w:jc w:val="center"/>
    </w:pPr>
    <w:rPr>
      <w:rFonts w:ascii="Arial" w:eastAsia="Times New Roman" w:hAnsi="Arial" w:cs="Arial"/>
      <w:vanish/>
      <w:sz w:val="16"/>
      <w:szCs w:val="16"/>
    </w:rPr>
  </w:style>
  <w:style w:type="paragraph" w:customStyle="1" w:styleId="cBeforeaftertable">
    <w:name w:val="c.Before_after_table"/>
    <w:basedOn w:val="Normal"/>
    <w:link w:val="cBeforeaftertableChar"/>
    <w:qFormat/>
    <w:rsid w:val="00374758"/>
    <w:rPr>
      <w:sz w:val="16"/>
    </w:rPr>
  </w:style>
  <w:style w:type="paragraph" w:customStyle="1" w:styleId="cTableHeader">
    <w:name w:val="c.Table_Header"/>
    <w:basedOn w:val="Normal"/>
    <w:link w:val="cTableHeaderChar"/>
    <w:qFormat/>
    <w:rsid w:val="002F6DF8"/>
    <w:pPr>
      <w:spacing w:before="20" w:beforeAutospacing="0" w:after="20" w:afterAutospacing="0"/>
      <w:jc w:val="center"/>
    </w:pPr>
    <w:rPr>
      <w:rFonts w:asciiTheme="majorHAnsi" w:hAnsiTheme="majorHAnsi"/>
      <w:b/>
      <w:color w:val="4F81BD" w:themeColor="accent1"/>
      <w:sz w:val="22"/>
    </w:rPr>
  </w:style>
  <w:style w:type="paragraph" w:customStyle="1" w:styleId="cTableBody">
    <w:name w:val="c.Table_Body"/>
    <w:basedOn w:val="Normal"/>
    <w:link w:val="cTableBodyChar"/>
    <w:qFormat/>
    <w:rsid w:val="003E4594"/>
    <w:pPr>
      <w:spacing w:before="280"/>
    </w:pPr>
    <w:rPr>
      <w:rFonts w:asciiTheme="majorHAnsi" w:hAnsiTheme="majorHAnsi"/>
      <w:sz w:val="20"/>
    </w:rPr>
  </w:style>
  <w:style w:type="paragraph" w:customStyle="1" w:styleId="cTableTopRowBlueBackground">
    <w:name w:val="c.Table_Top_Row_Blue_Background"/>
    <w:basedOn w:val="cTableHeader"/>
    <w:link w:val="cTableTopRowBlueBackgroundChar"/>
    <w:qFormat/>
    <w:rsid w:val="003C3374"/>
    <w:pPr>
      <w:spacing w:before="0"/>
    </w:pPr>
    <w:rPr>
      <w:rFonts w:eastAsia="Times New Roman" w:cstheme="majorHAnsi"/>
      <w:bCs/>
      <w:szCs w:val="24"/>
    </w:rPr>
  </w:style>
  <w:style w:type="paragraph" w:customStyle="1" w:styleId="cTableofContents">
    <w:name w:val="c.Table_of_Contents"/>
    <w:basedOn w:val="TOC1"/>
    <w:link w:val="cTableofContentsChar"/>
    <w:qFormat/>
    <w:rsid w:val="006711D6"/>
    <w:pPr>
      <w:tabs>
        <w:tab w:val="right" w:leader="dot" w:pos="9638"/>
      </w:tabs>
      <w:spacing w:before="60" w:beforeAutospacing="0" w:after="60" w:afterAutospacing="0" w:line="288" w:lineRule="auto"/>
    </w:pPr>
  </w:style>
  <w:style w:type="paragraph" w:customStyle="1" w:styleId="bcharacter">
    <w:name w:val="b.character"/>
    <w:basedOn w:val="Normal"/>
    <w:link w:val="bcharacterChar"/>
    <w:qFormat/>
    <w:rsid w:val="006964D0"/>
    <w:pPr>
      <w:suppressAutoHyphens w:val="0"/>
      <w:spacing w:before="280" w:beforeAutospacing="0" w:after="120" w:afterAutospacing="0" w:line="252" w:lineRule="auto"/>
      <w:ind w:left="720"/>
    </w:pPr>
    <w:rPr>
      <w:rFonts w:asciiTheme="majorHAnsi" w:eastAsia="Times New Roman" w:hAnsiTheme="majorHAnsi"/>
      <w:b/>
      <w:bCs/>
      <w:color w:val="943634" w:themeColor="accent2" w:themeShade="BF"/>
    </w:rPr>
  </w:style>
  <w:style w:type="paragraph" w:customStyle="1" w:styleId="aLink-Title">
    <w:name w:val="a.Link-Title"/>
    <w:basedOn w:val="Normal"/>
    <w:qFormat/>
    <w:rsid w:val="002F3656"/>
    <w:pPr>
      <w:keepNext/>
      <w:suppressAutoHyphens w:val="0"/>
      <w:spacing w:before="280" w:beforeAutospacing="0" w:afterAutospacing="0" w:line="259" w:lineRule="auto"/>
      <w:ind w:left="720"/>
    </w:pPr>
    <w:rPr>
      <w:rFonts w:ascii="Courier New" w:eastAsiaTheme="minorHAnsi" w:hAnsi="Courier New" w:cs="Courier New"/>
      <w:sz w:val="22"/>
    </w:rPr>
  </w:style>
  <w:style w:type="paragraph" w:customStyle="1" w:styleId="aLinkurl">
    <w:name w:val="a.Link.url"/>
    <w:basedOn w:val="Normal"/>
    <w:qFormat/>
    <w:rsid w:val="002F3656"/>
    <w:pPr>
      <w:tabs>
        <w:tab w:val="left" w:pos="360"/>
        <w:tab w:val="left" w:pos="720"/>
        <w:tab w:val="left" w:pos="1440"/>
        <w:tab w:val="left" w:pos="2160"/>
        <w:tab w:val="left" w:pos="2880"/>
      </w:tabs>
      <w:suppressAutoHyphens w:val="0"/>
      <w:spacing w:beforeAutospacing="0" w:after="280" w:afterAutospacing="0" w:line="259" w:lineRule="auto"/>
      <w:ind w:left="720"/>
    </w:pPr>
    <w:rPr>
      <w:rFonts w:ascii="Courier New" w:eastAsiaTheme="minorHAnsi" w:hAnsi="Courier New" w:cs="Courier New"/>
      <w:color w:val="948A54" w:themeColor="background2" w:themeShade="80"/>
      <w:sz w:val="22"/>
      <w:szCs w:val="20"/>
      <w:u w:val="single"/>
    </w:rPr>
  </w:style>
  <w:style w:type="paragraph" w:customStyle="1" w:styleId="cPaperTitle">
    <w:name w:val="c.PaperTitle"/>
    <w:basedOn w:val="Heading3"/>
    <w:link w:val="cPaperTitleChar"/>
    <w:qFormat/>
    <w:rsid w:val="00091E7D"/>
    <w:pPr>
      <w:pBdr>
        <w:top w:val="single" w:sz="4" w:space="1" w:color="4F81BD" w:themeColor="accent1"/>
      </w:pBdr>
      <w:suppressAutoHyphens w:val="0"/>
      <w:spacing w:line="276" w:lineRule="auto"/>
    </w:pPr>
    <w:rPr>
      <w:color w:val="4F81BD" w:themeColor="accent1"/>
      <w:sz w:val="24"/>
      <w:u w:val="none"/>
    </w:rPr>
  </w:style>
  <w:style w:type="paragraph" w:customStyle="1" w:styleId="bblueindent">
    <w:name w:val="b.blue indent"/>
    <w:basedOn w:val="Normal"/>
    <w:link w:val="bblueindentChar"/>
    <w:qFormat/>
    <w:rsid w:val="00F95946"/>
    <w:pPr>
      <w:suppressAutoHyphens w:val="0"/>
      <w:ind w:left="360" w:right="18"/>
    </w:pPr>
    <w:rPr>
      <w:rFonts w:asciiTheme="majorHAnsi" w:eastAsia="Times New Roman" w:hAnsiTheme="majorHAnsi" w:cstheme="majorHAnsi"/>
      <w:color w:val="4F81BD" w:themeColor="accent1"/>
      <w:szCs w:val="24"/>
    </w:rPr>
  </w:style>
  <w:style w:type="numbering" w:customStyle="1" w:styleId="NoList1">
    <w:name w:val="No List1"/>
    <w:uiPriority w:val="99"/>
    <w:semiHidden/>
    <w:unhideWhenUsed/>
    <w:qFormat/>
    <w:rsid w:val="003707A2"/>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gswTableStyle">
    <w:name w:val="gsw.TableStyle"/>
    <w:basedOn w:val="TableNormal"/>
    <w:uiPriority w:val="99"/>
    <w:rsid w:val="00477BDB"/>
    <w:pPr>
      <w:spacing w:before="40" w:after="40" w:line="288" w:lineRule="auto"/>
    </w:pPr>
    <w:rPr>
      <w:sz w:val="20"/>
    </w:rPr>
    <w:tblPr>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Pr>
    <w:tblStylePr w:type="firstRow">
      <w:pPr>
        <w:wordWrap/>
        <w:jc w:val="center"/>
      </w:pPr>
      <w:rPr>
        <w:rFonts w:asciiTheme="majorHAnsi" w:hAnsiTheme="majorHAnsi"/>
        <w:b/>
        <w:color w:val="4F81BD" w:themeColor="accent1"/>
        <w:sz w:val="22"/>
      </w:rPr>
      <w:tblPr/>
      <w:tcPr>
        <w:tcBorders>
          <w:top w:val="single" w:sz="4" w:space="0" w:color="auto"/>
          <w:left w:val="single" w:sz="4" w:space="0" w:color="auto"/>
          <w:bottom w:val="nil"/>
          <w:right w:val="single" w:sz="4" w:space="0" w:color="auto"/>
          <w:insideH w:val="nil"/>
          <w:insideV w:val="single" w:sz="4" w:space="0" w:color="auto"/>
          <w:tl2br w:val="nil"/>
          <w:tr2bl w:val="nil"/>
        </w:tcBorders>
        <w:shd w:val="clear" w:color="auto" w:fill="DBE5F1" w:themeFill="accent1" w:themeFillTint="33"/>
      </w:tcPr>
    </w:tblStylePr>
  </w:style>
  <w:style w:type="paragraph" w:customStyle="1" w:styleId="blist-bullets">
    <w:name w:val="b.list-bullets"/>
    <w:basedOn w:val="Normal"/>
    <w:link w:val="blist-bulletsChar"/>
    <w:qFormat/>
    <w:rsid w:val="009C3BB3"/>
    <w:pPr>
      <w:numPr>
        <w:numId w:val="40"/>
      </w:numPr>
      <w:tabs>
        <w:tab w:val="clear" w:pos="720"/>
      </w:tabs>
      <w:suppressAutoHyphens w:val="0"/>
      <w:spacing w:before="160" w:beforeAutospacing="0" w:after="160" w:afterAutospacing="0"/>
      <w:ind w:left="360"/>
    </w:pPr>
  </w:style>
  <w:style w:type="character" w:customStyle="1" w:styleId="blist-bulletsChar">
    <w:name w:val="b.list-bullets Char"/>
    <w:basedOn w:val="DefaultParagraphFont"/>
    <w:link w:val="blist-bullets"/>
    <w:rsid w:val="009C3BB3"/>
    <w:rPr>
      <w:rFonts w:ascii="Calibri" w:eastAsia="Calibri" w:hAnsi="Calibri"/>
      <w:sz w:val="24"/>
    </w:rPr>
  </w:style>
  <w:style w:type="paragraph" w:customStyle="1" w:styleId="blist-numbers">
    <w:name w:val="b.list-numbers"/>
    <w:basedOn w:val="Normal"/>
    <w:link w:val="blist-numbersChar"/>
    <w:qFormat/>
    <w:rsid w:val="00E74120"/>
    <w:pPr>
      <w:numPr>
        <w:numId w:val="42"/>
      </w:numPr>
      <w:suppressAutoHyphens w:val="0"/>
      <w:spacing w:before="160" w:beforeAutospacing="0" w:after="160" w:afterAutospacing="0"/>
      <w:ind w:left="907" w:hanging="547"/>
    </w:pPr>
    <w:rPr>
      <w:rFonts w:eastAsia="Times New Roman" w:cstheme="majorHAnsi"/>
      <w:szCs w:val="24"/>
    </w:rPr>
  </w:style>
  <w:style w:type="character" w:customStyle="1" w:styleId="blist-numbersChar">
    <w:name w:val="b.list-numbers Char"/>
    <w:basedOn w:val="DefaultParagraphFont"/>
    <w:link w:val="blist-numbers"/>
    <w:rsid w:val="00E74120"/>
    <w:rPr>
      <w:rFonts w:ascii="Calibri" w:eastAsia="Times New Roman" w:hAnsi="Calibri" w:cstheme="majorHAnsi"/>
      <w:sz w:val="24"/>
      <w:szCs w:val="24"/>
    </w:rPr>
  </w:style>
  <w:style w:type="character" w:styleId="FollowedHyperlink">
    <w:name w:val="FollowedHyperlink"/>
    <w:basedOn w:val="DefaultParagraphFont"/>
    <w:uiPriority w:val="99"/>
    <w:semiHidden/>
    <w:unhideWhenUsed/>
    <w:rsid w:val="002970E1"/>
    <w:rPr>
      <w:color w:val="800080" w:themeColor="followedHyperlink"/>
      <w:u w:val="single"/>
    </w:rPr>
  </w:style>
  <w:style w:type="paragraph" w:customStyle="1" w:styleId="bfigure-caption">
    <w:name w:val="b.figure-caption"/>
    <w:basedOn w:val="Normal"/>
    <w:link w:val="bfigure-captionChar"/>
    <w:qFormat/>
    <w:rsid w:val="005918BE"/>
    <w:pPr>
      <w:jc w:val="center"/>
    </w:pPr>
    <w:rPr>
      <w:i/>
      <w:color w:val="595959"/>
    </w:rPr>
  </w:style>
  <w:style w:type="character" w:customStyle="1" w:styleId="bfigure-captionChar">
    <w:name w:val="b.figure-caption Char"/>
    <w:basedOn w:val="DefaultParagraphFont"/>
    <w:link w:val="bfigure-caption"/>
    <w:rsid w:val="005918BE"/>
    <w:rPr>
      <w:rFonts w:ascii="Calibri" w:eastAsia="Calibri" w:hAnsi="Calibri"/>
      <w:i/>
      <w:color w:val="595959"/>
      <w:sz w:val="24"/>
    </w:rPr>
  </w:style>
  <w:style w:type="paragraph" w:customStyle="1" w:styleId="blistNo-Spacebullet">
    <w:name w:val="b.list.No-Space.bullet"/>
    <w:basedOn w:val="blist-bullets"/>
    <w:link w:val="blistNo-SpacebulletChar"/>
    <w:qFormat/>
    <w:rsid w:val="00AC17D8"/>
    <w:pPr>
      <w:numPr>
        <w:numId w:val="35"/>
      </w:numPr>
      <w:tabs>
        <w:tab w:val="clear" w:pos="720"/>
      </w:tabs>
      <w:spacing w:before="0" w:after="0"/>
    </w:pPr>
    <w:rPr>
      <w:rFonts w:eastAsia="Times New Roman" w:cstheme="majorHAnsi"/>
      <w:szCs w:val="24"/>
    </w:rPr>
  </w:style>
  <w:style w:type="character" w:customStyle="1" w:styleId="blistNo-SpacebulletChar">
    <w:name w:val="b.list.No-Space.bullet Char"/>
    <w:basedOn w:val="blist-bulletsChar"/>
    <w:link w:val="blistNo-Spacebullet"/>
    <w:rsid w:val="00AC17D8"/>
    <w:rPr>
      <w:rFonts w:ascii="Calibri" w:eastAsia="Times New Roman" w:hAnsi="Calibri" w:cstheme="majorHAnsi"/>
      <w:sz w:val="24"/>
      <w:szCs w:val="24"/>
    </w:rPr>
  </w:style>
  <w:style w:type="paragraph" w:customStyle="1" w:styleId="video-link">
    <w:name w:val="video-link"/>
    <w:basedOn w:val="Normal"/>
    <w:link w:val="video-linkChar"/>
    <w:qFormat/>
    <w:rsid w:val="00E616B6"/>
    <w:pPr>
      <w:tabs>
        <w:tab w:val="left" w:pos="1440"/>
        <w:tab w:val="left" w:pos="2160"/>
        <w:tab w:val="left" w:pos="2880"/>
      </w:tabs>
      <w:suppressAutoHyphens w:val="0"/>
      <w:spacing w:before="0" w:beforeAutospacing="0" w:after="360" w:afterAutospacing="0" w:line="259" w:lineRule="auto"/>
      <w:ind w:left="720"/>
    </w:pPr>
    <w:rPr>
      <w:rFonts w:ascii="Courier New" w:eastAsia="Times New Roman" w:hAnsi="Courier New" w:cs="Courier New"/>
      <w:szCs w:val="24"/>
    </w:rPr>
  </w:style>
  <w:style w:type="character" w:customStyle="1" w:styleId="video-linkChar">
    <w:name w:val="video-link Char"/>
    <w:basedOn w:val="DefaultParagraphFont"/>
    <w:link w:val="video-link"/>
    <w:rsid w:val="00E616B6"/>
    <w:rPr>
      <w:rFonts w:ascii="Courier New" w:eastAsia="Times New Roman" w:hAnsi="Courier New" w:cs="Courier New"/>
      <w:sz w:val="24"/>
      <w:szCs w:val="24"/>
    </w:rPr>
  </w:style>
  <w:style w:type="paragraph" w:customStyle="1" w:styleId="video-title">
    <w:name w:val="video-title"/>
    <w:basedOn w:val="Normal"/>
    <w:link w:val="video-titleChar"/>
    <w:qFormat/>
    <w:rsid w:val="00E616B6"/>
    <w:pPr>
      <w:tabs>
        <w:tab w:val="left" w:pos="1440"/>
        <w:tab w:val="left" w:pos="2160"/>
        <w:tab w:val="left" w:pos="2880"/>
      </w:tabs>
      <w:suppressAutoHyphens w:val="0"/>
      <w:spacing w:before="0" w:beforeAutospacing="0" w:after="0" w:afterAutospacing="0" w:line="259" w:lineRule="auto"/>
      <w:ind w:left="720"/>
    </w:pPr>
    <w:rPr>
      <w:rFonts w:ascii="Courier New" w:eastAsia="Times New Roman" w:hAnsi="Courier New" w:cs="Courier New"/>
      <w:szCs w:val="24"/>
    </w:rPr>
  </w:style>
  <w:style w:type="character" w:customStyle="1" w:styleId="video-titleChar">
    <w:name w:val="video-title Char"/>
    <w:basedOn w:val="DefaultParagraphFont"/>
    <w:link w:val="video-title"/>
    <w:rsid w:val="00E616B6"/>
    <w:rPr>
      <w:rFonts w:ascii="Courier New" w:eastAsia="Times New Roman"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2life.org/g/cm/cmp_fission_chemical_processing.pdf" TargetMode="External"/><Relationship Id="rId21" Type="http://schemas.openxmlformats.org/officeDocument/2006/relationships/image" Target="media/image4.jpeg"/><Relationship Id="rId34" Type="http://schemas.openxmlformats.org/officeDocument/2006/relationships/hyperlink" Target="https://www.osti.gov/servlets/purl/2520078" TargetMode="External"/><Relationship Id="rId42" Type="http://schemas.openxmlformats.org/officeDocument/2006/relationships/hyperlink" Target="https://en.wikipedia.org/wiki/Protonic_ceramic_fuel_cell" TargetMode="External"/><Relationship Id="rId47" Type="http://schemas.openxmlformats.org/officeDocument/2006/relationships/hyperlink" Target="https://www.aplantosavetheplanet.org/pdf-ai" TargetMode="External"/><Relationship Id="rId50" Type="http://schemas.openxmlformats.org/officeDocument/2006/relationships/hyperlink" Target="https://drive.google.com/drive/folders/1EMb-Tqw49ewj16UeGhR7UOc9HY6POpKC" TargetMode="External"/><Relationship Id="rId55" Type="http://schemas.openxmlformats.org/officeDocument/2006/relationships/hyperlink" Target="https://www.osti.gov/biblio/978368" TargetMode="External"/><Relationship Id="rId63" Type="http://schemas.openxmlformats.org/officeDocument/2006/relationships/hyperlink" Target="https://www.hydrogen.energy.gov/program-areas/systems-analysi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youtube.com/watch?v=AIlbovU67wI" TargetMode="External"/><Relationship Id="rId29" Type="http://schemas.openxmlformats.org/officeDocument/2006/relationships/hyperlink" Target="https://en.wikipedia.org/wiki/HTR-PM" TargetMode="External"/><Relationship Id="rId11" Type="http://schemas.openxmlformats.org/officeDocument/2006/relationships/hyperlink" Target="https://creativecommons.org/licenses/by/4.0/" TargetMode="External"/><Relationship Id="rId24" Type="http://schemas.openxmlformats.org/officeDocument/2006/relationships/image" Target="media/image6.jpeg"/><Relationship Id="rId32" Type="http://schemas.openxmlformats.org/officeDocument/2006/relationships/hyperlink" Target="https://en.wikipedia.org/wiki/Solid_oxide_fuel_cell" TargetMode="External"/><Relationship Id="rId37" Type="http://schemas.openxmlformats.org/officeDocument/2006/relationships/hyperlink" Target="https://www.sciencedirect.com/science/article/pii/S175058362500088X" TargetMode="External"/><Relationship Id="rId40" Type="http://schemas.openxmlformats.org/officeDocument/2006/relationships/hyperlink" Target="https://www.hjoil.com.tw/products_show.php?getId=6&amp;getId1=15&amp;getId2=87" TargetMode="External"/><Relationship Id="rId45" Type="http://schemas.openxmlformats.org/officeDocument/2006/relationships/hyperlink" Target="https://www.aplantosavetheplanet.org/pdf-ai" TargetMode="External"/><Relationship Id="rId53" Type="http://schemas.openxmlformats.org/officeDocument/2006/relationships/hyperlink" Target="https://www.iaea.org/publications/8855/hydrogen-production-using-nuclear-energy" TargetMode="External"/><Relationship Id="rId58" Type="http://schemas.openxmlformats.org/officeDocument/2006/relationships/hyperlink" Target="https://www.imo.org/en/ourwork/safety/pages/css-code.aspx"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hydrogen.energy.gov/program-areas/systems-analysis/h2a-analysis/h2a-production" TargetMode="External"/><Relationship Id="rId19" Type="http://schemas.openxmlformats.org/officeDocument/2006/relationships/image" Target="media/image2.jpg"/><Relationship Id="rId14" Type="http://schemas.openxmlformats.org/officeDocument/2006/relationships/hyperlink" Target="https://www.aplantosavetheplanet.org/pdf-ai" TargetMode="External"/><Relationship Id="rId22" Type="http://schemas.openxmlformats.org/officeDocument/2006/relationships/hyperlink" Target="https://ma2life.org/g/eet/eetcs14/platform_12m_x_96m.png" TargetMode="External"/><Relationship Id="rId27" Type="http://schemas.openxmlformats.org/officeDocument/2006/relationships/hyperlink" Target="https://www.ma2life.org/g/Decarbonization_Lab_Biz_Plan.pdf" TargetMode="External"/><Relationship Id="rId30" Type="http://schemas.openxmlformats.org/officeDocument/2006/relationships/hyperlink" Target="https://en.wikipedia.org/wiki/High-temperature_electrolysis" TargetMode="External"/><Relationship Id="rId35" Type="http://schemas.openxmlformats.org/officeDocument/2006/relationships/hyperlink" Target="https://www.energy.gov/sites/default/files/2024-11/Carbon%20Negative%20Shot_Technological%20Innovation%20Opportunities%20for%20CO2%20Removal_November2024.pdf" TargetMode="External"/><Relationship Id="rId43" Type="http://schemas.openxmlformats.org/officeDocument/2006/relationships/hyperlink" Target="https://en.wikipedia.org/wiki/Solid_oxide_fuel_cell" TargetMode="External"/><Relationship Id="rId48" Type="http://schemas.openxmlformats.org/officeDocument/2006/relationships/hyperlink" Target="https://www.aplantosavetheplanet.org/pdf-ai" TargetMode="External"/><Relationship Id="rId56" Type="http://schemas.openxmlformats.org/officeDocument/2006/relationships/hyperlink" Target="https://www.gen-4.org/generation-iv-criteria-and-technologies/very-high-temperature-reactor-vhtr" TargetMode="External"/><Relationship Id="rId6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drive.google.com/drive/folders/1HWNJZ2X3jgx4dXn_7VPq25ljJJuIG1aS" TargetMode="External"/><Relationship Id="rId3" Type="http://schemas.openxmlformats.org/officeDocument/2006/relationships/styles" Target="styles.xml"/><Relationship Id="rId12" Type="http://schemas.openxmlformats.org/officeDocument/2006/relationships/hyperlink" Target="https://www.aplantosavetheplanet.org/" TargetMode="External"/><Relationship Id="rId17" Type="http://schemas.openxmlformats.org/officeDocument/2006/relationships/hyperlink" Target="https://www.youtube.com/watch?v=afO0cy1l7Qo" TargetMode="External"/><Relationship Id="rId25" Type="http://schemas.openxmlformats.org/officeDocument/2006/relationships/hyperlink" Target="https://www.ma2life.org/g/cm/cmp_fission_automate_site_construction.pdf" TargetMode="External"/><Relationship Id="rId33" Type="http://schemas.openxmlformats.org/officeDocument/2006/relationships/hyperlink" Target="https://en.wikipedia.org/wiki/Protonic_ceramic_fuel_cell" TargetMode="External"/><Relationship Id="rId38" Type="http://schemas.openxmlformats.org/officeDocument/2006/relationships/image" Target="media/image7.png"/><Relationship Id="rId46" Type="http://schemas.openxmlformats.org/officeDocument/2006/relationships/hyperlink" Target="https://www.aplantosavetheplanet.org/pdf-ai" TargetMode="External"/><Relationship Id="rId59" Type="http://schemas.openxmlformats.org/officeDocument/2006/relationships/hyperlink" Target="https://www.asme.org/codes-standards" TargetMode="External"/><Relationship Id="rId20" Type="http://schemas.openxmlformats.org/officeDocument/2006/relationships/image" Target="media/image3.png"/><Relationship Id="rId41" Type="http://schemas.openxmlformats.org/officeDocument/2006/relationships/hyperlink" Target="https://shipandbunker.com/news/world/566831-vlsfo-fact-versus-fiction" TargetMode="External"/><Relationship Id="rId54" Type="http://schemas.openxmlformats.org/officeDocument/2006/relationships/hyperlink" Target="https://www.iaea.org/publications/10877/opportunities-for-cogeneration-with-nuclear-energy" TargetMode="External"/><Relationship Id="rId62" Type="http://schemas.openxmlformats.org/officeDocument/2006/relationships/hyperlink" Target="https://h2new.energy.gov/publication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reativecommons.org/licenses/by/4.0/" TargetMode="External"/><Relationship Id="rId23" Type="http://schemas.openxmlformats.org/officeDocument/2006/relationships/image" Target="media/image5.png"/><Relationship Id="rId28" Type="http://schemas.openxmlformats.org/officeDocument/2006/relationships/hyperlink" Target="https://en.wikipedia.org/wiki/Hualong_One" TargetMode="External"/><Relationship Id="rId36" Type="http://schemas.openxmlformats.org/officeDocument/2006/relationships/hyperlink" Target="https://pubs.acs.org/doi/10.1021/acs.est.5c14628" TargetMode="External"/><Relationship Id="rId49" Type="http://schemas.openxmlformats.org/officeDocument/2006/relationships/hyperlink" Target="https://www.aplantosavetheplanet.org/pdf-ai" TargetMode="External"/><Relationship Id="rId57" Type="http://schemas.openxmlformats.org/officeDocument/2006/relationships/hyperlink" Target="https://www.dnv.com/energy/standards-guidelines/dnv-st-n001-marine-operations-and-marine-warranty/" TargetMode="External"/><Relationship Id="rId10" Type="http://schemas.openxmlformats.org/officeDocument/2006/relationships/hyperlink" Target="https://drive.google.com/drive/folders/1-G2IHTErH0ETdfpCX-i8Nin0khOlEBru" TargetMode="External"/><Relationship Id="rId31" Type="http://schemas.openxmlformats.org/officeDocument/2006/relationships/hyperlink" Target="https://en.wikipedia.org/wiki/Solid_oxide_electrolyzer_cell" TargetMode="External"/><Relationship Id="rId44" Type="http://schemas.openxmlformats.org/officeDocument/2006/relationships/hyperlink" Target="https://www.aplantosavetheplanet.org/pdf-ai" TargetMode="External"/><Relationship Id="rId52" Type="http://schemas.openxmlformats.org/officeDocument/2006/relationships/hyperlink" Target="https://drive.google.com/drive/folders/1jlbqUAYL8Xnbt6aalZzLm9qwk2ikMuDl" TargetMode="External"/><Relationship Id="rId60" Type="http://schemas.openxmlformats.org/officeDocument/2006/relationships/hyperlink" Target="https://www.construction-institute.org/modularization"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https://www.aplantosavetheplanet.org/" TargetMode="External"/><Relationship Id="rId18" Type="http://schemas.openxmlformats.org/officeDocument/2006/relationships/hyperlink" Target="https://www.youtube.com/watch?v=4gqmKGV1h5Y" TargetMode="External"/><Relationship Id="rId39" Type="http://schemas.openxmlformats.org/officeDocument/2006/relationships/hyperlink" Target="https://chatgpt.com/g/g-p-679d2bb5b304819198acec1a2830d008/c/6a77d5f8-2154-83ea-a07c-1323e47271de"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30972</TotalTime>
  <Pages>102</Pages>
  <Words>40980</Words>
  <Characters>259405</Characters>
  <Application>Microsoft Office Word</Application>
  <DocSecurity>0</DocSecurity>
  <Lines>7205</Lines>
  <Paragraphs>4844</Paragraphs>
  <ScaleCrop>false</ScaleCrop>
  <Company/>
  <LinksUpToDate>false</LinksUpToDate>
  <CharactersWithSpaces>295541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Nuclear Power Industrial Processing Initiative</dc:title>
  <dc:subject>Proposed $1 Billion / Five-Year R&amp;D Program for nuclear-integrated industrial processing platforms</dc:subject>
  <dc:creator>Glenn Weinreb</dc:creator>
  <cp:keywords>HTR-PM nuclear construction automation climate moonshot</cp:keywords>
  <dc:description>generated by python-docx</dc:description>
  <cp:lastModifiedBy>Glenn Weinreb</cp:lastModifiedBy>
  <cp:revision>1678</cp:revision>
  <cp:lastPrinted>2026-04-16T21:44:00Z</cp:lastPrinted>
  <dcterms:created xsi:type="dcterms:W3CDTF">2013-12-24T02:15:00Z</dcterms:created>
  <dcterms:modified xsi:type="dcterms:W3CDTF">2026-08-21T17:59:00Z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zn:id">
    <vt:lpwstr>bf5be312-9c78-4024-9855-fd3bb3258444</vt:lpwstr>
  </property>
</Properties>
</file>