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54" w:type="dxa"/>
        <w:jc w:val="center"/>
        <w:tblLayout w:type="fixed"/>
        <w:tblCellMar>
          <w:left w:w="115" w:type="dxa"/>
          <w:right w:w="115" w:type="dxa"/>
        </w:tblCellMar>
        <w:tblLook w:val="04A0" w:firstRow="1" w:lastRow="0" w:firstColumn="1" w:lastColumn="0" w:noHBand="0" w:noVBand="1"/>
      </w:tblPr>
      <w:tblGrid>
        <w:gridCol w:w="1613"/>
        <w:gridCol w:w="9241"/>
      </w:tblGrid>
      <w:tr w:rsidR="00704BDA" w14:paraId="6862324B" w14:textId="77777777" w:rsidTr="003F5C91">
        <w:trPr>
          <w:trHeight w:hRule="exact" w:val="2017"/>
          <w:jc w:val="center"/>
        </w:trPr>
        <w:tc>
          <w:tcPr>
            <w:tcW w:w="1613" w:type="dxa"/>
            <w:shd w:val="clear" w:color="auto" w:fill="DBE5F1" w:themeFill="accent1" w:themeFillTint="33"/>
          </w:tcPr>
          <w:p w14:paraId="1A955ABF" w14:textId="77777777" w:rsidR="00222C6C" w:rsidRDefault="00222C6C">
            <w:pPr>
              <w:spacing w:before="160" w:beforeAutospacing="0" w:after="160" w:afterAutospacing="0"/>
              <w:jc w:val="center"/>
              <w:rPr>
                <w:rFonts w:ascii="Arial" w:eastAsiaTheme="minorEastAsia" w:hAnsi="Arial"/>
                <w:b/>
                <w:color w:val="DBE5F1" w:themeColor="accent1" w:themeTint="33"/>
                <w:sz w:val="22"/>
                <w:szCs w:val="24"/>
              </w:rPr>
            </w:pPr>
          </w:p>
        </w:tc>
        <w:tc>
          <w:tcPr>
            <w:tcW w:w="9241" w:type="dxa"/>
            <w:tcMar>
              <w:top w:w="280" w:type="dxa"/>
              <w:left w:w="280" w:type="dxa"/>
              <w:bottom w:w="200" w:type="dxa"/>
              <w:right w:w="250" w:type="dxa"/>
            </w:tcMar>
          </w:tcPr>
          <w:p w14:paraId="6EC721A2" w14:textId="77777777" w:rsidR="00222C6C" w:rsidRPr="00590327" w:rsidRDefault="00000000">
            <w:pPr>
              <w:spacing w:beforeAutospacing="0" w:afterAutospacing="0" w:line="288" w:lineRule="auto"/>
              <w:ind w:left="140" w:right="-504"/>
              <w:rPr>
                <w:rFonts w:ascii="Arial" w:eastAsiaTheme="minorEastAsia" w:hAnsi="Arial"/>
                <w:sz w:val="68"/>
                <w:szCs w:val="68"/>
              </w:rPr>
            </w:pPr>
            <w:r w:rsidRPr="00590327">
              <w:rPr>
                <w:rFonts w:ascii="Arial" w:eastAsiaTheme="minorEastAsia" w:hAnsi="Arial"/>
                <w:b/>
                <w:color w:val="31849B" w:themeColor="accent5" w:themeShade="BF"/>
                <w:sz w:val="68"/>
                <w:szCs w:val="68"/>
              </w:rPr>
              <w:t>MCB Experimental</w:t>
            </w:r>
            <w:r w:rsidRPr="00590327">
              <w:rPr>
                <w:rFonts w:ascii="Arial" w:eastAsiaTheme="minorEastAsia" w:hAnsi="Arial"/>
                <w:b/>
                <w:color w:val="31849B" w:themeColor="accent5" w:themeShade="BF"/>
                <w:sz w:val="68"/>
                <w:szCs w:val="68"/>
              </w:rPr>
              <w:br/>
              <w:t>Research Initiative</w:t>
            </w:r>
          </w:p>
        </w:tc>
      </w:tr>
      <w:tr w:rsidR="00704BDA" w14:paraId="713CA181" w14:textId="77777777" w:rsidTr="00590327">
        <w:trPr>
          <w:trHeight w:hRule="exact" w:val="8956"/>
          <w:jc w:val="center"/>
        </w:trPr>
        <w:tc>
          <w:tcPr>
            <w:tcW w:w="1613" w:type="dxa"/>
            <w:shd w:val="clear" w:color="auto" w:fill="DBE5F1" w:themeFill="accent1" w:themeFillTint="33"/>
          </w:tcPr>
          <w:p w14:paraId="1A305D8F" w14:textId="77777777" w:rsidR="00222C6C" w:rsidRDefault="00000000" w:rsidP="00704BDA">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4C820985" w14:textId="77777777" w:rsidR="00222C6C" w:rsidRDefault="00000000" w:rsidP="00704BDA">
            <w:pPr>
              <w:spacing w:before="240" w:beforeAutospacing="0" w:after="8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CLIMATE</w:t>
            </w:r>
          </w:p>
          <w:p w14:paraId="33B4139A" w14:textId="77777777" w:rsidR="00222C6C" w:rsidRDefault="00000000" w:rsidP="00704BDA">
            <w:pPr>
              <w:spacing w:before="80" w:beforeAutospacing="0" w:after="8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MOONSHOT</w:t>
            </w:r>
          </w:p>
          <w:p w14:paraId="1E60BE15" w14:textId="77777777" w:rsidR="00222C6C" w:rsidRPr="00661F83" w:rsidRDefault="00000000" w:rsidP="00704BDA">
            <w:pPr>
              <w:spacing w:before="80" w:beforeAutospacing="0" w:after="24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PORTFOLIO</w:t>
            </w:r>
          </w:p>
          <w:p w14:paraId="0068FBE2" w14:textId="77777777" w:rsidR="00222C6C" w:rsidRDefault="00000000" w:rsidP="00704BDA">
            <w:pPr>
              <w:spacing w:before="280" w:beforeAutospacing="0" w:after="40" w:afterAutospacing="0"/>
              <w:jc w:val="center"/>
              <w:rPr>
                <w:rFonts w:ascii="Arial" w:eastAsiaTheme="minorEastAsia" w:hAnsi="Arial"/>
                <w:bCs/>
                <w:i/>
                <w:iCs/>
                <w:color w:val="31849B" w:themeColor="accent5" w:themeShade="BF"/>
                <w:szCs w:val="24"/>
              </w:rPr>
            </w:pPr>
            <w:r>
              <w:rPr>
                <w:rFonts w:ascii="Arial" w:eastAsiaTheme="minorEastAsia" w:hAnsi="Arial"/>
                <w:bCs/>
                <w:i/>
                <w:iCs/>
                <w:color w:val="31849B" w:themeColor="accent5" w:themeShade="BF"/>
                <w:szCs w:val="24"/>
              </w:rPr>
              <w:t>Billions to</w:t>
            </w:r>
          </w:p>
          <w:p w14:paraId="5693AED1" w14:textId="77777777" w:rsidR="00222C6C" w:rsidRDefault="00000000" w:rsidP="00704BDA">
            <w:pPr>
              <w:spacing w:beforeAutospacing="0" w:afterAutospacing="0" w:line="216" w:lineRule="auto"/>
              <w:jc w:val="center"/>
              <w:rPr>
                <w:rFonts w:ascii="Arial" w:eastAsiaTheme="minorEastAsia" w:hAnsi="Arial"/>
                <w:b/>
                <w:color w:val="DBE5F1" w:themeColor="accent1" w:themeTint="33"/>
                <w:sz w:val="22"/>
                <w:szCs w:val="24"/>
              </w:rPr>
            </w:pPr>
            <w:r>
              <w:rPr>
                <w:rFonts w:ascii="Arial" w:eastAsiaTheme="minorEastAsia" w:hAnsi="Arial"/>
                <w:bCs/>
                <w:i/>
                <w:iCs/>
                <w:color w:val="31849B" w:themeColor="accent5" w:themeShade="BF"/>
                <w:szCs w:val="24"/>
              </w:rPr>
              <w:t>save trillions</w:t>
            </w:r>
          </w:p>
        </w:tc>
        <w:tc>
          <w:tcPr>
            <w:tcW w:w="9241" w:type="dxa"/>
            <w:tcMar>
              <w:top w:w="280" w:type="dxa"/>
              <w:left w:w="280" w:type="dxa"/>
              <w:bottom w:w="200" w:type="dxa"/>
              <w:right w:w="250" w:type="dxa"/>
            </w:tcMar>
          </w:tcPr>
          <w:p w14:paraId="7AA67E16" w14:textId="77777777" w:rsidR="00222C6C" w:rsidRDefault="00000000" w:rsidP="00704BDA">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60400B60" w14:textId="77777777" w:rsidR="00222C6C" w:rsidRDefault="00000000" w:rsidP="00704BDA">
            <w:pPr>
              <w:spacing w:before="200" w:beforeAutospacing="0" w:afterAutospacing="0"/>
              <w:ind w:left="144"/>
              <w:rPr>
                <w:rFonts w:ascii="Arial" w:eastAsiaTheme="minorEastAsia" w:hAnsi="Arial"/>
                <w:color w:val="6F7780"/>
                <w:sz w:val="22"/>
              </w:rPr>
            </w:pPr>
            <w:r>
              <w:rPr>
                <w:rFonts w:ascii="Arial" w:eastAsiaTheme="minorEastAsia" w:hAnsi="Arial"/>
                <w:b/>
                <w:color w:val="6F7780"/>
                <w:sz w:val="30"/>
              </w:rPr>
              <w:t>Proposed $1 Billion / Five-Year R&amp;D Program</w:t>
            </w:r>
          </w:p>
          <w:p w14:paraId="1401459C" w14:textId="77777777" w:rsidR="00222C6C" w:rsidRDefault="00000000" w:rsidP="00704BDA">
            <w:pPr>
              <w:spacing w:before="120" w:beforeAutospacing="0" w:afterAutospacing="0"/>
              <w:ind w:left="144"/>
              <w:rPr>
                <w:rFonts w:ascii="Arial" w:eastAsiaTheme="minorEastAsia" w:hAnsi="Arial"/>
                <w:b/>
                <w:color w:val="6F7780"/>
                <w:sz w:val="19"/>
              </w:rPr>
            </w:pPr>
            <w:r>
              <w:rPr>
                <w:rFonts w:ascii="Arial" w:eastAsiaTheme="minorEastAsia" w:hAnsi="Arial"/>
                <w:b/>
                <w:color w:val="6F7780"/>
                <w:sz w:val="19"/>
              </w:rPr>
              <w:t>MARINE CLOUD BRIGHTENING (MCB)</w:t>
            </w:r>
          </w:p>
          <w:p w14:paraId="0FD81C16" w14:textId="77777777" w:rsidR="00222C6C" w:rsidRDefault="00000000" w:rsidP="00704BDA">
            <w:pPr>
              <w:spacing w:before="120" w:beforeAutospacing="0" w:afterAutospacing="0"/>
              <w:ind w:left="144"/>
              <w:rPr>
                <w:rFonts w:ascii="Arial" w:eastAsiaTheme="minorEastAsia" w:hAnsi="Arial"/>
                <w:b/>
                <w:bCs/>
                <w:color w:val="6F7780"/>
                <w:sz w:val="19"/>
                <w:szCs w:val="19"/>
              </w:rPr>
            </w:pPr>
            <w:r>
              <w:rPr>
                <w:rFonts w:ascii="Arial" w:eastAsiaTheme="minorEastAsia" w:hAnsi="Arial"/>
                <w:b/>
                <w:bCs/>
                <w:color w:val="6F7780"/>
                <w:sz w:val="19"/>
                <w:szCs w:val="19"/>
              </w:rPr>
              <w:t>FIELD EXPERIMENTS • LABORATORY EXPERIMENTS</w:t>
            </w:r>
          </w:p>
          <w:p w14:paraId="70BA241F" w14:textId="77777777" w:rsidR="00CC2468" w:rsidRDefault="00CC2468" w:rsidP="00704BDA">
            <w:pPr>
              <w:spacing w:before="120" w:beforeAutospacing="0" w:afterAutospacing="0"/>
              <w:ind w:left="144"/>
              <w:rPr>
                <w:rFonts w:ascii="Arial" w:eastAsiaTheme="minorEastAsia" w:hAnsi="Arial"/>
                <w:color w:val="6F7780"/>
                <w:sz w:val="22"/>
              </w:rPr>
            </w:pPr>
          </w:p>
          <w:p w14:paraId="3008B8F1" w14:textId="7D32747C" w:rsidR="00222C6C" w:rsidRDefault="00D549EE" w:rsidP="00704BDA">
            <w:pPr>
              <w:spacing w:before="480" w:beforeAutospacing="0" w:after="480" w:afterAutospacing="0"/>
              <w:ind w:left="144"/>
              <w:rPr>
                <w:rFonts w:ascii="Arial" w:eastAsiaTheme="minorEastAsia" w:hAnsi="Arial"/>
                <w:sz w:val="22"/>
              </w:rPr>
            </w:pPr>
            <w:r>
              <w:object w:dxaOrig="16720" w:dyaOrig="9410" w14:anchorId="40A4B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226.5pt" o:ole="">
                  <v:imagedata r:id="rId8" o:title=""/>
                </v:shape>
                <o:OLEObject Type="Embed" ProgID="PBrush" ShapeID="_x0000_i1025" DrawAspect="Content" ObjectID="_1848826583" r:id="rId9"/>
              </w:object>
            </w:r>
          </w:p>
          <w:p w14:paraId="59ABBCCE" w14:textId="77777777" w:rsidR="00222C6C" w:rsidRDefault="00000000" w:rsidP="00704BDA">
            <w:pPr>
              <w:spacing w:beforeAutospacing="0" w:after="80" w:afterAutospacing="0"/>
              <w:ind w:left="140"/>
              <w:rPr>
                <w:rFonts w:ascii="Arial" w:eastAsiaTheme="minorEastAsia" w:hAnsi="Arial"/>
                <w:b/>
                <w:color w:val="1F4E79"/>
                <w:sz w:val="27"/>
              </w:rPr>
            </w:pPr>
            <w:r>
              <w:rPr>
                <w:rFonts w:ascii="Arial" w:eastAsiaTheme="minorEastAsia" w:hAnsi="Arial"/>
                <w:b/>
                <w:color w:val="1F4E79"/>
                <w:sz w:val="27"/>
              </w:rPr>
              <w:t>By Glenn Weinreb</w:t>
            </w:r>
          </w:p>
          <w:p w14:paraId="2C772113" w14:textId="77777777" w:rsidR="00222C6C" w:rsidRPr="0003219B" w:rsidRDefault="00000000" w:rsidP="0003219B">
            <w:pPr>
              <w:spacing w:beforeAutospacing="0" w:after="200" w:afterAutospacing="0"/>
              <w:ind w:left="144"/>
              <w:rPr>
                <w:rFonts w:ascii="Arial" w:eastAsiaTheme="minorEastAsia" w:hAnsi="Arial"/>
                <w:sz w:val="22"/>
              </w:rPr>
            </w:pPr>
            <w:r>
              <w:rPr>
                <w:rFonts w:ascii="Arial" w:eastAsiaTheme="minorEastAsia" w:hAnsi="Arial"/>
                <w:i/>
                <w:color w:val="1F4E79"/>
                <w:sz w:val="25"/>
              </w:rPr>
              <w:t>Developed with assistance from ChatGPT</w:t>
            </w:r>
          </w:p>
        </w:tc>
      </w:tr>
      <w:tr w:rsidR="003F5C91" w14:paraId="7C0F8A77" w14:textId="77777777" w:rsidTr="00B403E9">
        <w:trPr>
          <w:trHeight w:val="1296"/>
          <w:jc w:val="center"/>
        </w:trPr>
        <w:tc>
          <w:tcPr>
            <w:tcW w:w="1613" w:type="dxa"/>
            <w:shd w:val="clear" w:color="auto" w:fill="DBE5F1" w:themeFill="accent1" w:themeFillTint="33"/>
          </w:tcPr>
          <w:p w14:paraId="3E0CB645" w14:textId="77777777" w:rsidR="00222C6C" w:rsidRDefault="00000000" w:rsidP="00B403E9">
            <w:pPr>
              <w:spacing w:beforeAutospacing="0" w:afterAutospacing="0" w:line="216" w:lineRule="auto"/>
              <w:jc w:val="center"/>
              <w:rPr>
                <w:rFonts w:ascii="MS Gothic" w:eastAsia="MS Gothic" w:hAnsi="MS Gothic" w:cs="MS Gothic"/>
                <w:b/>
                <w:color w:val="E67E22"/>
                <w:sz w:val="16"/>
              </w:rPr>
            </w:pPr>
            <w:r>
              <w:rPr>
                <w:rFonts w:ascii="MS Gothic" w:eastAsia="MS Gothic" w:hAnsi="MS Gothic" w:cs="MS Gothic"/>
                <w:b/>
                <w:color w:val="E67E22"/>
                <w:sz w:val="16"/>
              </w:rPr>
              <w:t>━━━━━━━</w:t>
            </w:r>
          </w:p>
          <w:p w14:paraId="08B937D5" w14:textId="77777777" w:rsidR="00222C6C" w:rsidRDefault="00000000" w:rsidP="00B403E9">
            <w:pPr>
              <w:spacing w:before="80" w:beforeAutospacing="0" w:after="16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OPEN</w:t>
            </w:r>
          </w:p>
          <w:p w14:paraId="449F93C9" w14:textId="77777777" w:rsidR="00222C6C" w:rsidRDefault="00000000" w:rsidP="00B403E9">
            <w:pPr>
              <w:spacing w:before="80" w:beforeAutospacing="0" w:after="80" w:afterAutospacing="0"/>
              <w:jc w:val="center"/>
              <w:rPr>
                <w:rFonts w:ascii="Arial" w:eastAsiaTheme="minorEastAsia" w:hAnsi="Arial"/>
                <w:b/>
                <w:color w:val="31849B" w:themeColor="accent5" w:themeShade="BF"/>
                <w:sz w:val="22"/>
                <w:szCs w:val="24"/>
              </w:rPr>
            </w:pPr>
            <w:r>
              <w:rPr>
                <w:rFonts w:ascii="Arial" w:eastAsiaTheme="minorEastAsia" w:hAnsi="Arial"/>
                <w:b/>
                <w:color w:val="31849B" w:themeColor="accent5" w:themeShade="BF"/>
                <w:sz w:val="22"/>
                <w:szCs w:val="24"/>
              </w:rPr>
              <w:t>SOURCE</w:t>
            </w:r>
          </w:p>
          <w:p w14:paraId="38F562B5" w14:textId="77777777" w:rsidR="00222C6C" w:rsidRDefault="00222C6C" w:rsidP="00B403E9">
            <w:pPr>
              <w:spacing w:beforeAutospacing="0" w:afterAutospacing="0" w:line="216" w:lineRule="auto"/>
              <w:jc w:val="center"/>
              <w:rPr>
                <w:rFonts w:ascii="MS Gothic" w:eastAsia="MS Gothic" w:hAnsi="MS Gothic" w:cs="MS Gothic"/>
                <w:b/>
                <w:color w:val="E67E22"/>
                <w:sz w:val="16"/>
              </w:rPr>
            </w:pPr>
          </w:p>
        </w:tc>
        <w:tc>
          <w:tcPr>
            <w:tcW w:w="9241" w:type="dxa"/>
            <w:tcMar>
              <w:top w:w="280" w:type="dxa"/>
              <w:left w:w="280" w:type="dxa"/>
              <w:bottom w:w="200" w:type="dxa"/>
              <w:right w:w="250" w:type="dxa"/>
            </w:tcMar>
          </w:tcPr>
          <w:p w14:paraId="38D887AE" w14:textId="77777777" w:rsidR="00590327" w:rsidRDefault="00590327" w:rsidP="00590327">
            <w:pPr>
              <w:spacing w:beforeAutospacing="0" w:afterAutospacing="0" w:line="216" w:lineRule="auto"/>
              <w:ind w:left="144" w:right="-504"/>
              <w:rPr>
                <w:rFonts w:ascii="MS Gothic" w:eastAsia="MS Gothic" w:hAnsi="MS Gothic" w:cs="MS Gothic"/>
                <w:b/>
                <w:color w:val="E67E22"/>
                <w:sz w:val="16"/>
              </w:rPr>
            </w:pPr>
            <w:r>
              <w:rPr>
                <w:rFonts w:ascii="MS Gothic" w:eastAsia="MS Gothic" w:hAnsi="MS Gothic" w:cs="MS Gothic"/>
                <w:b/>
                <w:color w:val="E67E22"/>
                <w:sz w:val="16"/>
              </w:rPr>
              <w:t>━━━━━━━━━━━━━━━━━━━━━━━━━━━━━━━━━━━━━━━━━━━━━━━━━━━</w:t>
            </w:r>
          </w:p>
          <w:p w14:paraId="65D9F474" w14:textId="77777777" w:rsidR="00590327" w:rsidRPr="003401F9" w:rsidRDefault="00590327" w:rsidP="00590327">
            <w:pPr>
              <w:spacing w:before="80" w:beforeAutospacing="0" w:after="200" w:afterAutospacing="0"/>
              <w:ind w:left="144"/>
              <w:rPr>
                <w:rFonts w:ascii="Arial" w:eastAsiaTheme="minorEastAsia" w:hAnsi="Arial" w:cs="Arial"/>
                <w:sz w:val="20"/>
                <w:szCs w:val="20"/>
              </w:rPr>
            </w:pPr>
            <w:hyperlink r:id="rId10">
              <w:r>
                <w:rPr>
                  <w:rFonts w:ascii="Arial" w:eastAsiaTheme="minorHAnsi" w:hAnsi="Arial" w:cs="Arial"/>
                  <w:color w:val="7F7F7F" w:themeColor="text1" w:themeTint="80"/>
                  <w:sz w:val="20"/>
                  <w:szCs w:val="20"/>
                  <w:u w:val="single"/>
                </w:rPr>
                <w:t>Original files</w:t>
              </w:r>
            </w:hyperlink>
            <w:r w:rsidRPr="00B403E9">
              <w:rPr>
                <w:rFonts w:ascii="Arial" w:eastAsiaTheme="minorEastAsia" w:hAnsi="Arial" w:cs="Arial"/>
                <w:color w:val="4A5056"/>
                <w:sz w:val="20"/>
                <w:szCs w:val="20"/>
              </w:rPr>
              <w:t xml:space="preserve"> a</w:t>
            </w:r>
            <w:r>
              <w:rPr>
                <w:rFonts w:ascii="Arial" w:eastAsiaTheme="minorEastAsia" w:hAnsi="Arial" w:cs="Arial"/>
                <w:color w:val="4A5056"/>
                <w:sz w:val="20"/>
                <w:szCs w:val="20"/>
              </w:rPr>
              <w:t>re</w:t>
            </w:r>
            <w:r w:rsidRPr="003401F9">
              <w:rPr>
                <w:rFonts w:ascii="Arial" w:eastAsiaTheme="minorEastAsia" w:hAnsi="Arial" w:cs="Arial"/>
                <w:color w:val="4A5056"/>
                <w:sz w:val="20"/>
                <w:szCs w:val="20"/>
              </w:rPr>
              <w:t xml:space="preserve"> free to copy and modify under the </w:t>
            </w:r>
            <w:hyperlink r:id="rId11">
              <w:r w:rsidRPr="003401F9">
                <w:rPr>
                  <w:rFonts w:ascii="Arial" w:eastAsiaTheme="minorEastAsia" w:hAnsi="Arial" w:cs="Arial"/>
                  <w:color w:val="4A5056"/>
                  <w:sz w:val="20"/>
                  <w:szCs w:val="20"/>
                  <w:u w:val="single"/>
                </w:rPr>
                <w:t>CC BY 4.0</w:t>
              </w:r>
            </w:hyperlink>
            <w:r w:rsidRPr="003401F9">
              <w:rPr>
                <w:rFonts w:ascii="Arial" w:eastAsiaTheme="minorEastAsia" w:hAnsi="Arial" w:cs="Arial"/>
                <w:color w:val="4A5056"/>
                <w:sz w:val="20"/>
                <w:szCs w:val="20"/>
              </w:rPr>
              <w:t xml:space="preserve"> open-source license.</w:t>
            </w:r>
          </w:p>
          <w:p w14:paraId="7583E299" w14:textId="554271B5" w:rsidR="00590327" w:rsidRDefault="00590327" w:rsidP="00590327">
            <w:pPr>
              <w:spacing w:before="0" w:beforeAutospacing="0" w:after="0" w:afterAutospacing="0" w:line="240" w:lineRule="auto"/>
              <w:ind w:left="144" w:right="-504"/>
            </w:pPr>
            <w:r w:rsidRPr="003401F9">
              <w:rPr>
                <w:rFonts w:ascii="Arial" w:eastAsiaTheme="minorEastAsia" w:hAnsi="Arial" w:cs="Arial"/>
                <w:color w:val="4A5056"/>
                <w:sz w:val="20"/>
                <w:szCs w:val="20"/>
              </w:rPr>
              <w:t>August 2</w:t>
            </w:r>
            <w:r w:rsidR="00AF1C55">
              <w:rPr>
                <w:rFonts w:ascii="Arial" w:eastAsiaTheme="minorEastAsia" w:hAnsi="Arial" w:cs="Arial"/>
                <w:color w:val="4A5056"/>
                <w:sz w:val="20"/>
                <w:szCs w:val="20"/>
              </w:rPr>
              <w:t>1</w:t>
            </w:r>
            <w:r w:rsidRPr="003401F9">
              <w:rPr>
                <w:rFonts w:ascii="Arial" w:eastAsiaTheme="minorEastAsia" w:hAnsi="Arial" w:cs="Arial"/>
                <w:color w:val="4A5056"/>
                <w:sz w:val="20"/>
                <w:szCs w:val="20"/>
              </w:rPr>
              <w:t>, 2026 | v2</w:t>
            </w:r>
            <w:r w:rsidR="00AF1C55">
              <w:rPr>
                <w:rFonts w:ascii="Arial" w:eastAsiaTheme="minorEastAsia" w:hAnsi="Arial" w:cs="Arial"/>
                <w:color w:val="4A5056"/>
                <w:sz w:val="20"/>
                <w:szCs w:val="20"/>
              </w:rPr>
              <w:t>f</w:t>
            </w:r>
            <w:r w:rsidRPr="003401F9">
              <w:rPr>
                <w:rFonts w:ascii="Arial" w:eastAsiaTheme="minorEastAsia" w:hAnsi="Arial" w:cs="Arial"/>
                <w:color w:val="4A5056"/>
                <w:sz w:val="20"/>
                <w:szCs w:val="20"/>
              </w:rPr>
              <w:t xml:space="preserve"> | Copyright © 2026 by Glenn Weinreb | </w:t>
            </w:r>
            <w:hyperlink r:id="rId12" w:history="1">
              <w:r w:rsidRPr="003401F9">
                <w:rPr>
                  <w:rStyle w:val="bhyperlinkChar"/>
                  <w:rFonts w:ascii="Arial" w:hAnsi="Arial" w:cs="Arial"/>
                  <w:sz w:val="20"/>
                  <w:szCs w:val="20"/>
                </w:rPr>
                <w:t>www.APlanToSaveThePlanet.org</w:t>
              </w:r>
            </w:hyperlink>
          </w:p>
          <w:p w14:paraId="5F990D54" w14:textId="77777777" w:rsidR="00590327" w:rsidRDefault="00590327" w:rsidP="00590327">
            <w:pPr>
              <w:spacing w:before="0" w:beforeAutospacing="0" w:after="0" w:afterAutospacing="0" w:line="240" w:lineRule="auto"/>
              <w:ind w:left="144" w:right="-504"/>
              <w:rPr>
                <w:rFonts w:ascii="MS Gothic" w:eastAsia="MS Gothic" w:hAnsi="MS Gothic" w:cs="MS Gothic"/>
                <w:b/>
                <w:color w:val="E67E22"/>
                <w:sz w:val="16"/>
              </w:rPr>
            </w:pPr>
          </w:p>
          <w:p w14:paraId="0DA13233" w14:textId="77777777" w:rsidR="00222C6C" w:rsidRDefault="00222C6C" w:rsidP="00B403E9">
            <w:pPr>
              <w:spacing w:before="0" w:beforeAutospacing="0" w:after="0" w:afterAutospacing="0" w:line="240" w:lineRule="auto"/>
              <w:ind w:left="144" w:right="-504"/>
              <w:rPr>
                <w:rFonts w:ascii="MS Gothic" w:eastAsia="MS Gothic" w:hAnsi="MS Gothic" w:cs="MS Gothic"/>
                <w:b/>
                <w:color w:val="E67E22"/>
                <w:sz w:val="16"/>
              </w:rPr>
            </w:pPr>
          </w:p>
        </w:tc>
      </w:tr>
    </w:tbl>
    <w:p w14:paraId="7B40036B" w14:textId="77777777" w:rsidR="003323F8" w:rsidRDefault="00000000">
      <w:pPr>
        <w:pStyle w:val="Heading1"/>
        <w:spacing w:before="280" w:after="280"/>
      </w:pPr>
      <w:bookmarkStart w:id="0" w:name="_Toc237984385"/>
      <w:bookmarkStart w:id="1" w:name="_Toc238204646"/>
      <w:r>
        <w:lastRenderedPageBreak/>
        <w:t>Executive Summary</w:t>
      </w:r>
      <w:bookmarkEnd w:id="0"/>
      <w:bookmarkEnd w:id="1"/>
    </w:p>
    <w:p w14:paraId="61D01A61" w14:textId="77777777" w:rsidR="003323F8" w:rsidRDefault="00000000">
      <w:pPr>
        <w:spacing w:before="280" w:after="280"/>
      </w:pPr>
      <w:r>
        <w:rPr>
          <w:b/>
          <w:bCs/>
          <w:color w:val="4F81BD" w:themeColor="accent1"/>
        </w:rPr>
        <w:t xml:space="preserve">Purpose. </w:t>
      </w:r>
      <w:r>
        <w:t>The proposed $1 billion, five-year MCB Experimental Research Initiative is designed to determine whether marine cloud brightening can be predicted, measured, governed, and stopped well enough to justify any later research. It is a research program, not an authorization for regional or global climate control. The central scientific chain runs from seawater intake and aerosol generation, through near-source plume evolution and boundary-layer transport, to arrival at cloud base, cloud-droplet activation, cloud microphysical and dynamical response, and finally a measurable change in reflected sunlight. The program is built to test each link rather than assume that successful aerosol production implies successful cloud brightening.</w:t>
      </w:r>
    </w:p>
    <w:p w14:paraId="0790D47B" w14:textId="77777777" w:rsidR="003323F8" w:rsidRDefault="00000000">
      <w:pPr>
        <w:spacing w:before="280" w:after="280"/>
      </w:pPr>
      <w:r>
        <w:rPr>
          <w:b/>
          <w:bCs/>
          <w:color w:val="4F81BD" w:themeColor="accent1"/>
        </w:rPr>
        <w:t>Research architecture.</w:t>
      </w:r>
      <w:r>
        <w:rPr>
          <w:b/>
          <w:bCs/>
        </w:rPr>
        <w:t xml:space="preserve"> </w:t>
      </w:r>
      <w:r>
        <w:t>The portfolio combines baseline marine-cloud and aerosol observations, sea-salt source engineering, shore-based and moving-vessel plume experiments, small cloud-response experiments, replicated multi-platform campaigns, natural ship-track studies, deposition and ecological monitoring, cloud-resolving and global modeling, and shared aircraft, vessel, drone, radar, lidar, and radiometric capabilities. Controlled field work is divided into two linked experiment families: source-and-plume studies establish whether a known, useful particle population can be produced, tracked, and delivered to cloud base; cloud-response studies test whether that delivered perturbation changes droplet number, liquid-water path, drizzle, cloud organization, and shortwave reflection as predicted. The proposed allocation puts slightly more controlled-field effort into the latter because causal cloud-response closure is more demanding and expensive.</w:t>
      </w:r>
    </w:p>
    <w:p w14:paraId="5A3432F9" w14:textId="77777777" w:rsidR="003323F8" w:rsidRDefault="00000000">
      <w:pPr>
        <w:spacing w:before="280" w:after="280"/>
      </w:pPr>
      <w:r>
        <w:rPr>
          <w:b/>
          <w:bCs/>
          <w:color w:val="4F81BD" w:themeColor="accent1"/>
        </w:rPr>
        <w:t>Program sequence and safeguards.</w:t>
      </w:r>
      <w:r>
        <w:t xml:space="preserve"> Early years emphasize governance, baseline measurements, generator characterization, modeling, and lower-risk plume studies. Later years increase replicated cloud-response campaigns only after source performance, instrumentation, forecasting, environmental review, and independent readiness criteria are satisfied. Releases remain bounded and are not intended to cause a detectable regional climate or ocean-temperature change. An independent release and safety function is separated from the </w:t>
      </w:r>
      <w:proofErr w:type="gramStart"/>
      <w:r>
        <w:t>teams</w:t>
      </w:r>
      <w:proofErr w:type="gramEnd"/>
      <w:r>
        <w:t xml:space="preserve"> conducting experiments, while the Managing Organization controls procurement, finance, data delivery, and contractor performance. </w:t>
      </w:r>
    </w:p>
    <w:p w14:paraId="1F944E74" w14:textId="77777777" w:rsidR="003323F8" w:rsidRDefault="00000000">
      <w:pPr>
        <w:spacing w:before="280" w:after="280"/>
      </w:pPr>
      <w:r>
        <w:rPr>
          <w:b/>
          <w:bCs/>
          <w:color w:val="4F81BD" w:themeColor="accent1"/>
        </w:rPr>
        <w:t>Success criterion.</w:t>
      </w:r>
      <w:r>
        <w:t xml:space="preserve"> At the end of five years, success would mean reliable public knowledge rather than a predetermined conclusion that MCB should proceed. The initiative should know which particle sizes and source designs work, what fraction of emitted particles reaches cloud base, under which cloud regimes treatment produces a repeatable response, whether measured radiation changes close against aerosol and cloud observations, how well models reproduce the experiments, what deposition or ecological signals require attention, and where uncertainty remains too large for scale-up. Data, code, generator settings, calibration records, negative results, and technical documentation are open by default for independent reproduction and review.</w:t>
      </w:r>
    </w:p>
    <w:p w14:paraId="688F76D1" w14:textId="62CE13CE" w:rsidR="00AB0360" w:rsidRDefault="00AB0360">
      <w:pPr>
        <w:spacing w:before="280" w:after="280"/>
      </w:pPr>
      <w:r>
        <w:rPr>
          <w:b/>
          <w:bCs/>
          <w:color w:val="4F81BD" w:themeColor="accent1"/>
        </w:rPr>
        <w:lastRenderedPageBreak/>
        <w:t>Climate Moonshot Portfolio</w:t>
      </w:r>
      <w:r w:rsidRPr="00C3075A">
        <w:rPr>
          <w:b/>
          <w:bCs/>
          <w:color w:val="4F81BD" w:themeColor="accent1"/>
        </w:rPr>
        <w:t>.</w:t>
      </w:r>
      <w:r>
        <w:rPr>
          <w:b/>
          <w:bCs/>
          <w:color w:val="4F81BD" w:themeColor="accent1"/>
        </w:rPr>
        <w:t xml:space="preserve"> </w:t>
      </w:r>
      <w:r>
        <w:t>We define “Climate Moonshot” as conducting R&amp;D to the extent required to solve the climate problem.</w:t>
      </w:r>
      <w:r w:rsidRPr="005A216A">
        <w:t xml:space="preserve"> </w:t>
      </w:r>
      <w:r>
        <w:t>This would require</w:t>
      </w:r>
      <w:r w:rsidRPr="0024063D">
        <w:t xml:space="preserve"> a portfolio of R&amp;D initiatives</w:t>
      </w:r>
      <w:r>
        <w:t xml:space="preserve">, an example of which is at </w:t>
      </w:r>
      <w:hyperlink r:id="rId13" w:history="1">
        <w:r w:rsidRPr="00BD3531">
          <w:rPr>
            <w:rStyle w:val="bhyperlinkChar"/>
          </w:rPr>
          <w:t>www.APlanToSaveThePlanet.org</w:t>
        </w:r>
      </w:hyperlink>
      <w:r>
        <w:t xml:space="preserve">. The document you are reading is one initiative within that portfolio. It uses a </w:t>
      </w:r>
      <w:hyperlink r:id="rId14" w:anchor="framework" w:history="1">
        <w:r>
          <w:rPr>
            <w:rStyle w:val="bhyperlinkChar"/>
          </w:rPr>
          <w:t>C</w:t>
        </w:r>
        <w:r w:rsidRPr="00350320">
          <w:rPr>
            <w:rStyle w:val="bhyperlinkChar"/>
          </w:rPr>
          <w:t xml:space="preserve">ommon </w:t>
        </w:r>
        <w:r>
          <w:rPr>
            <w:rStyle w:val="bhyperlinkChar"/>
          </w:rPr>
          <w:t>F</w:t>
        </w:r>
        <w:r w:rsidRPr="00350320">
          <w:rPr>
            <w:rStyle w:val="bhyperlinkChar"/>
          </w:rPr>
          <w:t>ramework</w:t>
        </w:r>
      </w:hyperlink>
      <w:r>
        <w:t xml:space="preserve"> that </w:t>
      </w:r>
      <w:r w:rsidRPr="00444E9C">
        <w:t xml:space="preserve">establishes shared rules for governance, procurement, </w:t>
      </w:r>
      <w:r>
        <w:t>d</w:t>
      </w:r>
      <w:r w:rsidRPr="00444E9C">
        <w:t>ata rights, independent review, and oversight.</w:t>
      </w:r>
      <w:r>
        <w:t xml:space="preserve"> All documents within this portfolio are </w:t>
      </w:r>
      <w:hyperlink r:id="rId15" w:history="1">
        <w:r w:rsidRPr="002E0559">
          <w:rPr>
            <w:rStyle w:val="bhyperlinkChar"/>
          </w:rPr>
          <w:t>open-source</w:t>
        </w:r>
      </w:hyperlink>
      <w:r>
        <w:t xml:space="preserve"> and may be freely viewed, used, and modified.</w:t>
      </w:r>
    </w:p>
    <w:p w14:paraId="5F51D144" w14:textId="3C3C9173" w:rsidR="003323F8" w:rsidRDefault="00000000" w:rsidP="00D549EE">
      <w:pPr>
        <w:pStyle w:val="Heading1"/>
        <w:spacing w:before="280" w:after="280"/>
      </w:pPr>
      <w:bookmarkStart w:id="2" w:name="_Toc238204647"/>
      <w:r>
        <w:lastRenderedPageBreak/>
        <w:t>Program at a Glance</w:t>
      </w:r>
      <w:bookmarkEnd w:id="2"/>
    </w:p>
    <w:p w14:paraId="60D6161C" w14:textId="77777777" w:rsidR="003323F8" w:rsidRDefault="00000000">
      <w:pPr>
        <w:spacing w:before="280" w:after="280"/>
      </w:pPr>
      <w:r>
        <w:t>The program is designed to answer a bounded research question: can MCB be produced, measured, predicted, independently verified, governed, and stopped well enough to justify any later research? It is not an authorization for regional or global climate control.</w:t>
      </w:r>
    </w:p>
    <w:tbl>
      <w:tblPr>
        <w:tblStyle w:val="gswTableStyle"/>
        <w:tblW w:w="9810" w:type="dxa"/>
        <w:tblLayout w:type="fixed"/>
        <w:tblLook w:val="04A0" w:firstRow="1" w:lastRow="0" w:firstColumn="1" w:lastColumn="0" w:noHBand="0" w:noVBand="1"/>
      </w:tblPr>
      <w:tblGrid>
        <w:gridCol w:w="2610"/>
        <w:gridCol w:w="7200"/>
      </w:tblGrid>
      <w:tr w:rsidR="003323F8" w:rsidRPr="00B71F6B" w14:paraId="30F07C0C" w14:textId="77777777" w:rsidTr="00B71F6B">
        <w:trPr>
          <w:cnfStyle w:val="100000000000" w:firstRow="1" w:lastRow="0" w:firstColumn="0" w:lastColumn="0" w:oddVBand="0" w:evenVBand="0" w:oddHBand="0" w:evenHBand="0" w:firstRowFirstColumn="0" w:firstRowLastColumn="0" w:lastRowFirstColumn="0" w:lastRowLastColumn="0"/>
        </w:trPr>
        <w:tc>
          <w:tcPr>
            <w:tcW w:w="2610" w:type="dxa"/>
          </w:tcPr>
          <w:p w14:paraId="101B2C68" w14:textId="77777777" w:rsidR="003323F8" w:rsidRPr="00B71F6B" w:rsidRDefault="00000000" w:rsidP="00B71F6B">
            <w:pPr>
              <w:pStyle w:val="cTableHeader"/>
            </w:pPr>
            <w:r w:rsidRPr="00B71F6B">
              <w:t>Item</w:t>
            </w:r>
          </w:p>
        </w:tc>
        <w:tc>
          <w:tcPr>
            <w:tcW w:w="7200" w:type="dxa"/>
          </w:tcPr>
          <w:p w14:paraId="7D834B66" w14:textId="77777777" w:rsidR="003323F8" w:rsidRPr="00B71F6B" w:rsidRDefault="00000000" w:rsidP="00B71F6B">
            <w:pPr>
              <w:pStyle w:val="cTableHeader"/>
            </w:pPr>
            <w:r w:rsidRPr="00B71F6B">
              <w:t>Program design</w:t>
            </w:r>
          </w:p>
        </w:tc>
      </w:tr>
      <w:tr w:rsidR="003323F8" w14:paraId="022263D8" w14:textId="77777777" w:rsidTr="00B71F6B">
        <w:tc>
          <w:tcPr>
            <w:tcW w:w="2610" w:type="dxa"/>
          </w:tcPr>
          <w:p w14:paraId="14D392BB" w14:textId="77777777" w:rsidR="003323F8" w:rsidRDefault="00000000" w:rsidP="00B71F6B">
            <w:pPr>
              <w:pStyle w:val="cTableBody"/>
            </w:pPr>
            <w:r>
              <w:t>Total funding and duration</w:t>
            </w:r>
          </w:p>
        </w:tc>
        <w:tc>
          <w:tcPr>
            <w:tcW w:w="7200" w:type="dxa"/>
          </w:tcPr>
          <w:p w14:paraId="13B0D685" w14:textId="77777777" w:rsidR="003323F8" w:rsidRDefault="00000000" w:rsidP="00B71F6B">
            <w:pPr>
              <w:pStyle w:val="cTableBody"/>
            </w:pPr>
            <w:r>
              <w:t>$1.0 billion over five years.</w:t>
            </w:r>
          </w:p>
        </w:tc>
      </w:tr>
      <w:tr w:rsidR="003323F8" w14:paraId="6619B484" w14:textId="77777777" w:rsidTr="00B71F6B">
        <w:tc>
          <w:tcPr>
            <w:tcW w:w="2610" w:type="dxa"/>
          </w:tcPr>
          <w:p w14:paraId="7C5CF96E" w14:textId="77777777" w:rsidR="003323F8" w:rsidRDefault="00000000" w:rsidP="00B71F6B">
            <w:pPr>
              <w:pStyle w:val="cTableBody"/>
            </w:pPr>
            <w:r>
              <w:t>Scientific chain</w:t>
            </w:r>
          </w:p>
        </w:tc>
        <w:tc>
          <w:tcPr>
            <w:tcW w:w="7200" w:type="dxa"/>
          </w:tcPr>
          <w:p w14:paraId="15D9F85D" w14:textId="77777777" w:rsidR="003323F8" w:rsidRDefault="00000000" w:rsidP="00B71F6B">
            <w:pPr>
              <w:pStyle w:val="cTableBody"/>
            </w:pPr>
            <w:r>
              <w:t>Source output -&gt; plume evolution -&gt; cloud-base delivery -&gt; droplet activation -&gt; cloud microphysics/dynamics -&gt; reflected sunlight.</w:t>
            </w:r>
          </w:p>
        </w:tc>
      </w:tr>
      <w:tr w:rsidR="003323F8" w14:paraId="425F09AA" w14:textId="77777777" w:rsidTr="00B71F6B">
        <w:tc>
          <w:tcPr>
            <w:tcW w:w="2610" w:type="dxa"/>
          </w:tcPr>
          <w:p w14:paraId="032F16A8" w14:textId="77777777" w:rsidR="003323F8" w:rsidRDefault="00000000" w:rsidP="00B71F6B">
            <w:pPr>
              <w:pStyle w:val="cTableBody"/>
            </w:pPr>
            <w:r>
              <w:t>Controlled field program</w:t>
            </w:r>
          </w:p>
        </w:tc>
        <w:tc>
          <w:tcPr>
            <w:tcW w:w="7200" w:type="dxa"/>
          </w:tcPr>
          <w:p w14:paraId="4084D152" w14:textId="77777777" w:rsidR="003323F8" w:rsidRDefault="00000000" w:rsidP="00B71F6B">
            <w:pPr>
              <w:pStyle w:val="cTableBody"/>
            </w:pPr>
            <w:r>
              <w:t>About 10 full source-and-plume campaigns and about 6 full cloud-response campaigns, plus lower-cost repetitions, test days, and sub</w:t>
            </w:r>
            <w:r w:rsidR="00B71F6B">
              <w:t>-</w:t>
            </w:r>
            <w:r>
              <w:t>campaigns.</w:t>
            </w:r>
          </w:p>
        </w:tc>
      </w:tr>
      <w:tr w:rsidR="003323F8" w14:paraId="33713052" w14:textId="77777777" w:rsidTr="00B71F6B">
        <w:tc>
          <w:tcPr>
            <w:tcW w:w="2610" w:type="dxa"/>
          </w:tcPr>
          <w:p w14:paraId="53028531" w14:textId="77777777" w:rsidR="003323F8" w:rsidRDefault="00000000" w:rsidP="00B71F6B">
            <w:pPr>
              <w:pStyle w:val="cTableBody"/>
            </w:pPr>
            <w:r>
              <w:t>Controlled field funding</w:t>
            </w:r>
          </w:p>
        </w:tc>
        <w:tc>
          <w:tcPr>
            <w:tcW w:w="7200" w:type="dxa"/>
          </w:tcPr>
          <w:p w14:paraId="22BC78C0" w14:textId="77777777" w:rsidR="00603BBF" w:rsidRDefault="00000000">
            <w:pPr>
              <w:pStyle w:val="cTableBody"/>
            </w:pPr>
            <w:r>
              <w:t>$220M source-and-plume; $300M cloud-response.</w:t>
            </w:r>
          </w:p>
        </w:tc>
      </w:tr>
      <w:tr w:rsidR="003323F8" w14:paraId="705BE5E1" w14:textId="77777777" w:rsidTr="00B71F6B">
        <w:tc>
          <w:tcPr>
            <w:tcW w:w="2610" w:type="dxa"/>
          </w:tcPr>
          <w:p w14:paraId="18579A13" w14:textId="77777777" w:rsidR="003323F8" w:rsidRDefault="00000000" w:rsidP="00B71F6B">
            <w:pPr>
              <w:pStyle w:val="cTableBody"/>
            </w:pPr>
            <w:r>
              <w:t>Other program funding</w:t>
            </w:r>
          </w:p>
        </w:tc>
        <w:tc>
          <w:tcPr>
            <w:tcW w:w="7200" w:type="dxa"/>
          </w:tcPr>
          <w:p w14:paraId="73BE8E09" w14:textId="77777777" w:rsidR="00603BBF" w:rsidRDefault="00000000">
            <w:pPr>
              <w:pStyle w:val="cTableBody"/>
            </w:pPr>
            <w:r>
              <w:t>$480M for baseline observations, campaign-source qualification and laboratory aerosol science, natural analogues, ecology/environmental measurement, modeling, shared observing capability, governance/international participation, and the central replication/rapid-response reserve.</w:t>
            </w:r>
          </w:p>
        </w:tc>
      </w:tr>
      <w:tr w:rsidR="003323F8" w14:paraId="2FEBA0C6" w14:textId="77777777" w:rsidTr="00B71F6B">
        <w:tc>
          <w:tcPr>
            <w:tcW w:w="2610" w:type="dxa"/>
          </w:tcPr>
          <w:p w14:paraId="108ED743" w14:textId="77777777" w:rsidR="003323F8" w:rsidRDefault="00000000" w:rsidP="00B71F6B">
            <w:pPr>
              <w:pStyle w:val="cTableBody"/>
            </w:pPr>
            <w:r>
              <w:t>Stage gates</w:t>
            </w:r>
          </w:p>
        </w:tc>
        <w:tc>
          <w:tcPr>
            <w:tcW w:w="7200" w:type="dxa"/>
          </w:tcPr>
          <w:p w14:paraId="52E4D5D1" w14:textId="77777777" w:rsidR="00603BBF" w:rsidRDefault="00000000">
            <w:pPr>
              <w:pStyle w:val="cTableBody"/>
            </w:pPr>
            <w:r>
              <w:t>G0 observability/value of information -&gt; G1 source readiness -&gt; G2 plume delivery -&gt; G3 cloud response -&gt; G4 radiative closure -&gt; G5 independent replication -&gt; G6 model performance -&gt; G7 five-year decision readiness. A separate Release Authorization (RA) overlay applies before every outdoor release and every scale increase.</w:t>
            </w:r>
          </w:p>
        </w:tc>
      </w:tr>
      <w:tr w:rsidR="003323F8" w14:paraId="71E3C190" w14:textId="77777777" w:rsidTr="00B71F6B">
        <w:tc>
          <w:tcPr>
            <w:tcW w:w="2610" w:type="dxa"/>
          </w:tcPr>
          <w:p w14:paraId="7D838A57" w14:textId="77777777" w:rsidR="003323F8" w:rsidRDefault="00000000" w:rsidP="00B71F6B">
            <w:pPr>
              <w:pStyle w:val="cTableBody"/>
            </w:pPr>
            <w:r>
              <w:t>Evidence standard</w:t>
            </w:r>
          </w:p>
        </w:tc>
        <w:tc>
          <w:tcPr>
            <w:tcW w:w="7200" w:type="dxa"/>
          </w:tcPr>
          <w:p w14:paraId="3A5F3792" w14:textId="77777777" w:rsidR="003323F8" w:rsidRDefault="00000000" w:rsidP="00B71F6B">
            <w:pPr>
              <w:pStyle w:val="cTableBody"/>
            </w:pPr>
            <w:r>
              <w:t>Preregistered hypotheses; treated/control comparisons; uncertainty budgets; independent review; publication of null and negative results.</w:t>
            </w:r>
          </w:p>
        </w:tc>
      </w:tr>
      <w:tr w:rsidR="003323F8" w14:paraId="6CB1305D" w14:textId="77777777" w:rsidTr="00B71F6B">
        <w:tc>
          <w:tcPr>
            <w:tcW w:w="2610" w:type="dxa"/>
          </w:tcPr>
          <w:p w14:paraId="4985B63C" w14:textId="77777777" w:rsidR="003323F8" w:rsidRDefault="00000000" w:rsidP="00B71F6B">
            <w:pPr>
              <w:pStyle w:val="cTableBody"/>
            </w:pPr>
            <w:r>
              <w:t>Open science</w:t>
            </w:r>
          </w:p>
        </w:tc>
        <w:tc>
          <w:tcPr>
            <w:tcW w:w="7200" w:type="dxa"/>
          </w:tcPr>
          <w:p w14:paraId="29ACFEA1" w14:textId="77777777" w:rsidR="003323F8" w:rsidRDefault="00000000" w:rsidP="00B71F6B">
            <w:pPr>
              <w:pStyle w:val="cTableBody"/>
            </w:pPr>
            <w:r>
              <w:t>Data, code, generator settings, calibration records, technical documentation, and funded foreground designs are open by default.</w:t>
            </w:r>
          </w:p>
        </w:tc>
      </w:tr>
      <w:tr w:rsidR="003323F8" w14:paraId="26A541ED" w14:textId="77777777" w:rsidTr="00B71F6B">
        <w:tc>
          <w:tcPr>
            <w:tcW w:w="2610" w:type="dxa"/>
          </w:tcPr>
          <w:p w14:paraId="649963BB" w14:textId="77777777" w:rsidR="003323F8" w:rsidRDefault="00000000" w:rsidP="00B71F6B">
            <w:pPr>
              <w:pStyle w:val="cTableBody"/>
            </w:pPr>
            <w:r>
              <w:t>End product</w:t>
            </w:r>
          </w:p>
        </w:tc>
        <w:tc>
          <w:tcPr>
            <w:tcW w:w="7200" w:type="dxa"/>
          </w:tcPr>
          <w:p w14:paraId="6B93F830" w14:textId="77777777" w:rsidR="00603BBF" w:rsidRDefault="00000000">
            <w:pPr>
              <w:pStyle w:val="cTableBody"/>
            </w:pPr>
            <w:r>
              <w:t>Reliable public evidence for proceed / redirect / pause / stop decisions by workstream, plus a clear statement of remaining uncertainty. Completion does not authorize deployment.</w:t>
            </w:r>
          </w:p>
        </w:tc>
      </w:tr>
    </w:tbl>
    <w:p w14:paraId="476786EB" w14:textId="1EFE8B3C" w:rsidR="00603BBF" w:rsidRDefault="00000000" w:rsidP="00D549EE">
      <w:pPr>
        <w:pStyle w:val="Heading1"/>
      </w:pPr>
      <w:bookmarkStart w:id="3" w:name="_Toc238204648"/>
      <w:r>
        <w:lastRenderedPageBreak/>
        <w:t>Scientific Causal Chain and Measurement Architecture</w:t>
      </w:r>
      <w:bookmarkEnd w:id="3"/>
    </w:p>
    <w:p w14:paraId="69AFC2A8" w14:textId="77777777" w:rsidR="00603BBF" w:rsidRDefault="00000000">
      <w:r>
        <w:t>The program should be managed around one quantitative causal chain. Each link must have a prospectively defined measurement, uncertainty budget, control design, and decision consequence. A successful aerosol source is not sufficient unless the program can trace the perturbation through cloud-base delivery, activation, cloud response, and reflected sunlight.</w:t>
      </w:r>
    </w:p>
    <w:tbl>
      <w:tblPr>
        <w:tblStyle w:val="gswTableStyle"/>
        <w:tblW w:w="0" w:type="auto"/>
        <w:tblLayout w:type="fixed"/>
        <w:tblLook w:val="04A0" w:firstRow="1" w:lastRow="0" w:firstColumn="1" w:lastColumn="0" w:noHBand="0" w:noVBand="1"/>
      </w:tblPr>
      <w:tblGrid>
        <w:gridCol w:w="1656"/>
        <w:gridCol w:w="3456"/>
        <w:gridCol w:w="3816"/>
        <w:gridCol w:w="1440"/>
      </w:tblGrid>
      <w:tr w:rsidR="00603BBF" w14:paraId="748FA7C4" w14:textId="77777777" w:rsidTr="00603BBF">
        <w:trPr>
          <w:cnfStyle w:val="100000000000" w:firstRow="1" w:lastRow="0" w:firstColumn="0" w:lastColumn="0" w:oddVBand="0" w:evenVBand="0" w:oddHBand="0" w:evenHBand="0" w:firstRowFirstColumn="0" w:firstRowLastColumn="0" w:lastRowFirstColumn="0" w:lastRowLastColumn="0"/>
        </w:trPr>
        <w:tc>
          <w:tcPr>
            <w:tcW w:w="1656" w:type="dxa"/>
          </w:tcPr>
          <w:p w14:paraId="16CB8658" w14:textId="77777777" w:rsidR="00603BBF" w:rsidRDefault="00000000">
            <w:pPr>
              <w:pStyle w:val="cTableHeader"/>
            </w:pPr>
            <w:r>
              <w:t>Chain element</w:t>
            </w:r>
          </w:p>
        </w:tc>
        <w:tc>
          <w:tcPr>
            <w:tcW w:w="3456" w:type="dxa"/>
          </w:tcPr>
          <w:p w14:paraId="18ED933F" w14:textId="77777777" w:rsidR="00603BBF" w:rsidRDefault="00000000">
            <w:pPr>
              <w:pStyle w:val="cTableHeader"/>
            </w:pPr>
            <w:r>
              <w:t>What must be known</w:t>
            </w:r>
          </w:p>
        </w:tc>
        <w:tc>
          <w:tcPr>
            <w:tcW w:w="3816" w:type="dxa"/>
          </w:tcPr>
          <w:p w14:paraId="6D3690FB" w14:textId="77777777" w:rsidR="00603BBF" w:rsidRDefault="00000000">
            <w:pPr>
              <w:pStyle w:val="cTableHeader"/>
            </w:pPr>
            <w:r>
              <w:t>Primary evidence</w:t>
            </w:r>
          </w:p>
        </w:tc>
        <w:tc>
          <w:tcPr>
            <w:tcW w:w="1440" w:type="dxa"/>
          </w:tcPr>
          <w:p w14:paraId="6164D6C1" w14:textId="77777777" w:rsidR="00603BBF" w:rsidRDefault="00000000">
            <w:pPr>
              <w:pStyle w:val="cTableHeader"/>
            </w:pPr>
            <w:r>
              <w:t>Experiment / gate</w:t>
            </w:r>
          </w:p>
        </w:tc>
      </w:tr>
      <w:tr w:rsidR="00603BBF" w14:paraId="7DEEFAE9" w14:textId="77777777" w:rsidTr="00603BBF">
        <w:tc>
          <w:tcPr>
            <w:tcW w:w="1656" w:type="dxa"/>
          </w:tcPr>
          <w:p w14:paraId="4623FB7F" w14:textId="77777777" w:rsidR="00603BBF" w:rsidRDefault="00000000">
            <w:pPr>
              <w:pStyle w:val="cTableBody"/>
            </w:pPr>
            <w:r>
              <w:t>Source</w:t>
            </w:r>
          </w:p>
        </w:tc>
        <w:tc>
          <w:tcPr>
            <w:tcW w:w="3456" w:type="dxa"/>
          </w:tcPr>
          <w:p w14:paraId="6D740330" w14:textId="77777777" w:rsidR="00603BBF" w:rsidRDefault="00000000">
            <w:pPr>
              <w:pStyle w:val="cTableBody"/>
            </w:pPr>
            <w:r>
              <w:t>Particle number, dry size distribution, composition, output stability and uncertainty.</w:t>
            </w:r>
          </w:p>
        </w:tc>
        <w:tc>
          <w:tcPr>
            <w:tcW w:w="3816" w:type="dxa"/>
          </w:tcPr>
          <w:p w14:paraId="16AB304A" w14:textId="77777777" w:rsidR="00603BBF" w:rsidRDefault="00000000">
            <w:pPr>
              <w:pStyle w:val="cTableBody"/>
            </w:pPr>
            <w:r>
              <w:t>Independent source metrology and calibration.</w:t>
            </w:r>
          </w:p>
        </w:tc>
        <w:tc>
          <w:tcPr>
            <w:tcW w:w="1440" w:type="dxa"/>
          </w:tcPr>
          <w:p w14:paraId="4068576E" w14:textId="77777777" w:rsidR="00603BBF" w:rsidRDefault="00000000">
            <w:pPr>
              <w:pStyle w:val="cTableBody"/>
            </w:pPr>
            <w:r>
              <w:t>E2 / G1</w:t>
            </w:r>
          </w:p>
        </w:tc>
      </w:tr>
      <w:tr w:rsidR="00603BBF" w14:paraId="55F7075C" w14:textId="77777777" w:rsidTr="00603BBF">
        <w:tc>
          <w:tcPr>
            <w:tcW w:w="1656" w:type="dxa"/>
          </w:tcPr>
          <w:p w14:paraId="541CC8AF" w14:textId="77777777" w:rsidR="00603BBF" w:rsidRDefault="00000000">
            <w:pPr>
              <w:pStyle w:val="cTableBody"/>
            </w:pPr>
            <w:r>
              <w:t>Near-source plume</w:t>
            </w:r>
          </w:p>
        </w:tc>
        <w:tc>
          <w:tcPr>
            <w:tcW w:w="3456" w:type="dxa"/>
          </w:tcPr>
          <w:p w14:paraId="6F4BCE25" w14:textId="77777777" w:rsidR="00603BBF" w:rsidRDefault="00000000">
            <w:pPr>
              <w:pStyle w:val="cTableBody"/>
            </w:pPr>
            <w:r>
              <w:t>Evaporation, crystallization, coagulation, dilution, lofting and deposition.</w:t>
            </w:r>
          </w:p>
        </w:tc>
        <w:tc>
          <w:tcPr>
            <w:tcW w:w="3816" w:type="dxa"/>
          </w:tcPr>
          <w:p w14:paraId="4A3042D9" w14:textId="77777777" w:rsidR="00603BBF" w:rsidRDefault="00000000">
            <w:pPr>
              <w:pStyle w:val="cTableBody"/>
            </w:pPr>
            <w:r>
              <w:t>Aerosol transects, turbulence, lidar and trajectory reconstruction.</w:t>
            </w:r>
          </w:p>
        </w:tc>
        <w:tc>
          <w:tcPr>
            <w:tcW w:w="1440" w:type="dxa"/>
          </w:tcPr>
          <w:p w14:paraId="38815DC4" w14:textId="77777777" w:rsidR="00603BBF" w:rsidRDefault="00000000">
            <w:pPr>
              <w:pStyle w:val="cTableBody"/>
            </w:pPr>
            <w:r>
              <w:t>E3 / G2</w:t>
            </w:r>
          </w:p>
        </w:tc>
      </w:tr>
      <w:tr w:rsidR="00603BBF" w14:paraId="1D1889B1" w14:textId="77777777" w:rsidTr="00603BBF">
        <w:tc>
          <w:tcPr>
            <w:tcW w:w="1656" w:type="dxa"/>
          </w:tcPr>
          <w:p w14:paraId="00E2487D" w14:textId="77777777" w:rsidR="00603BBF" w:rsidRDefault="00000000">
            <w:pPr>
              <w:pStyle w:val="cTableBody"/>
            </w:pPr>
            <w:r>
              <w:t>Cloud-base delivery</w:t>
            </w:r>
          </w:p>
        </w:tc>
        <w:tc>
          <w:tcPr>
            <w:tcW w:w="3456" w:type="dxa"/>
          </w:tcPr>
          <w:p w14:paraId="0403A4C0" w14:textId="77777777" w:rsidR="00603BBF" w:rsidRDefault="00000000">
            <w:pPr>
              <w:pStyle w:val="cTableBody"/>
            </w:pPr>
            <w:r>
              <w:t>Fraction of emitted useful particles that survives and reaches cloud-base height.</w:t>
            </w:r>
          </w:p>
        </w:tc>
        <w:tc>
          <w:tcPr>
            <w:tcW w:w="3816" w:type="dxa"/>
          </w:tcPr>
          <w:p w14:paraId="1AD41C37" w14:textId="77777777" w:rsidR="00603BBF" w:rsidRDefault="00000000">
            <w:pPr>
              <w:pStyle w:val="cTableBody"/>
            </w:pPr>
            <w:r>
              <w:t>Aircraft/UAS aerosol and CCN profiles with source inversion.</w:t>
            </w:r>
          </w:p>
        </w:tc>
        <w:tc>
          <w:tcPr>
            <w:tcW w:w="1440" w:type="dxa"/>
          </w:tcPr>
          <w:p w14:paraId="564B2D5F" w14:textId="77777777" w:rsidR="00603BBF" w:rsidRDefault="00000000">
            <w:pPr>
              <w:pStyle w:val="cTableBody"/>
            </w:pPr>
            <w:r>
              <w:t>E4 / G2</w:t>
            </w:r>
          </w:p>
        </w:tc>
      </w:tr>
      <w:tr w:rsidR="00603BBF" w14:paraId="33AC2C71" w14:textId="77777777" w:rsidTr="00603BBF">
        <w:tc>
          <w:tcPr>
            <w:tcW w:w="1656" w:type="dxa"/>
          </w:tcPr>
          <w:p w14:paraId="516703F2" w14:textId="77777777" w:rsidR="00603BBF" w:rsidRDefault="00000000">
            <w:pPr>
              <w:pStyle w:val="cTableBody"/>
            </w:pPr>
            <w:r>
              <w:t>Activation</w:t>
            </w:r>
          </w:p>
        </w:tc>
        <w:tc>
          <w:tcPr>
            <w:tcW w:w="3456" w:type="dxa"/>
          </w:tcPr>
          <w:p w14:paraId="780F410A" w14:textId="77777777" w:rsidR="00603BBF" w:rsidRDefault="00000000">
            <w:pPr>
              <w:pStyle w:val="cTableBody"/>
            </w:pPr>
            <w:r>
              <w:t>Fraction of delivered particles activating as cloud droplets under measured updrafts.</w:t>
            </w:r>
          </w:p>
        </w:tc>
        <w:tc>
          <w:tcPr>
            <w:tcW w:w="3816" w:type="dxa"/>
          </w:tcPr>
          <w:p w14:paraId="7C3F0C93" w14:textId="77777777" w:rsidR="00603BBF" w:rsidRDefault="00000000">
            <w:pPr>
              <w:pStyle w:val="cTableBody"/>
            </w:pPr>
            <w:r>
              <w:t>CCN spectra plus below-cloud and in-cloud droplet measurements.</w:t>
            </w:r>
          </w:p>
        </w:tc>
        <w:tc>
          <w:tcPr>
            <w:tcW w:w="1440" w:type="dxa"/>
          </w:tcPr>
          <w:p w14:paraId="19D24BA1" w14:textId="77777777" w:rsidR="00603BBF" w:rsidRDefault="00000000">
            <w:pPr>
              <w:pStyle w:val="cTableBody"/>
            </w:pPr>
            <w:r>
              <w:t>E6-E8 / G3</w:t>
            </w:r>
          </w:p>
        </w:tc>
      </w:tr>
      <w:tr w:rsidR="00603BBF" w14:paraId="42902DC1" w14:textId="77777777" w:rsidTr="00603BBF">
        <w:tc>
          <w:tcPr>
            <w:tcW w:w="1656" w:type="dxa"/>
          </w:tcPr>
          <w:p w14:paraId="6F31B36E" w14:textId="77777777" w:rsidR="00603BBF" w:rsidRDefault="00000000">
            <w:pPr>
              <w:pStyle w:val="cTableBody"/>
            </w:pPr>
            <w:r>
              <w:t>Cloud response</w:t>
            </w:r>
          </w:p>
        </w:tc>
        <w:tc>
          <w:tcPr>
            <w:tcW w:w="3456" w:type="dxa"/>
          </w:tcPr>
          <w:p w14:paraId="60BD6EA2" w14:textId="77777777" w:rsidR="00603BBF" w:rsidRDefault="00000000">
            <w:pPr>
              <w:pStyle w:val="cTableBody"/>
            </w:pPr>
            <w:r>
              <w:t>Changes in droplet number/size, liquid water, drizzle, entrainment and cloud organization.</w:t>
            </w:r>
          </w:p>
        </w:tc>
        <w:tc>
          <w:tcPr>
            <w:tcW w:w="3816" w:type="dxa"/>
          </w:tcPr>
          <w:p w14:paraId="5E4A1770" w14:textId="77777777" w:rsidR="00603BBF" w:rsidRDefault="00000000">
            <w:pPr>
              <w:pStyle w:val="cTableBody"/>
            </w:pPr>
            <w:r>
              <w:t>Treated/control in-cloud sampling, radar and lidar.</w:t>
            </w:r>
          </w:p>
        </w:tc>
        <w:tc>
          <w:tcPr>
            <w:tcW w:w="1440" w:type="dxa"/>
          </w:tcPr>
          <w:p w14:paraId="5B7214AE" w14:textId="77777777" w:rsidR="00603BBF" w:rsidRDefault="00000000">
            <w:pPr>
              <w:pStyle w:val="cTableBody"/>
            </w:pPr>
            <w:r>
              <w:t>E6-E8 / G3</w:t>
            </w:r>
          </w:p>
        </w:tc>
      </w:tr>
      <w:tr w:rsidR="00603BBF" w14:paraId="13216A29" w14:textId="77777777" w:rsidTr="00603BBF">
        <w:tc>
          <w:tcPr>
            <w:tcW w:w="1656" w:type="dxa"/>
          </w:tcPr>
          <w:p w14:paraId="30381716" w14:textId="77777777" w:rsidR="00603BBF" w:rsidRDefault="00000000">
            <w:pPr>
              <w:pStyle w:val="cTableBody"/>
            </w:pPr>
            <w:r>
              <w:t>Radiative response</w:t>
            </w:r>
          </w:p>
        </w:tc>
        <w:tc>
          <w:tcPr>
            <w:tcW w:w="3456" w:type="dxa"/>
          </w:tcPr>
          <w:p w14:paraId="72DA75E4" w14:textId="77777777" w:rsidR="00603BBF" w:rsidRDefault="00000000">
            <w:pPr>
              <w:pStyle w:val="cTableBody"/>
            </w:pPr>
            <w:r>
              <w:t>Shortwave reflection attributable to the known perturbation.</w:t>
            </w:r>
          </w:p>
        </w:tc>
        <w:tc>
          <w:tcPr>
            <w:tcW w:w="3816" w:type="dxa"/>
          </w:tcPr>
          <w:p w14:paraId="41E98FEF" w14:textId="77777777" w:rsidR="00603BBF" w:rsidRDefault="00000000">
            <w:pPr>
              <w:pStyle w:val="cTableBody"/>
            </w:pPr>
            <w:r>
              <w:t>Above-cloud, aircraft-level, surface and satellite radiometry with uncertainty closure.</w:t>
            </w:r>
          </w:p>
        </w:tc>
        <w:tc>
          <w:tcPr>
            <w:tcW w:w="1440" w:type="dxa"/>
          </w:tcPr>
          <w:p w14:paraId="38439113" w14:textId="77777777" w:rsidR="00603BBF" w:rsidRDefault="00000000">
            <w:pPr>
              <w:pStyle w:val="cTableBody"/>
            </w:pPr>
            <w:r>
              <w:t>E9 / G4</w:t>
            </w:r>
          </w:p>
        </w:tc>
      </w:tr>
      <w:tr w:rsidR="00603BBF" w14:paraId="363B73E6" w14:textId="77777777" w:rsidTr="00603BBF">
        <w:tc>
          <w:tcPr>
            <w:tcW w:w="1656" w:type="dxa"/>
          </w:tcPr>
          <w:p w14:paraId="03F25BB9" w14:textId="77777777" w:rsidR="00603BBF" w:rsidRDefault="00000000">
            <w:pPr>
              <w:pStyle w:val="cTableBody"/>
            </w:pPr>
            <w:r>
              <w:t>Replication and models</w:t>
            </w:r>
          </w:p>
        </w:tc>
        <w:tc>
          <w:tcPr>
            <w:tcW w:w="3456" w:type="dxa"/>
          </w:tcPr>
          <w:p w14:paraId="03B57DDC" w14:textId="77777777" w:rsidR="00603BBF" w:rsidRDefault="00000000">
            <w:pPr>
              <w:pStyle w:val="cTableBody"/>
            </w:pPr>
            <w:r>
              <w:t>Whether the causal response repeats and whether models predict withheld observations.</w:t>
            </w:r>
          </w:p>
        </w:tc>
        <w:tc>
          <w:tcPr>
            <w:tcW w:w="3816" w:type="dxa"/>
          </w:tcPr>
          <w:p w14:paraId="64AA167E" w14:textId="77777777" w:rsidR="00603BBF" w:rsidRDefault="00000000">
            <w:pPr>
              <w:pStyle w:val="cTableBody"/>
            </w:pPr>
            <w:r>
              <w:t>Independent repeats, blinded/withheld-data model challenges.</w:t>
            </w:r>
          </w:p>
        </w:tc>
        <w:tc>
          <w:tcPr>
            <w:tcW w:w="1440" w:type="dxa"/>
          </w:tcPr>
          <w:p w14:paraId="6C2DDB1A" w14:textId="77777777" w:rsidR="00603BBF" w:rsidRDefault="00000000">
            <w:pPr>
              <w:pStyle w:val="cTableBody"/>
            </w:pPr>
            <w:r>
              <w:t>E8-E12 / G5-G6</w:t>
            </w:r>
          </w:p>
        </w:tc>
      </w:tr>
    </w:tbl>
    <w:p w14:paraId="21DA1759" w14:textId="77777777" w:rsidR="003323F8" w:rsidRDefault="00000000">
      <w:pPr>
        <w:pStyle w:val="Heading1"/>
        <w:spacing w:before="0" w:after="280"/>
      </w:pPr>
      <w:bookmarkStart w:id="4" w:name="_Toc237984386"/>
      <w:bookmarkStart w:id="5" w:name="_Toc237866622"/>
      <w:bookmarkStart w:id="6" w:name="_Toc238204649"/>
      <w:r>
        <w:lastRenderedPageBreak/>
        <w:t>Table of Contents</w:t>
      </w:r>
      <w:bookmarkEnd w:id="4"/>
      <w:bookmarkEnd w:id="5"/>
      <w:bookmarkEnd w:id="6"/>
    </w:p>
    <w:sdt>
      <w:sdtPr>
        <w:id w:val="1261725345"/>
        <w:docPartObj>
          <w:docPartGallery w:val="Table of Contents"/>
          <w:docPartUnique/>
        </w:docPartObj>
      </w:sdtPr>
      <w:sdtEndPr>
        <w:rPr>
          <w:noProof w:val="0"/>
          <w:szCs w:val="22"/>
        </w:rPr>
      </w:sdtEndPr>
      <w:sdtContent>
        <w:p w14:paraId="24346E9A" w14:textId="543A9EEC" w:rsidR="00A4306C" w:rsidRDefault="005F43E2">
          <w:pPr>
            <w:pStyle w:val="TOC1"/>
            <w:rPr>
              <w:rFonts w:asciiTheme="minorHAnsi" w:eastAsiaTheme="minorEastAsia" w:hAnsiTheme="minorHAnsi"/>
              <w:kern w:val="2"/>
              <w:szCs w:val="24"/>
              <w14:ligatures w14:val="standardContextual"/>
            </w:rPr>
          </w:pPr>
          <w:r>
            <w:fldChar w:fldCharType="begin"/>
          </w:r>
          <w:r>
            <w:instrText xml:space="preserve"> TOC \o "1-1" \h \z \u </w:instrText>
          </w:r>
          <w:r>
            <w:fldChar w:fldCharType="separate"/>
          </w:r>
          <w:hyperlink w:anchor="_Toc238204646" w:history="1">
            <w:r w:rsidR="00A4306C" w:rsidRPr="002F4A3D">
              <w:rPr>
                <w:rStyle w:val="Hyperlink"/>
              </w:rPr>
              <w:t>Executive Summary</w:t>
            </w:r>
            <w:r w:rsidR="00A4306C">
              <w:rPr>
                <w:webHidden/>
              </w:rPr>
              <w:tab/>
            </w:r>
            <w:r w:rsidR="00A4306C">
              <w:rPr>
                <w:webHidden/>
              </w:rPr>
              <w:fldChar w:fldCharType="begin"/>
            </w:r>
            <w:r w:rsidR="00A4306C">
              <w:rPr>
                <w:webHidden/>
              </w:rPr>
              <w:instrText xml:space="preserve"> PAGEREF _Toc238204646 \h </w:instrText>
            </w:r>
            <w:r w:rsidR="00A4306C">
              <w:rPr>
                <w:webHidden/>
              </w:rPr>
            </w:r>
            <w:r w:rsidR="00A4306C">
              <w:rPr>
                <w:webHidden/>
              </w:rPr>
              <w:fldChar w:fldCharType="separate"/>
            </w:r>
            <w:r w:rsidR="00E14EDA">
              <w:rPr>
                <w:webHidden/>
              </w:rPr>
              <w:t>2</w:t>
            </w:r>
            <w:r w:rsidR="00A4306C">
              <w:rPr>
                <w:webHidden/>
              </w:rPr>
              <w:fldChar w:fldCharType="end"/>
            </w:r>
          </w:hyperlink>
        </w:p>
        <w:p w14:paraId="0A83C225" w14:textId="6F62D7BA" w:rsidR="00A4306C" w:rsidRDefault="00A4306C">
          <w:pPr>
            <w:pStyle w:val="TOC1"/>
            <w:rPr>
              <w:rFonts w:asciiTheme="minorHAnsi" w:eastAsiaTheme="minorEastAsia" w:hAnsiTheme="minorHAnsi"/>
              <w:kern w:val="2"/>
              <w:szCs w:val="24"/>
              <w14:ligatures w14:val="standardContextual"/>
            </w:rPr>
          </w:pPr>
          <w:hyperlink w:anchor="_Toc238204647" w:history="1">
            <w:r w:rsidRPr="002F4A3D">
              <w:rPr>
                <w:rStyle w:val="Hyperlink"/>
              </w:rPr>
              <w:t>Program at a Glance</w:t>
            </w:r>
            <w:r>
              <w:rPr>
                <w:webHidden/>
              </w:rPr>
              <w:tab/>
            </w:r>
            <w:r>
              <w:rPr>
                <w:webHidden/>
              </w:rPr>
              <w:fldChar w:fldCharType="begin"/>
            </w:r>
            <w:r>
              <w:rPr>
                <w:webHidden/>
              </w:rPr>
              <w:instrText xml:space="preserve"> PAGEREF _Toc238204647 \h </w:instrText>
            </w:r>
            <w:r>
              <w:rPr>
                <w:webHidden/>
              </w:rPr>
            </w:r>
            <w:r>
              <w:rPr>
                <w:webHidden/>
              </w:rPr>
              <w:fldChar w:fldCharType="separate"/>
            </w:r>
            <w:r w:rsidR="00E14EDA">
              <w:rPr>
                <w:webHidden/>
              </w:rPr>
              <w:t>4</w:t>
            </w:r>
            <w:r>
              <w:rPr>
                <w:webHidden/>
              </w:rPr>
              <w:fldChar w:fldCharType="end"/>
            </w:r>
          </w:hyperlink>
        </w:p>
        <w:p w14:paraId="7BBBC1C1" w14:textId="5CF837C4" w:rsidR="00A4306C" w:rsidRDefault="00A4306C">
          <w:pPr>
            <w:pStyle w:val="TOC1"/>
            <w:rPr>
              <w:rFonts w:asciiTheme="minorHAnsi" w:eastAsiaTheme="minorEastAsia" w:hAnsiTheme="minorHAnsi"/>
              <w:kern w:val="2"/>
              <w:szCs w:val="24"/>
              <w14:ligatures w14:val="standardContextual"/>
            </w:rPr>
          </w:pPr>
          <w:hyperlink w:anchor="_Toc238204648" w:history="1">
            <w:r w:rsidRPr="002F4A3D">
              <w:rPr>
                <w:rStyle w:val="Hyperlink"/>
              </w:rPr>
              <w:t>Scientific Causal Chain and Measurement Architecture</w:t>
            </w:r>
            <w:r>
              <w:rPr>
                <w:webHidden/>
              </w:rPr>
              <w:tab/>
            </w:r>
            <w:r>
              <w:rPr>
                <w:webHidden/>
              </w:rPr>
              <w:fldChar w:fldCharType="begin"/>
            </w:r>
            <w:r>
              <w:rPr>
                <w:webHidden/>
              </w:rPr>
              <w:instrText xml:space="preserve"> PAGEREF _Toc238204648 \h </w:instrText>
            </w:r>
            <w:r>
              <w:rPr>
                <w:webHidden/>
              </w:rPr>
            </w:r>
            <w:r>
              <w:rPr>
                <w:webHidden/>
              </w:rPr>
              <w:fldChar w:fldCharType="separate"/>
            </w:r>
            <w:r w:rsidR="00E14EDA">
              <w:rPr>
                <w:webHidden/>
              </w:rPr>
              <w:t>5</w:t>
            </w:r>
            <w:r>
              <w:rPr>
                <w:webHidden/>
              </w:rPr>
              <w:fldChar w:fldCharType="end"/>
            </w:r>
          </w:hyperlink>
        </w:p>
        <w:p w14:paraId="6D0511C8" w14:textId="090E1C81" w:rsidR="00A4306C" w:rsidRDefault="00A4306C">
          <w:pPr>
            <w:pStyle w:val="TOC1"/>
            <w:rPr>
              <w:rFonts w:asciiTheme="minorHAnsi" w:eastAsiaTheme="minorEastAsia" w:hAnsiTheme="minorHAnsi"/>
              <w:kern w:val="2"/>
              <w:szCs w:val="24"/>
              <w14:ligatures w14:val="standardContextual"/>
            </w:rPr>
          </w:pPr>
          <w:hyperlink w:anchor="_Toc238204649" w:history="1">
            <w:r w:rsidRPr="002F4A3D">
              <w:rPr>
                <w:rStyle w:val="Hyperlink"/>
              </w:rPr>
              <w:t>Table of Contents</w:t>
            </w:r>
            <w:r>
              <w:rPr>
                <w:webHidden/>
              </w:rPr>
              <w:tab/>
            </w:r>
            <w:r>
              <w:rPr>
                <w:webHidden/>
              </w:rPr>
              <w:fldChar w:fldCharType="begin"/>
            </w:r>
            <w:r>
              <w:rPr>
                <w:webHidden/>
              </w:rPr>
              <w:instrText xml:space="preserve"> PAGEREF _Toc238204649 \h </w:instrText>
            </w:r>
            <w:r>
              <w:rPr>
                <w:webHidden/>
              </w:rPr>
            </w:r>
            <w:r>
              <w:rPr>
                <w:webHidden/>
              </w:rPr>
              <w:fldChar w:fldCharType="separate"/>
            </w:r>
            <w:r w:rsidR="00E14EDA">
              <w:rPr>
                <w:webHidden/>
              </w:rPr>
              <w:t>6</w:t>
            </w:r>
            <w:r>
              <w:rPr>
                <w:webHidden/>
              </w:rPr>
              <w:fldChar w:fldCharType="end"/>
            </w:r>
          </w:hyperlink>
        </w:p>
        <w:p w14:paraId="76880B7B" w14:textId="223F58AF" w:rsidR="00A4306C" w:rsidRDefault="00A4306C">
          <w:pPr>
            <w:pStyle w:val="TOC1"/>
            <w:rPr>
              <w:rFonts w:asciiTheme="minorHAnsi" w:eastAsiaTheme="minorEastAsia" w:hAnsiTheme="minorHAnsi"/>
              <w:kern w:val="2"/>
              <w:szCs w:val="24"/>
              <w14:ligatures w14:val="standardContextual"/>
            </w:rPr>
          </w:pPr>
          <w:hyperlink w:anchor="_Toc238204650" w:history="1">
            <w:r w:rsidRPr="002F4A3D">
              <w:rPr>
                <w:rStyle w:val="Hyperlink"/>
              </w:rPr>
              <w:t>What is Marine Cloud Brightening (MCB)?</w:t>
            </w:r>
            <w:r>
              <w:rPr>
                <w:webHidden/>
              </w:rPr>
              <w:tab/>
            </w:r>
            <w:r>
              <w:rPr>
                <w:webHidden/>
              </w:rPr>
              <w:fldChar w:fldCharType="begin"/>
            </w:r>
            <w:r>
              <w:rPr>
                <w:webHidden/>
              </w:rPr>
              <w:instrText xml:space="preserve"> PAGEREF _Toc238204650 \h </w:instrText>
            </w:r>
            <w:r>
              <w:rPr>
                <w:webHidden/>
              </w:rPr>
            </w:r>
            <w:r>
              <w:rPr>
                <w:webHidden/>
              </w:rPr>
              <w:fldChar w:fldCharType="separate"/>
            </w:r>
            <w:r w:rsidR="00E14EDA">
              <w:rPr>
                <w:webHidden/>
              </w:rPr>
              <w:t>7</w:t>
            </w:r>
            <w:r>
              <w:rPr>
                <w:webHidden/>
              </w:rPr>
              <w:fldChar w:fldCharType="end"/>
            </w:r>
          </w:hyperlink>
        </w:p>
        <w:p w14:paraId="5C2D6831" w14:textId="12061384" w:rsidR="00A4306C" w:rsidRDefault="00A4306C">
          <w:pPr>
            <w:pStyle w:val="TOC1"/>
            <w:rPr>
              <w:rFonts w:asciiTheme="minorHAnsi" w:eastAsiaTheme="minorEastAsia" w:hAnsiTheme="minorHAnsi"/>
              <w:kern w:val="2"/>
              <w:szCs w:val="24"/>
              <w14:ligatures w14:val="standardContextual"/>
            </w:rPr>
          </w:pPr>
          <w:hyperlink w:anchor="_Toc238204651" w:history="1">
            <w:r w:rsidRPr="002F4A3D">
              <w:rPr>
                <w:rStyle w:val="Hyperlink"/>
              </w:rPr>
              <w:t>Program Architecture and $1 Billion Budget</w:t>
            </w:r>
            <w:r>
              <w:rPr>
                <w:webHidden/>
              </w:rPr>
              <w:tab/>
            </w:r>
            <w:r>
              <w:rPr>
                <w:webHidden/>
              </w:rPr>
              <w:fldChar w:fldCharType="begin"/>
            </w:r>
            <w:r>
              <w:rPr>
                <w:webHidden/>
              </w:rPr>
              <w:instrText xml:space="preserve"> PAGEREF _Toc238204651 \h </w:instrText>
            </w:r>
            <w:r>
              <w:rPr>
                <w:webHidden/>
              </w:rPr>
            </w:r>
            <w:r>
              <w:rPr>
                <w:webHidden/>
              </w:rPr>
              <w:fldChar w:fldCharType="separate"/>
            </w:r>
            <w:r w:rsidR="00E14EDA">
              <w:rPr>
                <w:webHidden/>
              </w:rPr>
              <w:t>8</w:t>
            </w:r>
            <w:r>
              <w:rPr>
                <w:webHidden/>
              </w:rPr>
              <w:fldChar w:fldCharType="end"/>
            </w:r>
          </w:hyperlink>
        </w:p>
        <w:p w14:paraId="5502F90A" w14:textId="1711F1FB" w:rsidR="00A4306C" w:rsidRDefault="00A4306C">
          <w:pPr>
            <w:pStyle w:val="TOC1"/>
            <w:rPr>
              <w:rFonts w:asciiTheme="minorHAnsi" w:eastAsiaTheme="minorEastAsia" w:hAnsiTheme="minorHAnsi"/>
              <w:kern w:val="2"/>
              <w:szCs w:val="24"/>
              <w14:ligatures w14:val="standardContextual"/>
            </w:rPr>
          </w:pPr>
          <w:hyperlink w:anchor="_Toc238204652" w:history="1">
            <w:r w:rsidRPr="002F4A3D">
              <w:rPr>
                <w:rStyle w:val="Hyperlink"/>
              </w:rPr>
              <w:t>Program Crosswalk</w:t>
            </w:r>
            <w:r>
              <w:rPr>
                <w:webHidden/>
              </w:rPr>
              <w:tab/>
            </w:r>
            <w:r>
              <w:rPr>
                <w:webHidden/>
              </w:rPr>
              <w:fldChar w:fldCharType="begin"/>
            </w:r>
            <w:r>
              <w:rPr>
                <w:webHidden/>
              </w:rPr>
              <w:instrText xml:space="preserve"> PAGEREF _Toc238204652 \h </w:instrText>
            </w:r>
            <w:r>
              <w:rPr>
                <w:webHidden/>
              </w:rPr>
            </w:r>
            <w:r>
              <w:rPr>
                <w:webHidden/>
              </w:rPr>
              <w:fldChar w:fldCharType="separate"/>
            </w:r>
            <w:r w:rsidR="00E14EDA">
              <w:rPr>
                <w:webHidden/>
              </w:rPr>
              <w:t>13</w:t>
            </w:r>
            <w:r>
              <w:rPr>
                <w:webHidden/>
              </w:rPr>
              <w:fldChar w:fldCharType="end"/>
            </w:r>
          </w:hyperlink>
        </w:p>
        <w:p w14:paraId="6E18DB48" w14:textId="22A90788" w:rsidR="00A4306C" w:rsidRDefault="00A4306C">
          <w:pPr>
            <w:pStyle w:val="TOC1"/>
            <w:rPr>
              <w:rFonts w:asciiTheme="minorHAnsi" w:eastAsiaTheme="minorEastAsia" w:hAnsiTheme="minorHAnsi"/>
              <w:kern w:val="2"/>
              <w:szCs w:val="24"/>
              <w14:ligatures w14:val="standardContextual"/>
            </w:rPr>
          </w:pPr>
          <w:hyperlink w:anchor="_Toc238204653" w:history="1">
            <w:r w:rsidRPr="002F4A3D">
              <w:rPr>
                <w:rStyle w:val="Hyperlink"/>
              </w:rPr>
              <w:t>Relationship to the MCB Equipment Development Initiative</w:t>
            </w:r>
            <w:r>
              <w:rPr>
                <w:webHidden/>
              </w:rPr>
              <w:tab/>
            </w:r>
            <w:r>
              <w:rPr>
                <w:webHidden/>
              </w:rPr>
              <w:fldChar w:fldCharType="begin"/>
            </w:r>
            <w:r>
              <w:rPr>
                <w:webHidden/>
              </w:rPr>
              <w:instrText xml:space="preserve"> PAGEREF _Toc238204653 \h </w:instrText>
            </w:r>
            <w:r>
              <w:rPr>
                <w:webHidden/>
              </w:rPr>
            </w:r>
            <w:r>
              <w:rPr>
                <w:webHidden/>
              </w:rPr>
              <w:fldChar w:fldCharType="separate"/>
            </w:r>
            <w:r w:rsidR="00E14EDA">
              <w:rPr>
                <w:webHidden/>
              </w:rPr>
              <w:t>16</w:t>
            </w:r>
            <w:r>
              <w:rPr>
                <w:webHidden/>
              </w:rPr>
              <w:fldChar w:fldCharType="end"/>
            </w:r>
          </w:hyperlink>
        </w:p>
        <w:p w14:paraId="4AA15384" w14:textId="18E9F454" w:rsidR="00A4306C" w:rsidRDefault="00A4306C">
          <w:pPr>
            <w:pStyle w:val="TOC1"/>
            <w:rPr>
              <w:rFonts w:asciiTheme="minorHAnsi" w:eastAsiaTheme="minorEastAsia" w:hAnsiTheme="minorHAnsi"/>
              <w:kern w:val="2"/>
              <w:szCs w:val="24"/>
              <w14:ligatures w14:val="standardContextual"/>
            </w:rPr>
          </w:pPr>
          <w:hyperlink w:anchor="_Toc238204654" w:history="1">
            <w:r w:rsidRPr="002F4A3D">
              <w:rPr>
                <w:rStyle w:val="Hyperlink"/>
              </w:rPr>
              <w:t>Scientific Requirements, Traceability, and Acceptance</w:t>
            </w:r>
            <w:r>
              <w:rPr>
                <w:webHidden/>
              </w:rPr>
              <w:tab/>
            </w:r>
            <w:r>
              <w:rPr>
                <w:webHidden/>
              </w:rPr>
              <w:fldChar w:fldCharType="begin"/>
            </w:r>
            <w:r>
              <w:rPr>
                <w:webHidden/>
              </w:rPr>
              <w:instrText xml:space="preserve"> PAGEREF _Toc238204654 \h </w:instrText>
            </w:r>
            <w:r>
              <w:rPr>
                <w:webHidden/>
              </w:rPr>
            </w:r>
            <w:r>
              <w:rPr>
                <w:webHidden/>
              </w:rPr>
              <w:fldChar w:fldCharType="separate"/>
            </w:r>
            <w:r w:rsidR="00E14EDA">
              <w:rPr>
                <w:webHidden/>
              </w:rPr>
              <w:t>18</w:t>
            </w:r>
            <w:r>
              <w:rPr>
                <w:webHidden/>
              </w:rPr>
              <w:fldChar w:fldCharType="end"/>
            </w:r>
          </w:hyperlink>
        </w:p>
        <w:p w14:paraId="2A0DBA42" w14:textId="0AA52896" w:rsidR="00A4306C" w:rsidRDefault="00A4306C">
          <w:pPr>
            <w:pStyle w:val="TOC1"/>
            <w:rPr>
              <w:rFonts w:asciiTheme="minorHAnsi" w:eastAsiaTheme="minorEastAsia" w:hAnsiTheme="minorHAnsi"/>
              <w:kern w:val="2"/>
              <w:szCs w:val="24"/>
              <w14:ligatures w14:val="standardContextual"/>
            </w:rPr>
          </w:pPr>
          <w:hyperlink w:anchor="_Toc238204655" w:history="1">
            <w:r w:rsidRPr="002F4A3D">
              <w:rPr>
                <w:rStyle w:val="Hyperlink"/>
              </w:rPr>
              <w:t>Source-and-Plume vs Cloud-Response Experiments</w:t>
            </w:r>
            <w:r>
              <w:rPr>
                <w:webHidden/>
              </w:rPr>
              <w:tab/>
            </w:r>
            <w:r>
              <w:rPr>
                <w:webHidden/>
              </w:rPr>
              <w:fldChar w:fldCharType="begin"/>
            </w:r>
            <w:r>
              <w:rPr>
                <w:webHidden/>
              </w:rPr>
              <w:instrText xml:space="preserve"> PAGEREF _Toc238204655 \h </w:instrText>
            </w:r>
            <w:r>
              <w:rPr>
                <w:webHidden/>
              </w:rPr>
            </w:r>
            <w:r>
              <w:rPr>
                <w:webHidden/>
              </w:rPr>
              <w:fldChar w:fldCharType="separate"/>
            </w:r>
            <w:r w:rsidR="00E14EDA">
              <w:rPr>
                <w:webHidden/>
              </w:rPr>
              <w:t>19</w:t>
            </w:r>
            <w:r>
              <w:rPr>
                <w:webHidden/>
              </w:rPr>
              <w:fldChar w:fldCharType="end"/>
            </w:r>
          </w:hyperlink>
        </w:p>
        <w:p w14:paraId="6BAF3E81" w14:textId="5054CE5A" w:rsidR="00A4306C" w:rsidRDefault="00A4306C">
          <w:pPr>
            <w:pStyle w:val="TOC1"/>
            <w:rPr>
              <w:rFonts w:asciiTheme="minorHAnsi" w:eastAsiaTheme="minorEastAsia" w:hAnsiTheme="minorHAnsi"/>
              <w:kern w:val="2"/>
              <w:szCs w:val="24"/>
              <w14:ligatures w14:val="standardContextual"/>
            </w:rPr>
          </w:pPr>
          <w:hyperlink w:anchor="_Toc238204656" w:history="1">
            <w:r w:rsidRPr="002F4A3D">
              <w:rPr>
                <w:rStyle w:val="Hyperlink"/>
              </w:rPr>
              <w:t>Detectability, Statistical Power, and Experimental Controls</w:t>
            </w:r>
            <w:r>
              <w:rPr>
                <w:webHidden/>
              </w:rPr>
              <w:tab/>
            </w:r>
            <w:r>
              <w:rPr>
                <w:webHidden/>
              </w:rPr>
              <w:fldChar w:fldCharType="begin"/>
            </w:r>
            <w:r>
              <w:rPr>
                <w:webHidden/>
              </w:rPr>
              <w:instrText xml:space="preserve"> PAGEREF _Toc238204656 \h </w:instrText>
            </w:r>
            <w:r>
              <w:rPr>
                <w:webHidden/>
              </w:rPr>
            </w:r>
            <w:r>
              <w:rPr>
                <w:webHidden/>
              </w:rPr>
              <w:fldChar w:fldCharType="separate"/>
            </w:r>
            <w:r w:rsidR="00E14EDA">
              <w:rPr>
                <w:webHidden/>
              </w:rPr>
              <w:t>22</w:t>
            </w:r>
            <w:r>
              <w:rPr>
                <w:webHidden/>
              </w:rPr>
              <w:fldChar w:fldCharType="end"/>
            </w:r>
          </w:hyperlink>
        </w:p>
        <w:p w14:paraId="3CFDD479" w14:textId="4097AD9C" w:rsidR="00A4306C" w:rsidRDefault="00A4306C">
          <w:pPr>
            <w:pStyle w:val="TOC1"/>
            <w:rPr>
              <w:rFonts w:asciiTheme="minorHAnsi" w:eastAsiaTheme="minorEastAsia" w:hAnsiTheme="minorHAnsi"/>
              <w:kern w:val="2"/>
              <w:szCs w:val="24"/>
              <w14:ligatures w14:val="standardContextual"/>
            </w:rPr>
          </w:pPr>
          <w:hyperlink w:anchor="_Toc238204657" w:history="1">
            <w:r w:rsidRPr="002F4A3D">
              <w:rPr>
                <w:rStyle w:val="Hyperlink"/>
              </w:rPr>
              <w:t>Stage Gates and Go/No-Go Criteria</w:t>
            </w:r>
            <w:r>
              <w:rPr>
                <w:webHidden/>
              </w:rPr>
              <w:tab/>
            </w:r>
            <w:r>
              <w:rPr>
                <w:webHidden/>
              </w:rPr>
              <w:fldChar w:fldCharType="begin"/>
            </w:r>
            <w:r>
              <w:rPr>
                <w:webHidden/>
              </w:rPr>
              <w:instrText xml:space="preserve"> PAGEREF _Toc238204657 \h </w:instrText>
            </w:r>
            <w:r>
              <w:rPr>
                <w:webHidden/>
              </w:rPr>
            </w:r>
            <w:r>
              <w:rPr>
                <w:webHidden/>
              </w:rPr>
              <w:fldChar w:fldCharType="separate"/>
            </w:r>
            <w:r w:rsidR="00E14EDA">
              <w:rPr>
                <w:webHidden/>
              </w:rPr>
              <w:t>24</w:t>
            </w:r>
            <w:r>
              <w:rPr>
                <w:webHidden/>
              </w:rPr>
              <w:fldChar w:fldCharType="end"/>
            </w:r>
          </w:hyperlink>
        </w:p>
        <w:p w14:paraId="70CCF84D" w14:textId="1C25A0BB" w:rsidR="00A4306C" w:rsidRDefault="00A4306C">
          <w:pPr>
            <w:pStyle w:val="TOC1"/>
            <w:rPr>
              <w:rFonts w:asciiTheme="minorHAnsi" w:eastAsiaTheme="minorEastAsia" w:hAnsiTheme="minorHAnsi"/>
              <w:kern w:val="2"/>
              <w:szCs w:val="24"/>
              <w14:ligatures w14:val="standardContextual"/>
            </w:rPr>
          </w:pPr>
          <w:hyperlink w:anchor="_Toc238204658" w:history="1">
            <w:r w:rsidRPr="002F4A3D">
              <w:rPr>
                <w:rStyle w:val="Hyperlink"/>
              </w:rPr>
              <w:t>Campaign Development and Execution Phases</w:t>
            </w:r>
            <w:r>
              <w:rPr>
                <w:webHidden/>
              </w:rPr>
              <w:tab/>
            </w:r>
            <w:r>
              <w:rPr>
                <w:webHidden/>
              </w:rPr>
              <w:fldChar w:fldCharType="begin"/>
            </w:r>
            <w:r>
              <w:rPr>
                <w:webHidden/>
              </w:rPr>
              <w:instrText xml:space="preserve"> PAGEREF _Toc238204658 \h </w:instrText>
            </w:r>
            <w:r>
              <w:rPr>
                <w:webHidden/>
              </w:rPr>
            </w:r>
            <w:r>
              <w:rPr>
                <w:webHidden/>
              </w:rPr>
              <w:fldChar w:fldCharType="separate"/>
            </w:r>
            <w:r w:rsidR="00E14EDA">
              <w:rPr>
                <w:webHidden/>
              </w:rPr>
              <w:t>26</w:t>
            </w:r>
            <w:r>
              <w:rPr>
                <w:webHidden/>
              </w:rPr>
              <w:fldChar w:fldCharType="end"/>
            </w:r>
          </w:hyperlink>
        </w:p>
        <w:p w14:paraId="025E93B8" w14:textId="47194B05" w:rsidR="00A4306C" w:rsidRDefault="00A4306C">
          <w:pPr>
            <w:pStyle w:val="TOC1"/>
            <w:rPr>
              <w:rFonts w:asciiTheme="minorHAnsi" w:eastAsiaTheme="minorEastAsia" w:hAnsiTheme="minorHAnsi"/>
              <w:kern w:val="2"/>
              <w:szCs w:val="24"/>
              <w14:ligatures w14:val="standardContextual"/>
            </w:rPr>
          </w:pPr>
          <w:hyperlink w:anchor="_Toc238204659" w:history="1">
            <w:r w:rsidRPr="002F4A3D">
              <w:rPr>
                <w:rStyle w:val="Hyperlink"/>
              </w:rPr>
              <w:t>Purchase Orders</w:t>
            </w:r>
            <w:r>
              <w:rPr>
                <w:webHidden/>
              </w:rPr>
              <w:tab/>
            </w:r>
            <w:r>
              <w:rPr>
                <w:webHidden/>
              </w:rPr>
              <w:fldChar w:fldCharType="begin"/>
            </w:r>
            <w:r>
              <w:rPr>
                <w:webHidden/>
              </w:rPr>
              <w:instrText xml:space="preserve"> PAGEREF _Toc238204659 \h </w:instrText>
            </w:r>
            <w:r>
              <w:rPr>
                <w:webHidden/>
              </w:rPr>
            </w:r>
            <w:r>
              <w:rPr>
                <w:webHidden/>
              </w:rPr>
              <w:fldChar w:fldCharType="separate"/>
            </w:r>
            <w:r w:rsidR="00E14EDA">
              <w:rPr>
                <w:webHidden/>
              </w:rPr>
              <w:t>29</w:t>
            </w:r>
            <w:r>
              <w:rPr>
                <w:webHidden/>
              </w:rPr>
              <w:fldChar w:fldCharType="end"/>
            </w:r>
          </w:hyperlink>
        </w:p>
        <w:p w14:paraId="0155A322" w14:textId="694F27F5" w:rsidR="00A4306C" w:rsidRDefault="00A4306C">
          <w:pPr>
            <w:pStyle w:val="TOC1"/>
            <w:rPr>
              <w:rFonts w:asciiTheme="minorHAnsi" w:eastAsiaTheme="minorEastAsia" w:hAnsiTheme="minorHAnsi"/>
              <w:kern w:val="2"/>
              <w:szCs w:val="24"/>
              <w14:ligatures w14:val="standardContextual"/>
            </w:rPr>
          </w:pPr>
          <w:hyperlink w:anchor="_Toc238204660" w:history="1">
            <w:r w:rsidRPr="002F4A3D">
              <w:rPr>
                <w:rStyle w:val="Hyperlink"/>
              </w:rPr>
              <w:t>Recipients of Purchase Orders</w:t>
            </w:r>
            <w:r>
              <w:rPr>
                <w:webHidden/>
              </w:rPr>
              <w:tab/>
            </w:r>
            <w:r>
              <w:rPr>
                <w:webHidden/>
              </w:rPr>
              <w:fldChar w:fldCharType="begin"/>
            </w:r>
            <w:r>
              <w:rPr>
                <w:webHidden/>
              </w:rPr>
              <w:instrText xml:space="preserve"> PAGEREF _Toc238204660 \h </w:instrText>
            </w:r>
            <w:r>
              <w:rPr>
                <w:webHidden/>
              </w:rPr>
            </w:r>
            <w:r>
              <w:rPr>
                <w:webHidden/>
              </w:rPr>
              <w:fldChar w:fldCharType="separate"/>
            </w:r>
            <w:r w:rsidR="00E14EDA">
              <w:rPr>
                <w:webHidden/>
              </w:rPr>
              <w:t>40</w:t>
            </w:r>
            <w:r>
              <w:rPr>
                <w:webHidden/>
              </w:rPr>
              <w:fldChar w:fldCharType="end"/>
            </w:r>
          </w:hyperlink>
        </w:p>
        <w:p w14:paraId="4D60060D" w14:textId="13C36E00" w:rsidR="00A4306C" w:rsidRDefault="00A4306C">
          <w:pPr>
            <w:pStyle w:val="TOC1"/>
            <w:rPr>
              <w:rFonts w:asciiTheme="minorHAnsi" w:eastAsiaTheme="minorEastAsia" w:hAnsiTheme="minorHAnsi"/>
              <w:kern w:val="2"/>
              <w:szCs w:val="24"/>
              <w14:ligatures w14:val="standardContextual"/>
            </w:rPr>
          </w:pPr>
          <w:hyperlink w:anchor="_Toc238204661" w:history="1">
            <w:r w:rsidRPr="002F4A3D">
              <w:rPr>
                <w:rStyle w:val="Hyperlink"/>
              </w:rPr>
              <w:t>Project Management</w:t>
            </w:r>
            <w:r>
              <w:rPr>
                <w:webHidden/>
              </w:rPr>
              <w:tab/>
            </w:r>
            <w:r>
              <w:rPr>
                <w:webHidden/>
              </w:rPr>
              <w:fldChar w:fldCharType="begin"/>
            </w:r>
            <w:r>
              <w:rPr>
                <w:webHidden/>
              </w:rPr>
              <w:instrText xml:space="preserve"> PAGEREF _Toc238204661 \h </w:instrText>
            </w:r>
            <w:r>
              <w:rPr>
                <w:webHidden/>
              </w:rPr>
            </w:r>
            <w:r>
              <w:rPr>
                <w:webHidden/>
              </w:rPr>
              <w:fldChar w:fldCharType="separate"/>
            </w:r>
            <w:r w:rsidR="00E14EDA">
              <w:rPr>
                <w:webHidden/>
              </w:rPr>
              <w:t>43</w:t>
            </w:r>
            <w:r>
              <w:rPr>
                <w:webHidden/>
              </w:rPr>
              <w:fldChar w:fldCharType="end"/>
            </w:r>
          </w:hyperlink>
        </w:p>
        <w:p w14:paraId="77D5021F" w14:textId="30ECB3DF" w:rsidR="00A4306C" w:rsidRDefault="00A4306C">
          <w:pPr>
            <w:pStyle w:val="TOC1"/>
            <w:rPr>
              <w:rFonts w:asciiTheme="minorHAnsi" w:eastAsiaTheme="minorEastAsia" w:hAnsiTheme="minorHAnsi"/>
              <w:kern w:val="2"/>
              <w:szCs w:val="24"/>
              <w14:ligatures w14:val="standardContextual"/>
            </w:rPr>
          </w:pPr>
          <w:hyperlink w:anchor="_Toc238204662" w:history="1">
            <w:r w:rsidRPr="002F4A3D">
              <w:rPr>
                <w:rStyle w:val="Hyperlink"/>
              </w:rPr>
              <w:t>Funding Source Requirements</w:t>
            </w:r>
            <w:r>
              <w:rPr>
                <w:webHidden/>
              </w:rPr>
              <w:tab/>
            </w:r>
            <w:r>
              <w:rPr>
                <w:webHidden/>
              </w:rPr>
              <w:fldChar w:fldCharType="begin"/>
            </w:r>
            <w:r>
              <w:rPr>
                <w:webHidden/>
              </w:rPr>
              <w:instrText xml:space="preserve"> PAGEREF _Toc238204662 \h </w:instrText>
            </w:r>
            <w:r>
              <w:rPr>
                <w:webHidden/>
              </w:rPr>
            </w:r>
            <w:r>
              <w:rPr>
                <w:webHidden/>
              </w:rPr>
              <w:fldChar w:fldCharType="separate"/>
            </w:r>
            <w:r w:rsidR="00E14EDA">
              <w:rPr>
                <w:webHidden/>
              </w:rPr>
              <w:t>45</w:t>
            </w:r>
            <w:r>
              <w:rPr>
                <w:webHidden/>
              </w:rPr>
              <w:fldChar w:fldCharType="end"/>
            </w:r>
          </w:hyperlink>
        </w:p>
        <w:p w14:paraId="41BF5174" w14:textId="0EA3CC6D" w:rsidR="00A4306C" w:rsidRDefault="00A4306C">
          <w:pPr>
            <w:pStyle w:val="TOC1"/>
            <w:rPr>
              <w:rFonts w:asciiTheme="minorHAnsi" w:eastAsiaTheme="minorEastAsia" w:hAnsiTheme="minorHAnsi"/>
              <w:kern w:val="2"/>
              <w:szCs w:val="24"/>
              <w14:ligatures w14:val="standardContextual"/>
            </w:rPr>
          </w:pPr>
          <w:hyperlink w:anchor="_Toc238204663" w:history="1">
            <w:r w:rsidRPr="002F4A3D">
              <w:rPr>
                <w:rStyle w:val="Hyperlink"/>
              </w:rPr>
              <w:t>Top MCB Science Papers</w:t>
            </w:r>
            <w:r>
              <w:rPr>
                <w:webHidden/>
              </w:rPr>
              <w:tab/>
            </w:r>
            <w:r>
              <w:rPr>
                <w:webHidden/>
              </w:rPr>
              <w:fldChar w:fldCharType="begin"/>
            </w:r>
            <w:r>
              <w:rPr>
                <w:webHidden/>
              </w:rPr>
              <w:instrText xml:space="preserve"> PAGEREF _Toc238204663 \h </w:instrText>
            </w:r>
            <w:r>
              <w:rPr>
                <w:webHidden/>
              </w:rPr>
            </w:r>
            <w:r>
              <w:rPr>
                <w:webHidden/>
              </w:rPr>
              <w:fldChar w:fldCharType="separate"/>
            </w:r>
            <w:r w:rsidR="00E14EDA">
              <w:rPr>
                <w:webHidden/>
              </w:rPr>
              <w:t>47</w:t>
            </w:r>
            <w:r>
              <w:rPr>
                <w:webHidden/>
              </w:rPr>
              <w:fldChar w:fldCharType="end"/>
            </w:r>
          </w:hyperlink>
        </w:p>
        <w:p w14:paraId="63A4A216" w14:textId="62A7ECE7" w:rsidR="00A4306C" w:rsidRDefault="00A4306C">
          <w:pPr>
            <w:pStyle w:val="TOC1"/>
            <w:rPr>
              <w:rFonts w:asciiTheme="minorHAnsi" w:eastAsiaTheme="minorEastAsia" w:hAnsiTheme="minorHAnsi"/>
              <w:kern w:val="2"/>
              <w:szCs w:val="24"/>
              <w14:ligatures w14:val="standardContextual"/>
            </w:rPr>
          </w:pPr>
          <w:hyperlink w:anchor="_Toc238204664" w:history="1">
            <w:r w:rsidRPr="002F4A3D">
              <w:rPr>
                <w:rStyle w:val="Hyperlink"/>
              </w:rPr>
              <w:t>Top Researchers</w:t>
            </w:r>
            <w:r>
              <w:rPr>
                <w:webHidden/>
              </w:rPr>
              <w:tab/>
            </w:r>
            <w:r>
              <w:rPr>
                <w:webHidden/>
              </w:rPr>
              <w:fldChar w:fldCharType="begin"/>
            </w:r>
            <w:r>
              <w:rPr>
                <w:webHidden/>
              </w:rPr>
              <w:instrText xml:space="preserve"> PAGEREF _Toc238204664 \h </w:instrText>
            </w:r>
            <w:r>
              <w:rPr>
                <w:webHidden/>
              </w:rPr>
            </w:r>
            <w:r>
              <w:rPr>
                <w:webHidden/>
              </w:rPr>
              <w:fldChar w:fldCharType="separate"/>
            </w:r>
            <w:r w:rsidR="00E14EDA">
              <w:rPr>
                <w:webHidden/>
              </w:rPr>
              <w:t>54</w:t>
            </w:r>
            <w:r>
              <w:rPr>
                <w:webHidden/>
              </w:rPr>
              <w:fldChar w:fldCharType="end"/>
            </w:r>
          </w:hyperlink>
        </w:p>
        <w:p w14:paraId="3DEB02C1" w14:textId="0C59D1CE" w:rsidR="00A4306C" w:rsidRDefault="00A4306C">
          <w:pPr>
            <w:pStyle w:val="TOC1"/>
            <w:rPr>
              <w:rFonts w:asciiTheme="minorHAnsi" w:eastAsiaTheme="minorEastAsia" w:hAnsiTheme="minorHAnsi"/>
              <w:kern w:val="2"/>
              <w:szCs w:val="24"/>
              <w14:ligatures w14:val="standardContextual"/>
            </w:rPr>
          </w:pPr>
          <w:hyperlink w:anchor="_Toc238204665" w:history="1">
            <w:r w:rsidRPr="002F4A3D">
              <w:rPr>
                <w:rStyle w:val="Hyperlink"/>
              </w:rPr>
              <w:t>Scientific Advisory Panel</w:t>
            </w:r>
            <w:r>
              <w:rPr>
                <w:webHidden/>
              </w:rPr>
              <w:tab/>
            </w:r>
            <w:r>
              <w:rPr>
                <w:webHidden/>
              </w:rPr>
              <w:fldChar w:fldCharType="begin"/>
            </w:r>
            <w:r>
              <w:rPr>
                <w:webHidden/>
              </w:rPr>
              <w:instrText xml:space="preserve"> PAGEREF _Toc238204665 \h </w:instrText>
            </w:r>
            <w:r>
              <w:rPr>
                <w:webHidden/>
              </w:rPr>
            </w:r>
            <w:r>
              <w:rPr>
                <w:webHidden/>
              </w:rPr>
              <w:fldChar w:fldCharType="separate"/>
            </w:r>
            <w:r w:rsidR="00E14EDA">
              <w:rPr>
                <w:webHidden/>
              </w:rPr>
              <w:t>57</w:t>
            </w:r>
            <w:r>
              <w:rPr>
                <w:webHidden/>
              </w:rPr>
              <w:fldChar w:fldCharType="end"/>
            </w:r>
          </w:hyperlink>
        </w:p>
        <w:p w14:paraId="7BD57B01" w14:textId="62093621" w:rsidR="00A4306C" w:rsidRDefault="00A4306C">
          <w:pPr>
            <w:pStyle w:val="TOC1"/>
            <w:rPr>
              <w:rFonts w:asciiTheme="minorHAnsi" w:eastAsiaTheme="minorEastAsia" w:hAnsiTheme="minorHAnsi"/>
              <w:kern w:val="2"/>
              <w:szCs w:val="24"/>
              <w14:ligatures w14:val="standardContextual"/>
            </w:rPr>
          </w:pPr>
          <w:hyperlink w:anchor="_Toc238204666" w:history="1">
            <w:r w:rsidRPr="002F4A3D">
              <w:rPr>
                <w:rStyle w:val="Hyperlink"/>
              </w:rPr>
              <w:t>Management Advisory Panel</w:t>
            </w:r>
            <w:r>
              <w:rPr>
                <w:webHidden/>
              </w:rPr>
              <w:tab/>
            </w:r>
            <w:r>
              <w:rPr>
                <w:webHidden/>
              </w:rPr>
              <w:fldChar w:fldCharType="begin"/>
            </w:r>
            <w:r>
              <w:rPr>
                <w:webHidden/>
              </w:rPr>
              <w:instrText xml:space="preserve"> PAGEREF _Toc238204666 \h </w:instrText>
            </w:r>
            <w:r>
              <w:rPr>
                <w:webHidden/>
              </w:rPr>
            </w:r>
            <w:r>
              <w:rPr>
                <w:webHidden/>
              </w:rPr>
              <w:fldChar w:fldCharType="separate"/>
            </w:r>
            <w:r w:rsidR="00E14EDA">
              <w:rPr>
                <w:webHidden/>
              </w:rPr>
              <w:t>59</w:t>
            </w:r>
            <w:r>
              <w:rPr>
                <w:webHidden/>
              </w:rPr>
              <w:fldChar w:fldCharType="end"/>
            </w:r>
          </w:hyperlink>
        </w:p>
        <w:p w14:paraId="47DCCDD9" w14:textId="288D9145" w:rsidR="00A4306C" w:rsidRDefault="00A4306C">
          <w:pPr>
            <w:pStyle w:val="TOC1"/>
            <w:rPr>
              <w:rFonts w:asciiTheme="minorHAnsi" w:eastAsiaTheme="minorEastAsia" w:hAnsiTheme="minorHAnsi"/>
              <w:kern w:val="2"/>
              <w:szCs w:val="24"/>
              <w14:ligatures w14:val="standardContextual"/>
            </w:rPr>
          </w:pPr>
          <w:hyperlink w:anchor="_Toc238204667" w:history="1">
            <w:r w:rsidRPr="002F4A3D">
              <w:rPr>
                <w:rStyle w:val="Hyperlink"/>
              </w:rPr>
              <w:t>Agreements</w:t>
            </w:r>
            <w:r>
              <w:rPr>
                <w:webHidden/>
              </w:rPr>
              <w:tab/>
            </w:r>
            <w:r>
              <w:rPr>
                <w:webHidden/>
              </w:rPr>
              <w:fldChar w:fldCharType="begin"/>
            </w:r>
            <w:r>
              <w:rPr>
                <w:webHidden/>
              </w:rPr>
              <w:instrText xml:space="preserve"> PAGEREF _Toc238204667 \h </w:instrText>
            </w:r>
            <w:r>
              <w:rPr>
                <w:webHidden/>
              </w:rPr>
            </w:r>
            <w:r>
              <w:rPr>
                <w:webHidden/>
              </w:rPr>
              <w:fldChar w:fldCharType="separate"/>
            </w:r>
            <w:r w:rsidR="00E14EDA">
              <w:rPr>
                <w:webHidden/>
              </w:rPr>
              <w:t>60</w:t>
            </w:r>
            <w:r>
              <w:rPr>
                <w:webHidden/>
              </w:rPr>
              <w:fldChar w:fldCharType="end"/>
            </w:r>
          </w:hyperlink>
        </w:p>
        <w:p w14:paraId="7CD1DAAA" w14:textId="6C85AF3F" w:rsidR="00A4306C" w:rsidRDefault="00A4306C">
          <w:pPr>
            <w:pStyle w:val="TOC1"/>
            <w:rPr>
              <w:rFonts w:asciiTheme="minorHAnsi" w:eastAsiaTheme="minorEastAsia" w:hAnsiTheme="minorHAnsi"/>
              <w:kern w:val="2"/>
              <w:szCs w:val="24"/>
              <w14:ligatures w14:val="standardContextual"/>
            </w:rPr>
          </w:pPr>
          <w:hyperlink w:anchor="_Toc238204668" w:history="1">
            <w:r w:rsidRPr="002F4A3D">
              <w:rPr>
                <w:rStyle w:val="Hyperlink"/>
              </w:rPr>
              <w:t>Termination Shock — MCB-Specific Considerations</w:t>
            </w:r>
            <w:r>
              <w:rPr>
                <w:webHidden/>
              </w:rPr>
              <w:tab/>
            </w:r>
            <w:r>
              <w:rPr>
                <w:webHidden/>
              </w:rPr>
              <w:fldChar w:fldCharType="begin"/>
            </w:r>
            <w:r>
              <w:rPr>
                <w:webHidden/>
              </w:rPr>
              <w:instrText xml:space="preserve"> PAGEREF _Toc238204668 \h </w:instrText>
            </w:r>
            <w:r>
              <w:rPr>
                <w:webHidden/>
              </w:rPr>
            </w:r>
            <w:r>
              <w:rPr>
                <w:webHidden/>
              </w:rPr>
              <w:fldChar w:fldCharType="separate"/>
            </w:r>
            <w:r w:rsidR="00E14EDA">
              <w:rPr>
                <w:webHidden/>
              </w:rPr>
              <w:t>62</w:t>
            </w:r>
            <w:r>
              <w:rPr>
                <w:webHidden/>
              </w:rPr>
              <w:fldChar w:fldCharType="end"/>
            </w:r>
          </w:hyperlink>
        </w:p>
        <w:p w14:paraId="19BEADFC" w14:textId="3C6957A9" w:rsidR="00A4306C" w:rsidRDefault="00A4306C">
          <w:pPr>
            <w:pStyle w:val="TOC1"/>
            <w:rPr>
              <w:rFonts w:asciiTheme="minorHAnsi" w:eastAsiaTheme="minorEastAsia" w:hAnsiTheme="minorHAnsi"/>
              <w:kern w:val="2"/>
              <w:szCs w:val="24"/>
              <w14:ligatures w14:val="standardContextual"/>
            </w:rPr>
          </w:pPr>
          <w:hyperlink w:anchor="_Toc238204669" w:history="1">
            <w:r w:rsidRPr="002F4A3D">
              <w:rPr>
                <w:rStyle w:val="Hyperlink"/>
              </w:rPr>
              <w:t>MCB Aircraft, Instruments and Airborne Measurement Architecture</w:t>
            </w:r>
            <w:r>
              <w:rPr>
                <w:webHidden/>
              </w:rPr>
              <w:tab/>
            </w:r>
            <w:r>
              <w:rPr>
                <w:webHidden/>
              </w:rPr>
              <w:fldChar w:fldCharType="begin"/>
            </w:r>
            <w:r>
              <w:rPr>
                <w:webHidden/>
              </w:rPr>
              <w:instrText xml:space="preserve"> PAGEREF _Toc238204669 \h </w:instrText>
            </w:r>
            <w:r>
              <w:rPr>
                <w:webHidden/>
              </w:rPr>
            </w:r>
            <w:r>
              <w:rPr>
                <w:webHidden/>
              </w:rPr>
              <w:fldChar w:fldCharType="separate"/>
            </w:r>
            <w:r w:rsidR="00E14EDA">
              <w:rPr>
                <w:webHidden/>
              </w:rPr>
              <w:t>64</w:t>
            </w:r>
            <w:r>
              <w:rPr>
                <w:webHidden/>
              </w:rPr>
              <w:fldChar w:fldCharType="end"/>
            </w:r>
          </w:hyperlink>
        </w:p>
        <w:p w14:paraId="6A4EA0BB" w14:textId="43256AB2" w:rsidR="003323F8" w:rsidRDefault="005F43E2" w:rsidP="002E2E37">
          <w:pPr>
            <w:pStyle w:val="cTableofContents"/>
          </w:pPr>
          <w:r>
            <w:fldChar w:fldCharType="end"/>
          </w:r>
        </w:p>
        <w:p w14:paraId="657916EC" w14:textId="77777777" w:rsidR="003323F8" w:rsidRDefault="00000000">
          <w:pPr>
            <w:pStyle w:val="cTableofContents"/>
          </w:pPr>
        </w:p>
      </w:sdtContent>
    </w:sdt>
    <w:p w14:paraId="6CABB945" w14:textId="2492DE41" w:rsidR="003323F8" w:rsidRDefault="00000000" w:rsidP="00D549EE">
      <w:pPr>
        <w:pStyle w:val="Heading1"/>
        <w:spacing w:before="280" w:after="280"/>
      </w:pPr>
      <w:bookmarkStart w:id="7" w:name="_Toc237984387"/>
      <w:bookmarkStart w:id="8" w:name="_Toc238204650"/>
      <w:r>
        <w:t>What is Marine Cloud Brightening (MCB)?</w:t>
      </w:r>
      <w:bookmarkEnd w:id="7"/>
      <w:bookmarkEnd w:id="8"/>
    </w:p>
    <w:p w14:paraId="12EF7E1C" w14:textId="77777777" w:rsidR="003323F8" w:rsidRDefault="00000000">
      <w:pPr>
        <w:spacing w:before="280" w:after="80"/>
      </w:pPr>
      <w:r>
        <w:t>Marine Cloud Brightening (MCB) is a proposed form of solar radiation modification intended to cool the climate by making selected low marine clouds reflect more sunlight back to space. The leading concept would use seawater as the feedstock. Shore-based systems, ships, or autonomous vessels would generate very large numbers of carefully sized sea-salt aerosol particles and release them into the marine boundary layer beneath or near susceptible clouds.</w:t>
      </w:r>
    </w:p>
    <w:p w14:paraId="08C5BD56" w14:textId="77777777" w:rsidR="003323F8" w:rsidRDefault="00000000">
      <w:pPr>
        <w:spacing w:before="280" w:after="80"/>
      </w:pPr>
      <w:r>
        <w:t>Some emitted particles could act as cloud-condensation nuclei. If the same amount of cloud water is divided among a larger number of smaller droplets, the cloud can become brighter—the first aerosol indirect effect often associated with Twomey. Changes in drizzle, evaporation, mixing, cloud thickness, and cloud lifetime can either strengthen or weaken the initial brightening. The response therefore depends on particle size and number, background aerosol, cloud type, updraft speed, humidity, atmospheric stability, precipitation, and the organization of the cloud field.</w:t>
      </w:r>
    </w:p>
    <w:p w14:paraId="24FD3275" w14:textId="77777777" w:rsidR="003323F8" w:rsidRDefault="00000000">
      <w:pPr>
        <w:spacing w:before="280" w:after="80"/>
      </w:pPr>
      <w:r>
        <w:t>MCB differs from stratospheric aerosol injection in several important respects. The material remains in the lower atmosphere for only days rather than a year or more; the forcing is geographically concentrated; and the immediate scientific problem is an aerosol–cloud–meteorology interaction rather than long-lived stratospheric aerosol chemistry. These features may make MCB more controllable, but they also make performance highly weather-dependent and difficult to scale from a plume to a regional or global climate effect.</w:t>
      </w:r>
    </w:p>
    <w:p w14:paraId="20857E69" w14:textId="77777777" w:rsidR="003323F8" w:rsidRDefault="00000000">
      <w:pPr>
        <w:spacing w:before="280" w:after="80"/>
      </w:pPr>
      <w:r>
        <w:t>MCB would not remove carbon dioxide, stop ocean acidification, or eliminate the need to reduce greenhouse-gas emissions. Potential side effects include changes in regional precipitation, circulation, storm tracks, marine-cloud cover, air quality, visibility, salt deposition, ecosystems, and distant climate patterns such as ENSO. Benefits and harms could be unevenly distributed.</w:t>
      </w:r>
    </w:p>
    <w:p w14:paraId="3C4F35B2" w14:textId="77777777" w:rsidR="003323F8" w:rsidRDefault="00000000">
      <w:pPr>
        <w:spacing w:before="280" w:after="80"/>
      </w:pPr>
      <w:r>
        <w:t>MCB has been studied in models, natural analogues such as ship tracks, laboratory work, and a limited number of outdoor aerosol-generation campaigns. It has not been demonstrated as a global climate intervention. A credible research program should therefore focus on whether sea-salt particles can be generated, transported, measured, modeled, and shown to produce repeatable cloud and radiative responses under defined conditions—without assuming that technical feasibility implies permission to deploy.</w:t>
      </w:r>
    </w:p>
    <w:p w14:paraId="45CBC64E" w14:textId="77777777" w:rsidR="003323F8" w:rsidRDefault="00000000">
      <w:pPr>
        <w:pStyle w:val="Heading1"/>
        <w:spacing w:before="280" w:after="280"/>
      </w:pPr>
      <w:bookmarkStart w:id="9" w:name="_Toc237984388"/>
      <w:bookmarkStart w:id="10" w:name="ClimateTOC_002"/>
      <w:bookmarkStart w:id="11" w:name="_Toc236310500"/>
      <w:bookmarkStart w:id="12" w:name="_Toc238204651"/>
      <w:r>
        <w:t>Program Architecture and $1 Billion Budget</w:t>
      </w:r>
      <w:bookmarkEnd w:id="9"/>
      <w:bookmarkEnd w:id="10"/>
      <w:bookmarkEnd w:id="11"/>
      <w:bookmarkEnd w:id="12"/>
    </w:p>
    <w:p w14:paraId="3583739B" w14:textId="77777777" w:rsidR="003323F8" w:rsidRDefault="00000000">
      <w:pPr>
        <w:pStyle w:val="cUserPromptText"/>
        <w:spacing w:before="280" w:after="280"/>
      </w:pPr>
      <w:r>
        <w:rPr>
          <w:rStyle w:val="UserPromptHeadingChar"/>
        </w:rPr>
        <w:t>Prompt to AI:</w:t>
      </w:r>
      <w:r>
        <w:t xml:space="preserve"> If a Funding Source wants to spend $1B on Marine Cloud Brightening research, especially field experiments, over 5 years, what experiments should it consider?</w:t>
      </w:r>
    </w:p>
    <w:p w14:paraId="0EF6CFE9" w14:textId="77777777" w:rsidR="003323F8" w:rsidRDefault="00000000">
      <w:pPr>
        <w:pStyle w:val="cSubject"/>
        <w:spacing w:before="280" w:after="280"/>
      </w:pPr>
      <w:r>
        <w:t>Response From AI:</w:t>
      </w:r>
    </w:p>
    <w:p w14:paraId="2D92E5E0" w14:textId="77777777" w:rsidR="003323F8" w:rsidRDefault="00000000">
      <w:pPr>
        <w:spacing w:before="280" w:after="80"/>
      </w:pPr>
      <w:r>
        <w:t>A $1 billion, five-year program should not attempt to demonstrate regional or global climate control. It should determine whether MCB can be predicted, measured, governed, and stopped well enough to justify any later research. The most important scientific chain is:</w:t>
      </w:r>
    </w:p>
    <w:p w14:paraId="7789A01B" w14:textId="77777777" w:rsidR="003323F8" w:rsidRDefault="00000000">
      <w:pPr>
        <w:pStyle w:val="bblueindent"/>
        <w:spacing w:before="280" w:after="280"/>
      </w:pPr>
      <w:r>
        <w:t>Seawater intake and aerosol generation → near-source plume evolution → boundary-layer transport and dilution → arrival at cloud base → cloud-droplet activation → cloud optical and dynamical response → regional radiative and weather effects</w:t>
      </w:r>
    </w:p>
    <w:p w14:paraId="75D034ED" w14:textId="77777777" w:rsidR="003323F8" w:rsidRDefault="00000000">
      <w:pPr>
        <w:spacing w:before="280" w:after="80"/>
      </w:pPr>
      <w:r>
        <w:t>Major uncertainty remains at every link. The program should therefore combine laboratory work, source engineering, natural experiments, carefully bounded outdoor releases, aircraft and ship observations, cloud-resolving models, regional and global models, ecological monitoring, and independent governance.</w:t>
      </w:r>
    </w:p>
    <w:p w14:paraId="4F8B5185" w14:textId="77777777" w:rsidR="003323F8" w:rsidRDefault="00000000">
      <w:pPr>
        <w:pStyle w:val="Heading2"/>
        <w:spacing w:before="280"/>
      </w:pPr>
      <w:r>
        <w:t>Illustrative $1 billion portfolio</w:t>
      </w:r>
    </w:p>
    <w:tbl>
      <w:tblPr>
        <w:tblStyle w:val="gswTableStyle"/>
        <w:tblW w:w="10350" w:type="dxa"/>
        <w:tblLayout w:type="fixed"/>
        <w:tblLook w:val="04A0" w:firstRow="1" w:lastRow="0" w:firstColumn="1" w:lastColumn="0" w:noHBand="0" w:noVBand="1"/>
      </w:tblPr>
      <w:tblGrid>
        <w:gridCol w:w="3888"/>
        <w:gridCol w:w="1242"/>
        <w:gridCol w:w="5220"/>
      </w:tblGrid>
      <w:tr w:rsidR="003323F8" w14:paraId="34880097" w14:textId="77777777" w:rsidTr="00AD1C0C">
        <w:trPr>
          <w:cnfStyle w:val="100000000000" w:firstRow="1" w:lastRow="0" w:firstColumn="0" w:lastColumn="0" w:oddVBand="0" w:evenVBand="0" w:oddHBand="0" w:evenHBand="0" w:firstRowFirstColumn="0" w:firstRowLastColumn="0" w:lastRowFirstColumn="0" w:lastRowLastColumn="0"/>
          <w:tblHeader/>
        </w:trPr>
        <w:tc>
          <w:tcPr>
            <w:tcW w:w="3888" w:type="dxa"/>
          </w:tcPr>
          <w:p w14:paraId="2EC34B09" w14:textId="77777777" w:rsidR="003323F8" w:rsidRDefault="00000000">
            <w:pPr>
              <w:pStyle w:val="cTableHeader"/>
            </w:pPr>
            <w:r>
              <w:t>Program</w:t>
            </w:r>
          </w:p>
        </w:tc>
        <w:tc>
          <w:tcPr>
            <w:tcW w:w="1242" w:type="dxa"/>
          </w:tcPr>
          <w:p w14:paraId="15226B71" w14:textId="77777777" w:rsidR="003323F8" w:rsidRDefault="00000000">
            <w:pPr>
              <w:pStyle w:val="cTableHeader"/>
            </w:pPr>
            <w:r>
              <w:t>Five-year budget</w:t>
            </w:r>
          </w:p>
        </w:tc>
        <w:tc>
          <w:tcPr>
            <w:tcW w:w="5220" w:type="dxa"/>
          </w:tcPr>
          <w:p w14:paraId="6480995A" w14:textId="77777777" w:rsidR="003323F8" w:rsidRDefault="00000000">
            <w:pPr>
              <w:pStyle w:val="cTableHeader"/>
            </w:pPr>
            <w:r>
              <w:t>Main purpose</w:t>
            </w:r>
          </w:p>
        </w:tc>
      </w:tr>
      <w:tr w:rsidR="003323F8" w14:paraId="073C1F3D" w14:textId="77777777" w:rsidTr="00AD1C0C">
        <w:tc>
          <w:tcPr>
            <w:tcW w:w="3888" w:type="dxa"/>
          </w:tcPr>
          <w:p w14:paraId="608B7419" w14:textId="77777777" w:rsidR="003323F8" w:rsidRDefault="00000000">
            <w:pPr>
              <w:pStyle w:val="cTableBody"/>
              <w:spacing w:before="0" w:after="0"/>
            </w:pPr>
            <w:r>
              <w:rPr>
                <w:b/>
                <w:bCs/>
              </w:rPr>
              <w:t>Area 1.</w:t>
            </w:r>
            <w:r>
              <w:t xml:space="preserve"> Baseline marine-cloud and aerosol observatory network</w:t>
            </w:r>
          </w:p>
        </w:tc>
        <w:tc>
          <w:tcPr>
            <w:tcW w:w="1242" w:type="dxa"/>
          </w:tcPr>
          <w:p w14:paraId="60F1DBB7" w14:textId="77777777" w:rsidR="003323F8" w:rsidRDefault="00000000">
            <w:pPr>
              <w:pStyle w:val="cTableBody"/>
              <w:spacing w:before="0" w:after="0"/>
            </w:pPr>
            <w:r>
              <w:t>$90M</w:t>
            </w:r>
          </w:p>
        </w:tc>
        <w:tc>
          <w:tcPr>
            <w:tcW w:w="5220" w:type="dxa"/>
          </w:tcPr>
          <w:p w14:paraId="3986E641" w14:textId="77777777" w:rsidR="003323F8" w:rsidRDefault="00000000">
            <w:pPr>
              <w:pStyle w:val="cTableBody"/>
              <w:spacing w:before="0" w:after="0"/>
            </w:pPr>
            <w:r>
              <w:t>Measure untreated clouds, aerosol, meteorology, radiation and precipitation across candidate regions.</w:t>
            </w:r>
          </w:p>
        </w:tc>
      </w:tr>
      <w:tr w:rsidR="003323F8" w14:paraId="5DDABAC6" w14:textId="77777777" w:rsidTr="00AD1C0C">
        <w:tc>
          <w:tcPr>
            <w:tcW w:w="3888" w:type="dxa"/>
          </w:tcPr>
          <w:p w14:paraId="28870F8C" w14:textId="77777777" w:rsidR="003323F8" w:rsidRDefault="00000000">
            <w:pPr>
              <w:pStyle w:val="cTableBody"/>
              <w:spacing w:before="0" w:after="0"/>
            </w:pPr>
            <w:r>
              <w:rPr>
                <w:b/>
                <w:bCs/>
              </w:rPr>
              <w:t>Area 2. Campaign source qualification and aerosol microphysics</w:t>
            </w:r>
          </w:p>
        </w:tc>
        <w:tc>
          <w:tcPr>
            <w:tcW w:w="1242" w:type="dxa"/>
          </w:tcPr>
          <w:p w14:paraId="606C4406" w14:textId="77777777" w:rsidR="003323F8" w:rsidRDefault="00000000">
            <w:pPr>
              <w:pStyle w:val="cTableBody"/>
              <w:spacing w:before="0" w:after="0"/>
            </w:pPr>
            <w:r>
              <w:t>$100M</w:t>
            </w:r>
          </w:p>
        </w:tc>
        <w:tc>
          <w:tcPr>
            <w:tcW w:w="5220" w:type="dxa"/>
          </w:tcPr>
          <w:p w14:paraId="347A960A" w14:textId="77777777" w:rsidR="003323F8" w:rsidRDefault="00000000">
            <w:pPr>
              <w:pStyle w:val="cTableBody"/>
              <w:spacing w:before="0" w:after="0"/>
            </w:pPr>
            <w:r>
              <w:t>Develop controllable particle generators; map size, number, energy, salinity and impurities.</w:t>
            </w:r>
          </w:p>
        </w:tc>
      </w:tr>
      <w:tr w:rsidR="003323F8" w14:paraId="65ADB128" w14:textId="77777777" w:rsidTr="00AD1C0C">
        <w:tc>
          <w:tcPr>
            <w:tcW w:w="3888" w:type="dxa"/>
          </w:tcPr>
          <w:p w14:paraId="2B3C202A" w14:textId="77777777" w:rsidR="003323F8" w:rsidRDefault="00000000">
            <w:pPr>
              <w:pStyle w:val="cTableBody"/>
              <w:spacing w:before="0" w:after="0"/>
            </w:pPr>
            <w:r>
              <w:rPr>
                <w:b/>
                <w:bCs/>
              </w:rPr>
              <w:t xml:space="preserve">Area 3. </w:t>
            </w:r>
            <w:r>
              <w:t>Shore-based source-and-plume experiments</w:t>
            </w:r>
          </w:p>
        </w:tc>
        <w:tc>
          <w:tcPr>
            <w:tcW w:w="1242" w:type="dxa"/>
          </w:tcPr>
          <w:p w14:paraId="3CAAA3C1" w14:textId="77777777" w:rsidR="003323F8" w:rsidRDefault="00000000">
            <w:pPr>
              <w:pStyle w:val="cTableBody"/>
              <w:spacing w:before="0" w:after="0"/>
            </w:pPr>
            <w:r>
              <w:t>$100M</w:t>
            </w:r>
          </w:p>
        </w:tc>
        <w:tc>
          <w:tcPr>
            <w:tcW w:w="5220" w:type="dxa"/>
          </w:tcPr>
          <w:p w14:paraId="7958FB4D" w14:textId="77777777" w:rsidR="003323F8" w:rsidRDefault="00000000">
            <w:pPr>
              <w:pStyle w:val="cTableBody"/>
              <w:spacing w:before="0" w:after="0"/>
            </w:pPr>
            <w:r>
              <w:t>Measure near-field evaporation, crystallization, coagulation, lofting, deposition and detectability.</w:t>
            </w:r>
          </w:p>
        </w:tc>
      </w:tr>
      <w:tr w:rsidR="003323F8" w14:paraId="378F92F4" w14:textId="77777777" w:rsidTr="00AD1C0C">
        <w:tc>
          <w:tcPr>
            <w:tcW w:w="3888" w:type="dxa"/>
          </w:tcPr>
          <w:p w14:paraId="537232DB" w14:textId="77777777" w:rsidR="003323F8" w:rsidRDefault="00000000">
            <w:pPr>
              <w:pStyle w:val="cTableBody"/>
              <w:spacing w:before="0" w:after="0"/>
            </w:pPr>
            <w:r>
              <w:rPr>
                <w:b/>
                <w:bCs/>
              </w:rPr>
              <w:t>Area 4.</w:t>
            </w:r>
            <w:r>
              <w:t xml:space="preserve"> Ship and autonomous-platform plume campaigns</w:t>
            </w:r>
          </w:p>
        </w:tc>
        <w:tc>
          <w:tcPr>
            <w:tcW w:w="1242" w:type="dxa"/>
          </w:tcPr>
          <w:p w14:paraId="5F15E7E7" w14:textId="77777777" w:rsidR="003323F8" w:rsidRDefault="00000000">
            <w:pPr>
              <w:pStyle w:val="cTableBody"/>
              <w:spacing w:before="0" w:after="0"/>
            </w:pPr>
            <w:r>
              <w:t>$120M</w:t>
            </w:r>
          </w:p>
        </w:tc>
        <w:tc>
          <w:tcPr>
            <w:tcW w:w="5220" w:type="dxa"/>
          </w:tcPr>
          <w:p w14:paraId="666E7BC8" w14:textId="77777777" w:rsidR="003323F8" w:rsidRDefault="00000000">
            <w:pPr>
              <w:pStyle w:val="cTableBody"/>
              <w:spacing w:before="0" w:after="0"/>
            </w:pPr>
            <w:r>
              <w:t>Track sea-salt plumes from moving marine sources to cloud-base height under varied conditions.</w:t>
            </w:r>
          </w:p>
        </w:tc>
      </w:tr>
      <w:tr w:rsidR="003323F8" w14:paraId="195B255C" w14:textId="77777777" w:rsidTr="00AD1C0C">
        <w:tc>
          <w:tcPr>
            <w:tcW w:w="3888" w:type="dxa"/>
          </w:tcPr>
          <w:p w14:paraId="1A0578AE" w14:textId="77777777" w:rsidR="003323F8" w:rsidRDefault="00000000">
            <w:pPr>
              <w:pStyle w:val="cTableBody"/>
              <w:spacing w:before="0" w:after="0"/>
            </w:pPr>
            <w:r>
              <w:rPr>
                <w:b/>
                <w:bCs/>
              </w:rPr>
              <w:t>Area 5.</w:t>
            </w:r>
            <w:r>
              <w:t xml:space="preserve"> Small cloud-response experiments</w:t>
            </w:r>
          </w:p>
        </w:tc>
        <w:tc>
          <w:tcPr>
            <w:tcW w:w="1242" w:type="dxa"/>
          </w:tcPr>
          <w:p w14:paraId="5EF35D1D" w14:textId="77777777" w:rsidR="003323F8" w:rsidRDefault="00000000">
            <w:pPr>
              <w:pStyle w:val="cTableBody"/>
              <w:spacing w:before="0" w:after="0"/>
            </w:pPr>
            <w:r>
              <w:t>$180M</w:t>
            </w:r>
          </w:p>
        </w:tc>
        <w:tc>
          <w:tcPr>
            <w:tcW w:w="5220" w:type="dxa"/>
          </w:tcPr>
          <w:p w14:paraId="3947FA53" w14:textId="77777777" w:rsidR="003323F8" w:rsidRDefault="00000000">
            <w:pPr>
              <w:pStyle w:val="cTableBody"/>
              <w:spacing w:before="0" w:after="0"/>
            </w:pPr>
            <w:r>
              <w:t>Conduct tightly bounded releases beneath susceptible clouds and measure microphysical and radiative response.</w:t>
            </w:r>
          </w:p>
        </w:tc>
      </w:tr>
      <w:tr w:rsidR="003323F8" w14:paraId="07428431" w14:textId="77777777" w:rsidTr="00AD1C0C">
        <w:tc>
          <w:tcPr>
            <w:tcW w:w="3888" w:type="dxa"/>
          </w:tcPr>
          <w:p w14:paraId="58B500C7" w14:textId="77777777" w:rsidR="003323F8" w:rsidRDefault="00000000">
            <w:pPr>
              <w:pStyle w:val="cTableBody"/>
              <w:spacing w:before="0" w:after="0"/>
            </w:pPr>
            <w:r>
              <w:rPr>
                <w:b/>
                <w:bCs/>
              </w:rPr>
              <w:t>Area 6.</w:t>
            </w:r>
            <w:r>
              <w:t xml:space="preserve"> Replicated multi-platform cloud campaigns</w:t>
            </w:r>
          </w:p>
        </w:tc>
        <w:tc>
          <w:tcPr>
            <w:tcW w:w="1242" w:type="dxa"/>
          </w:tcPr>
          <w:p w14:paraId="32EBC1A3" w14:textId="77777777" w:rsidR="003323F8" w:rsidRDefault="00000000">
            <w:pPr>
              <w:pStyle w:val="cTableBody"/>
              <w:spacing w:before="0" w:after="0"/>
            </w:pPr>
            <w:r>
              <w:t>$120M</w:t>
            </w:r>
          </w:p>
        </w:tc>
        <w:tc>
          <w:tcPr>
            <w:tcW w:w="5220" w:type="dxa"/>
          </w:tcPr>
          <w:p w14:paraId="197060E9" w14:textId="77777777" w:rsidR="003323F8" w:rsidRDefault="00000000">
            <w:pPr>
              <w:pStyle w:val="cTableBody"/>
              <w:spacing w:before="0" w:after="0"/>
            </w:pPr>
            <w:r>
              <w:t>Repeat cloud-response experiments across seasons, regions and cloud regimes with aircraft and remote sensing.</w:t>
            </w:r>
          </w:p>
        </w:tc>
      </w:tr>
      <w:tr w:rsidR="003323F8" w14:paraId="229FE3E6" w14:textId="77777777" w:rsidTr="00AD1C0C">
        <w:tc>
          <w:tcPr>
            <w:tcW w:w="3888" w:type="dxa"/>
          </w:tcPr>
          <w:p w14:paraId="1DD61276" w14:textId="77777777" w:rsidR="003323F8" w:rsidRDefault="00000000">
            <w:pPr>
              <w:pStyle w:val="cTableBody"/>
              <w:spacing w:before="0" w:after="0"/>
            </w:pPr>
            <w:r>
              <w:rPr>
                <w:b/>
                <w:bCs/>
              </w:rPr>
              <w:t xml:space="preserve">Area 7. </w:t>
            </w:r>
            <w:r>
              <w:t>Natural experiments and ship-track program</w:t>
            </w:r>
          </w:p>
        </w:tc>
        <w:tc>
          <w:tcPr>
            <w:tcW w:w="1242" w:type="dxa"/>
          </w:tcPr>
          <w:p w14:paraId="388EF75C" w14:textId="77777777" w:rsidR="003323F8" w:rsidRDefault="00000000">
            <w:pPr>
              <w:pStyle w:val="cTableBody"/>
              <w:spacing w:before="0" w:after="0"/>
            </w:pPr>
            <w:r>
              <w:t>$60M</w:t>
            </w:r>
          </w:p>
        </w:tc>
        <w:tc>
          <w:tcPr>
            <w:tcW w:w="5220" w:type="dxa"/>
          </w:tcPr>
          <w:p w14:paraId="5FB44AA1" w14:textId="77777777" w:rsidR="003323F8" w:rsidRDefault="00000000">
            <w:pPr>
              <w:pStyle w:val="cTableBody"/>
              <w:spacing w:before="0" w:after="0"/>
            </w:pPr>
            <w:r>
              <w:t>Use shipping-emission changes and other perturbations to constrain aerosol–cloud causal effects.</w:t>
            </w:r>
          </w:p>
        </w:tc>
      </w:tr>
      <w:tr w:rsidR="003323F8" w14:paraId="6877B349" w14:textId="77777777" w:rsidTr="00AD1C0C">
        <w:tc>
          <w:tcPr>
            <w:tcW w:w="3888" w:type="dxa"/>
          </w:tcPr>
          <w:p w14:paraId="6AF6A720" w14:textId="77777777" w:rsidR="003323F8" w:rsidRDefault="00000000">
            <w:pPr>
              <w:pStyle w:val="cTableBody"/>
              <w:spacing w:before="0" w:after="0"/>
            </w:pPr>
            <w:r>
              <w:rPr>
                <w:b/>
                <w:bCs/>
              </w:rPr>
              <w:t xml:space="preserve">Area 8. </w:t>
            </w:r>
            <w:r>
              <w:t>Deposition, ecology, air quality and marine effects</w:t>
            </w:r>
          </w:p>
        </w:tc>
        <w:tc>
          <w:tcPr>
            <w:tcW w:w="1242" w:type="dxa"/>
          </w:tcPr>
          <w:p w14:paraId="137655C9" w14:textId="77777777" w:rsidR="003323F8" w:rsidRDefault="00000000">
            <w:pPr>
              <w:pStyle w:val="cTableBody"/>
              <w:spacing w:before="0" w:after="0"/>
            </w:pPr>
            <w:r>
              <w:t>$55M</w:t>
            </w:r>
          </w:p>
        </w:tc>
        <w:tc>
          <w:tcPr>
            <w:tcW w:w="5220" w:type="dxa"/>
          </w:tcPr>
          <w:p w14:paraId="3DC5CDDF" w14:textId="77777777" w:rsidR="003323F8" w:rsidRDefault="00000000">
            <w:pPr>
              <w:pStyle w:val="cTableBody"/>
              <w:spacing w:before="0" w:after="0"/>
            </w:pPr>
            <w:r>
              <w:t>Measure salt deposition, visibility, coastal exposure and ecological consequences.</w:t>
            </w:r>
          </w:p>
        </w:tc>
      </w:tr>
      <w:tr w:rsidR="003323F8" w14:paraId="092264B9" w14:textId="77777777" w:rsidTr="00AD1C0C">
        <w:tc>
          <w:tcPr>
            <w:tcW w:w="3888" w:type="dxa"/>
          </w:tcPr>
          <w:p w14:paraId="5325D81A" w14:textId="77777777" w:rsidR="003323F8" w:rsidRDefault="00000000">
            <w:pPr>
              <w:pStyle w:val="cTableBody"/>
              <w:spacing w:before="0" w:after="0"/>
            </w:pPr>
            <w:r>
              <w:rPr>
                <w:b/>
                <w:bCs/>
              </w:rPr>
              <w:t xml:space="preserve">Area 9. </w:t>
            </w:r>
            <w:r>
              <w:t>Cloud-resolving, regional and global modeling</w:t>
            </w:r>
          </w:p>
        </w:tc>
        <w:tc>
          <w:tcPr>
            <w:tcW w:w="1242" w:type="dxa"/>
          </w:tcPr>
          <w:p w14:paraId="6DE03C74" w14:textId="77777777" w:rsidR="003323F8" w:rsidRDefault="00000000">
            <w:pPr>
              <w:pStyle w:val="cTableBody"/>
              <w:spacing w:before="0" w:after="0"/>
            </w:pPr>
            <w:r>
              <w:t>$70M</w:t>
            </w:r>
          </w:p>
        </w:tc>
        <w:tc>
          <w:tcPr>
            <w:tcW w:w="5220" w:type="dxa"/>
          </w:tcPr>
          <w:p w14:paraId="4E7C1444" w14:textId="77777777" w:rsidR="003323F8" w:rsidRDefault="00000000">
            <w:pPr>
              <w:pStyle w:val="cTableBody"/>
              <w:spacing w:before="0" w:after="0"/>
            </w:pPr>
            <w:r>
              <w:t>Assimilate observations; test scale-up, regional teleconnections and control strategies.</w:t>
            </w:r>
          </w:p>
        </w:tc>
      </w:tr>
      <w:tr w:rsidR="003323F8" w14:paraId="2BC96067" w14:textId="77777777" w:rsidTr="00AD1C0C">
        <w:tc>
          <w:tcPr>
            <w:tcW w:w="3888" w:type="dxa"/>
          </w:tcPr>
          <w:p w14:paraId="077ED5E4" w14:textId="77777777" w:rsidR="003323F8" w:rsidRDefault="00000000">
            <w:pPr>
              <w:pStyle w:val="cTableBody"/>
              <w:spacing w:before="0" w:after="0"/>
            </w:pPr>
            <w:r>
              <w:rPr>
                <w:b/>
                <w:bCs/>
              </w:rPr>
              <w:t xml:space="preserve">Area 10. </w:t>
            </w:r>
            <w:r>
              <w:t>Shared aircraft, ships, drones, lidar, radar and instruments</w:t>
            </w:r>
          </w:p>
        </w:tc>
        <w:tc>
          <w:tcPr>
            <w:tcW w:w="1242" w:type="dxa"/>
          </w:tcPr>
          <w:p w14:paraId="27E046A6" w14:textId="77777777" w:rsidR="003323F8" w:rsidRDefault="00000000">
            <w:pPr>
              <w:pStyle w:val="cTableBody"/>
              <w:spacing w:before="0" w:after="0"/>
            </w:pPr>
            <w:r>
              <w:t>$55M</w:t>
            </w:r>
          </w:p>
        </w:tc>
        <w:tc>
          <w:tcPr>
            <w:tcW w:w="5220" w:type="dxa"/>
          </w:tcPr>
          <w:p w14:paraId="62031855" w14:textId="77777777" w:rsidR="003323F8" w:rsidRDefault="00000000">
            <w:pPr>
              <w:pStyle w:val="cTableBody"/>
              <w:spacing w:before="0" w:after="0"/>
            </w:pPr>
            <w:r>
              <w:t>Build reusable observing and mission-control capability.</w:t>
            </w:r>
          </w:p>
        </w:tc>
      </w:tr>
      <w:tr w:rsidR="003323F8" w14:paraId="6DA025FF" w14:textId="77777777" w:rsidTr="00AD1C0C">
        <w:tc>
          <w:tcPr>
            <w:tcW w:w="3888" w:type="dxa"/>
          </w:tcPr>
          <w:p w14:paraId="67841BFE" w14:textId="77777777" w:rsidR="003323F8" w:rsidRDefault="00000000">
            <w:pPr>
              <w:pStyle w:val="cTableBody"/>
              <w:spacing w:before="0" w:after="0"/>
            </w:pPr>
            <w:r>
              <w:rPr>
                <w:b/>
                <w:bCs/>
              </w:rPr>
              <w:t>Area 11.</w:t>
            </w:r>
            <w:r>
              <w:t xml:space="preserve"> Governance, permitting, engagement and international participation</w:t>
            </w:r>
          </w:p>
        </w:tc>
        <w:tc>
          <w:tcPr>
            <w:tcW w:w="1242" w:type="dxa"/>
          </w:tcPr>
          <w:p w14:paraId="5232D18A" w14:textId="77777777" w:rsidR="003323F8" w:rsidRDefault="00000000">
            <w:pPr>
              <w:pStyle w:val="cTableBody"/>
              <w:spacing w:before="0" w:after="0"/>
            </w:pPr>
            <w:r>
              <w:t>$30M</w:t>
            </w:r>
          </w:p>
        </w:tc>
        <w:tc>
          <w:tcPr>
            <w:tcW w:w="5220" w:type="dxa"/>
          </w:tcPr>
          <w:p w14:paraId="029D750D" w14:textId="77777777" w:rsidR="003323F8" w:rsidRDefault="00000000">
            <w:pPr>
              <w:pStyle w:val="cTableBody"/>
              <w:spacing w:before="0" w:after="0"/>
            </w:pPr>
            <w:r>
              <w:t>Independent review, public process, Indigenous and climate-vulnerable participation.</w:t>
            </w:r>
          </w:p>
        </w:tc>
      </w:tr>
      <w:tr w:rsidR="003323F8" w14:paraId="1A63C4C2" w14:textId="77777777" w:rsidTr="00AD1C0C">
        <w:tc>
          <w:tcPr>
            <w:tcW w:w="3888" w:type="dxa"/>
          </w:tcPr>
          <w:p w14:paraId="33DEA346" w14:textId="77777777" w:rsidR="003323F8" w:rsidRDefault="00000000">
            <w:pPr>
              <w:pStyle w:val="cTableBody"/>
              <w:spacing w:before="0" w:after="0"/>
            </w:pPr>
            <w:r>
              <w:rPr>
                <w:b/>
                <w:bCs/>
              </w:rPr>
              <w:t>Area 12.</w:t>
            </w:r>
            <w:r>
              <w:t xml:space="preserve"> Independent replication and rapid-response reserve</w:t>
            </w:r>
          </w:p>
        </w:tc>
        <w:tc>
          <w:tcPr>
            <w:tcW w:w="1242" w:type="dxa"/>
          </w:tcPr>
          <w:p w14:paraId="7F2A73BE" w14:textId="77777777" w:rsidR="003323F8" w:rsidRDefault="00000000">
            <w:pPr>
              <w:pStyle w:val="cTableBody"/>
              <w:spacing w:before="0" w:after="0"/>
            </w:pPr>
            <w:r>
              <w:t>$20M</w:t>
            </w:r>
          </w:p>
        </w:tc>
        <w:tc>
          <w:tcPr>
            <w:tcW w:w="5220" w:type="dxa"/>
          </w:tcPr>
          <w:p w14:paraId="1AA72C86" w14:textId="77777777" w:rsidR="003323F8" w:rsidRDefault="00000000">
            <w:pPr>
              <w:pStyle w:val="cTableBody"/>
              <w:spacing w:before="0" w:after="0"/>
            </w:pPr>
            <w:r>
              <w:t>Repeat key results and respond to natural analogues, instrument failures or unexpected findings.</w:t>
            </w:r>
          </w:p>
        </w:tc>
      </w:tr>
    </w:tbl>
    <w:p w14:paraId="0080032C" w14:textId="77777777" w:rsidR="00603BBF" w:rsidRDefault="00000000">
      <w:r>
        <w:t>Budget accounting rule. The $22M source-and-plume and $48M cloud-response campaign models later in this proposal are bottom-up planning views that draw from the Area budgets above. They are not additional budget lines and should not be multiplied by nominal campaign counts and added again to the $1 billion portfolio.</w:t>
      </w:r>
    </w:p>
    <w:p w14:paraId="4A066768" w14:textId="77777777" w:rsidR="003323F8" w:rsidRDefault="00000000">
      <w:pPr>
        <w:spacing w:before="280" w:after="80"/>
      </w:pPr>
      <w:r>
        <w:t>The dedicated controlled-field Areas total $520 million: $220 million for source-and-plume work (Areas 3-4) and $300 million for cloud-response work (Areas 5-6). The remaining $480 million supports baseline observations, campaign-source qualification and laboratory aerosol science, natural analogues, ecology/environmental measurement, modeling, shared observing capability, governance/international participation, and the central replication/rapid-response reserve.</w:t>
      </w:r>
    </w:p>
    <w:p w14:paraId="72B9D200" w14:textId="77777777" w:rsidR="003323F8" w:rsidRDefault="00000000">
      <w:pPr>
        <w:pStyle w:val="Heading2"/>
        <w:spacing w:before="280"/>
      </w:pPr>
      <w:r>
        <w:t>The most valuable experiments</w:t>
      </w:r>
    </w:p>
    <w:p w14:paraId="5DBA51C5" w14:textId="77777777" w:rsidR="003323F8" w:rsidRDefault="00000000">
      <w:pPr>
        <w:pStyle w:val="Heading3"/>
        <w:spacing w:before="280" w:after="280"/>
      </w:pPr>
      <w:r>
        <w:t>Experiment E1. Baseline mapping of susceptible cloud regimes</w:t>
      </w:r>
    </w:p>
    <w:p w14:paraId="4FDFD180" w14:textId="77777777" w:rsidR="003323F8" w:rsidRDefault="00000000">
      <w:pPr>
        <w:spacing w:before="280" w:after="80"/>
      </w:pPr>
      <w:r>
        <w:t>Before deliberate releases, conduct repeated campaigns in eastern-boundary stratocumulus regions, trade-wind cumulus regions, mid-latitude marine clouds, and one coral-reef region. Measure aerosol number and size, cloud-condensation nuclei, cloud-droplet number, liquid-water path, cloud fraction, drizzle, precipitation, updrafts, turbulence, inversion strength, humidity, winds, radiation and sea-surface temperature. Baselines must capture seasonal cycles and day-to-day meteorological variability because cloud changes caused by weather can easily exceed the expected signal from a small experiment.</w:t>
      </w:r>
    </w:p>
    <w:p w14:paraId="5874FAA8" w14:textId="77777777" w:rsidR="003323F8" w:rsidRDefault="00000000">
      <w:pPr>
        <w:pStyle w:val="Heading3"/>
        <w:spacing w:before="280" w:after="280"/>
      </w:pPr>
      <w:r>
        <w:t>Experiment E2. Campaign-source characterization</w:t>
      </w:r>
    </w:p>
    <w:p w14:paraId="1AC0F319" w14:textId="77777777" w:rsidR="003323F8" w:rsidRDefault="00000000">
      <w:pPr>
        <w:spacing w:before="280" w:after="80"/>
      </w:pPr>
      <w:r>
        <w:t xml:space="preserve">Test multiple methods for producing submicron sea-salt particles from seawater. Characterize dry-particle size distribution, production rate, energy use, droplet evaporation, salt composition, organic impurities, nozzle fouling, corrosion, wind sensitivity and reliability. The acceptance metric should not be </w:t>
      </w:r>
      <w:r w:rsidR="00FD3576">
        <w:t>liters</w:t>
      </w:r>
      <w:r>
        <w:t xml:space="preserve"> of seawater sprayed; it should be the number of useful cloud-active particles delivered per unit of energy and per hour of operation, with tight control of the coarse-particle tail.</w:t>
      </w:r>
    </w:p>
    <w:p w14:paraId="773AC76B" w14:textId="77777777" w:rsidR="003323F8" w:rsidRDefault="00000000">
      <w:pPr>
        <w:pStyle w:val="Heading3"/>
        <w:spacing w:before="280" w:after="280"/>
      </w:pPr>
      <w:r>
        <w:t>Experiment E3. Shore-based source-and-plume experiments</w:t>
      </w:r>
    </w:p>
    <w:p w14:paraId="25013CB3" w14:textId="77777777" w:rsidR="003323F8" w:rsidRDefault="00000000">
      <w:pPr>
        <w:spacing w:before="280" w:after="80"/>
      </w:pPr>
      <w:r>
        <w:t>Operate a generator from a coastal or offshore research facility without attempting to brighten clouds. Use towers, drones, tethered balloons, lidar, aerosol counters and downwind boats to measure the first seconds through several hours of plume evolution. This is the least expensive way to resolve evaporation, crystallization, coagulation, salt deposition, plume rise, entrainment and the effect of ambient humidity and turbulence.</w:t>
      </w:r>
    </w:p>
    <w:p w14:paraId="3B825700" w14:textId="77777777" w:rsidR="003323F8" w:rsidRDefault="00000000">
      <w:pPr>
        <w:pStyle w:val="Heading3"/>
        <w:spacing w:before="280" w:after="280"/>
      </w:pPr>
      <w:r>
        <w:t>Experiment E4. Moving-vessel plume transport experiments</w:t>
      </w:r>
    </w:p>
    <w:p w14:paraId="125068C7" w14:textId="77777777" w:rsidR="003323F8" w:rsidRDefault="00000000">
      <w:pPr>
        <w:spacing w:before="280" w:after="80"/>
      </w:pPr>
      <w:r>
        <w:t>Mount a modular generator on a research ship or autonomous surface vessel and follow the plume with a second vessel, drones, aircraft and remote sensing. Vary vessel speed, release height, wind direction, source rate and particle distribution. Determine what fraction of emitted particles survives and reaches cloud base, and whether source-inversion models can reconstruct the known release.</w:t>
      </w:r>
    </w:p>
    <w:p w14:paraId="31D0629A" w14:textId="77777777" w:rsidR="003323F8" w:rsidRDefault="00000000">
      <w:pPr>
        <w:pStyle w:val="Heading3"/>
        <w:spacing w:before="280" w:after="280"/>
      </w:pPr>
      <w:r>
        <w:t>Experiment E5. Natural ship-track and shipping-regulation studies</w:t>
      </w:r>
    </w:p>
    <w:p w14:paraId="22636C4A" w14:textId="77777777" w:rsidR="003323F8" w:rsidRDefault="00000000">
      <w:pPr>
        <w:spacing w:before="280" w:after="80"/>
      </w:pPr>
      <w:r>
        <w:t>Use satellite imagery, aircraft measurements and changes in shipping emissions to quantify how aerosol perturbations affect real marine clouds. Ship tracks are imperfect analogues because combustion particles differ from sea salt, yet they provide a much larger observational sample than deliberate experiments. The program should maintain an open global ship-track database linked to meteorology, ship activity, fuel rules and cloud state.</w:t>
      </w:r>
    </w:p>
    <w:p w14:paraId="5B3E0B27" w14:textId="77777777" w:rsidR="003323F8" w:rsidRDefault="00000000">
      <w:pPr>
        <w:pStyle w:val="Heading3"/>
        <w:spacing w:before="280" w:after="280"/>
      </w:pPr>
      <w:r>
        <w:t>Experiment E6. Small cloud-response experiments</w:t>
      </w:r>
    </w:p>
    <w:p w14:paraId="763EC0D0" w14:textId="77777777" w:rsidR="003323F8" w:rsidRDefault="00000000">
      <w:pPr>
        <w:spacing w:before="280" w:after="80"/>
      </w:pPr>
      <w:r>
        <w:t>Conduct short releases beneath or upwind of a single cloud element or a small cloud field. Compare treated and untreated air using a crossing or randomized release design. Measure aerosol at cloud base, cloud-droplet number, droplet radius, liquid-water content, optical depth, reflected shortwave radiation, cloud-top height, drizzle and entrainment. The success criterion is a closed causal chain from known emission to measured radiative response—not a surface-temperature change.</w:t>
      </w:r>
    </w:p>
    <w:p w14:paraId="6077F01C" w14:textId="77777777" w:rsidR="003323F8" w:rsidRDefault="00000000">
      <w:pPr>
        <w:pStyle w:val="Heading3"/>
        <w:spacing w:before="280" w:after="280"/>
      </w:pPr>
      <w:r>
        <w:t>Experiment E7. Paired particle-size experiments</w:t>
      </w:r>
    </w:p>
    <w:p w14:paraId="74434872" w14:textId="77777777" w:rsidR="003323F8" w:rsidRDefault="00000000">
      <w:pPr>
        <w:spacing w:before="280" w:after="80"/>
      </w:pPr>
      <w:r>
        <w:t>Under closely matched conditions, compare a narrow distribution centered in the expected useful submicron range with distributions containing more ultrafine or coarse particles. This directly tests a central result of models: too-small particles may not activate, while a small coarse-particle tail can accelerate collision–coalescence and drizzle, potentially reducing cloud water and offsetting brightening.</w:t>
      </w:r>
    </w:p>
    <w:p w14:paraId="543F3B4B" w14:textId="77777777" w:rsidR="003323F8" w:rsidRDefault="00000000">
      <w:pPr>
        <w:pStyle w:val="Heading3"/>
        <w:spacing w:before="280" w:after="280"/>
      </w:pPr>
      <w:r>
        <w:t>Experiment E8. Cloud-regime comparison</w:t>
      </w:r>
    </w:p>
    <w:p w14:paraId="18D28C15" w14:textId="77777777" w:rsidR="003323F8" w:rsidRDefault="00000000">
      <w:pPr>
        <w:spacing w:before="280" w:after="80"/>
      </w:pPr>
      <w:r>
        <w:t>Repeat the same source and measurement design in closed-cell stratocumulus, open-cell stratocumulus, precipitating and nonprecipitating clouds, and shallow cumulus. MCB may work only in a subset of conditions. A program should learn when not to spray as clearly as when spraying produces an effect.</w:t>
      </w:r>
    </w:p>
    <w:p w14:paraId="6054C151" w14:textId="77777777" w:rsidR="003323F8" w:rsidRDefault="00000000">
      <w:pPr>
        <w:pStyle w:val="Heading3"/>
        <w:spacing w:before="280" w:after="280"/>
      </w:pPr>
      <w:r>
        <w:t>Experiment E9. Radiative and dynamical closure campaigns</w:t>
      </w:r>
    </w:p>
    <w:p w14:paraId="2E892967" w14:textId="77777777" w:rsidR="003323F8" w:rsidRDefault="00000000">
      <w:pPr>
        <w:spacing w:before="280" w:after="80"/>
      </w:pPr>
      <w:r>
        <w:t>For selected releases, combine in-situ aerosol and cloud probes, airborne and ground-based radar and lidar, microwave radiometers, broadband and spectral radiometers, satellite retrievals, and large-eddy simulations. Require agreement among released particle number, observed activation, cloud optical response and top-of-atmosphere shortwave change within a stated uncertainty budget.</w:t>
      </w:r>
    </w:p>
    <w:p w14:paraId="5F061A40" w14:textId="77777777" w:rsidR="003323F8" w:rsidRDefault="00000000">
      <w:pPr>
        <w:pStyle w:val="Heading3"/>
        <w:spacing w:before="280" w:after="280"/>
      </w:pPr>
      <w:r>
        <w:t>Experiment E10. Downwind, deposition and ecological monitoring</w:t>
      </w:r>
    </w:p>
    <w:p w14:paraId="0829EE2F" w14:textId="77777777" w:rsidR="003323F8" w:rsidRDefault="00000000">
      <w:pPr>
        <w:spacing w:before="280" w:after="80"/>
      </w:pPr>
      <w:r>
        <w:t>Track sea-salt aerosol and altered clouds after the primary sampling period. Measure salt deposition on the ocean and coast, aerosol exposure, visibility, chemistry, impacts on solar generation, marine-surface microlayer properties, and any detectable ecological response. Small experiments are unlikely to produce measurable ecosystem effects, but methods and baseline data must be established before larger research.</w:t>
      </w:r>
    </w:p>
    <w:p w14:paraId="4BA327E3" w14:textId="77777777" w:rsidR="003323F8" w:rsidRDefault="00000000">
      <w:pPr>
        <w:pStyle w:val="Heading3"/>
        <w:spacing w:before="280" w:after="280"/>
      </w:pPr>
      <w:r>
        <w:t>Experiment E11. Blind detection and attribution exercise</w:t>
      </w:r>
    </w:p>
    <w:p w14:paraId="4D3E0CC0" w14:textId="77777777" w:rsidR="003323F8" w:rsidRDefault="00000000">
      <w:pPr>
        <w:spacing w:before="280" w:after="80"/>
      </w:pPr>
      <w:r>
        <w:t>An approved release team would disclose the experiment to regulators and independent oversight but withhold exact time and route from a second scientific team. The second team would use radar, lidar, satellites, aircraft, drones and trajectory models to determine whether a release occurred, where it went, and whether a cloud response can be attributed to it.</w:t>
      </w:r>
    </w:p>
    <w:p w14:paraId="607C010F" w14:textId="77777777" w:rsidR="003323F8" w:rsidRDefault="00000000">
      <w:pPr>
        <w:pStyle w:val="Heading3"/>
        <w:spacing w:before="280" w:after="280"/>
      </w:pPr>
      <w:r>
        <w:t>Experiment E12. Regional-model falsification tests</w:t>
      </w:r>
    </w:p>
    <w:p w14:paraId="10417817" w14:textId="77777777" w:rsidR="003323F8" w:rsidRDefault="00000000">
      <w:pPr>
        <w:spacing w:before="280" w:after="80"/>
      </w:pPr>
      <w:r>
        <w:t>Before each field campaign, modeling teams should preregister predictions of plume location, cloud-droplet response, optical depth, drizzle and reflected sunlight. After the campaign, compare predictions against withheld data. Models that cannot reproduce small, observed perturbations should not be trusted to project regional or global MCB impacts.</w:t>
      </w:r>
    </w:p>
    <w:p w14:paraId="3AA8C374" w14:textId="77777777" w:rsidR="003323F8" w:rsidRDefault="00000000">
      <w:pPr>
        <w:pStyle w:val="Heading2"/>
        <w:spacing w:before="280"/>
      </w:pPr>
      <w:r>
        <w:t>Five-year sequence</w:t>
      </w:r>
    </w:p>
    <w:p w14:paraId="775EFC59" w14:textId="77777777" w:rsidR="003323F8" w:rsidRDefault="00000000" w:rsidP="00AB5713">
      <w:pPr>
        <w:pStyle w:val="blist-bullets"/>
        <w:tabs>
          <w:tab w:val="num" w:pos="720"/>
        </w:tabs>
      </w:pPr>
      <w:r>
        <w:rPr>
          <w:b/>
          <w:bCs/>
        </w:rPr>
        <w:t>Year 1:</w:t>
      </w:r>
      <w:r>
        <w:t xml:space="preserve"> governance, baseline observations, aerosol-generator laboratory work, instrument development, natural-experiment analysis and preregistered modeling.</w:t>
      </w:r>
    </w:p>
    <w:p w14:paraId="1203DFEA" w14:textId="77777777" w:rsidR="003323F8" w:rsidRDefault="00000000" w:rsidP="00AB5713">
      <w:pPr>
        <w:pStyle w:val="blist-bullets"/>
        <w:tabs>
          <w:tab w:val="num" w:pos="720"/>
        </w:tabs>
      </w:pPr>
      <w:r>
        <w:rPr>
          <w:b/>
          <w:bCs/>
        </w:rPr>
        <w:t>Year 2:</w:t>
      </w:r>
      <w:r>
        <w:t xml:space="preserve"> shore-based plume experiments, moving-vessel plume experiments, drone and lidar validation, and first very small cloud-interaction trials if approved.</w:t>
      </w:r>
    </w:p>
    <w:p w14:paraId="39B1D7F8" w14:textId="77777777" w:rsidR="003323F8" w:rsidRDefault="00000000" w:rsidP="00AB5713">
      <w:pPr>
        <w:pStyle w:val="blist-bullets"/>
        <w:tabs>
          <w:tab w:val="num" w:pos="720"/>
        </w:tabs>
      </w:pPr>
      <w:r>
        <w:rPr>
          <w:b/>
          <w:bCs/>
        </w:rPr>
        <w:t>Year 3:</w:t>
      </w:r>
      <w:r>
        <w:t xml:space="preserve"> replicated cloud-response campaigns, paired particle-size tests, radiative closure and expanded ecological and deposition monitoring.</w:t>
      </w:r>
    </w:p>
    <w:p w14:paraId="76B71544" w14:textId="77777777" w:rsidR="003323F8" w:rsidRDefault="00000000" w:rsidP="00AB5713">
      <w:pPr>
        <w:pStyle w:val="blist-bullets"/>
        <w:tabs>
          <w:tab w:val="num" w:pos="720"/>
        </w:tabs>
      </w:pPr>
      <w:r>
        <w:rPr>
          <w:b/>
          <w:bCs/>
        </w:rPr>
        <w:t>Year 4:</w:t>
      </w:r>
      <w:r>
        <w:t xml:space="preserve"> additional regions, seasons and cloud regimes; independent replication; multi-platform campaigns; regional-model evaluation.</w:t>
      </w:r>
    </w:p>
    <w:p w14:paraId="68B7B92D" w14:textId="77777777" w:rsidR="003323F8" w:rsidRDefault="00000000" w:rsidP="00AB5713">
      <w:pPr>
        <w:pStyle w:val="blist-bullets"/>
        <w:tabs>
          <w:tab w:val="num" w:pos="720"/>
        </w:tabs>
      </w:pPr>
      <w:r>
        <w:rPr>
          <w:b/>
          <w:bCs/>
        </w:rPr>
        <w:t>Year 5:</w:t>
      </w:r>
      <w:r>
        <w:t xml:space="preserve"> repeat the most informative experiments, conduct blinded prediction challenges, complete international assessment and identify explicit stop or proceed criteria. Completion of Year 5 would not authorize deployment.</w:t>
      </w:r>
    </w:p>
    <w:p w14:paraId="6B47EDB4" w14:textId="77777777" w:rsidR="003323F8" w:rsidRDefault="00000000">
      <w:pPr>
        <w:pStyle w:val="Heading2"/>
        <w:spacing w:before="280"/>
      </w:pPr>
      <w:r>
        <w:t>Boundaries I would impose</w:t>
      </w:r>
    </w:p>
    <w:p w14:paraId="417703FB" w14:textId="77777777" w:rsidR="003323F8" w:rsidRDefault="00000000" w:rsidP="00AB5713">
      <w:pPr>
        <w:pStyle w:val="blist-bullets"/>
        <w:tabs>
          <w:tab w:val="num" w:pos="720"/>
        </w:tabs>
      </w:pPr>
      <w:r>
        <w:t>No experiment designed to produce a detectable regional climate or ocean-temperature change.</w:t>
      </w:r>
    </w:p>
    <w:p w14:paraId="0DE09C1D" w14:textId="77777777" w:rsidR="003323F8" w:rsidRDefault="00000000" w:rsidP="00AB5713">
      <w:pPr>
        <w:pStyle w:val="blist-bullets"/>
        <w:tabs>
          <w:tab w:val="num" w:pos="720"/>
        </w:tabs>
      </w:pPr>
      <w:r>
        <w:t>No multi-week regional treatment during the first five-year program unless separately authorized after an independent assessment.</w:t>
      </w:r>
    </w:p>
    <w:p w14:paraId="7CD1B589" w14:textId="77777777" w:rsidR="003323F8" w:rsidRDefault="00000000" w:rsidP="00AB5713">
      <w:pPr>
        <w:pStyle w:val="blist-bullets"/>
        <w:tabs>
          <w:tab w:val="num" w:pos="720"/>
        </w:tabs>
      </w:pPr>
      <w:r>
        <w:t>No use of additives other than seawater-derived material without toxicology, chemistry and ecological review.</w:t>
      </w:r>
    </w:p>
    <w:p w14:paraId="142E4108" w14:textId="77777777" w:rsidR="003323F8" w:rsidRDefault="00000000" w:rsidP="00AB5713">
      <w:pPr>
        <w:pStyle w:val="blist-bullets"/>
        <w:tabs>
          <w:tab w:val="num" w:pos="720"/>
        </w:tabs>
      </w:pPr>
      <w:r>
        <w:t>No proprietary atmospheric data, undisclosed releases or secret operating routes.</w:t>
      </w:r>
    </w:p>
    <w:p w14:paraId="4D8197E9" w14:textId="77777777" w:rsidR="003323F8" w:rsidRDefault="00000000" w:rsidP="00AB5713">
      <w:pPr>
        <w:pStyle w:val="blist-bullets"/>
        <w:tabs>
          <w:tab w:val="num" w:pos="720"/>
        </w:tabs>
      </w:pPr>
      <w:r>
        <w:t>No claim of efficacy based only on aerosol production; useful delivery to cloud base and a measured cloud/radiative response are required.</w:t>
      </w:r>
    </w:p>
    <w:p w14:paraId="7FADB4D6" w14:textId="77777777" w:rsidR="003323F8" w:rsidRDefault="00000000" w:rsidP="00AB5713">
      <w:pPr>
        <w:pStyle w:val="blist-bullets"/>
        <w:tabs>
          <w:tab w:val="num" w:pos="720"/>
        </w:tabs>
      </w:pPr>
      <w:r>
        <w:t>No scale increase unless the preceding stage meets preregistered scientific, environmental, engagement and monitoring criteria.</w:t>
      </w:r>
    </w:p>
    <w:p w14:paraId="45FF64DC" w14:textId="77777777" w:rsidR="003323F8" w:rsidRDefault="00000000" w:rsidP="00AB5713">
      <w:pPr>
        <w:pStyle w:val="blist-bullets"/>
        <w:tabs>
          <w:tab w:val="num" w:pos="720"/>
        </w:tabs>
      </w:pPr>
      <w:r>
        <w:t>No coupling of research authorization to a promise of later commercial deployment.</w:t>
      </w:r>
    </w:p>
    <w:p w14:paraId="71CD3425" w14:textId="77777777" w:rsidR="003323F8" w:rsidRDefault="00000000">
      <w:pPr>
        <w:pStyle w:val="Heading1"/>
        <w:spacing w:before="280" w:after="280"/>
      </w:pPr>
      <w:bookmarkStart w:id="13" w:name="_Toc238204652"/>
      <w:r>
        <w:t>Program Crosswalk</w:t>
      </w:r>
      <w:bookmarkEnd w:id="13"/>
    </w:p>
    <w:p w14:paraId="11AA3716" w14:textId="6E43589D" w:rsidR="003323F8" w:rsidRDefault="00000000">
      <w:pPr>
        <w:spacing w:before="280" w:after="280"/>
      </w:pPr>
      <w:r>
        <w:t>This</w:t>
      </w:r>
      <w:r w:rsidR="00D549EE">
        <w:t xml:space="preserve"> program</w:t>
      </w:r>
      <w:r>
        <w:t xml:space="preserve"> crosswalk links the portfolio budget to the campaign and procurement architecture. PO references are illustrative mappings, not additional budget lines; the same work should not be counted both as an area budget and again as a campaign budget.</w:t>
      </w:r>
    </w:p>
    <w:tbl>
      <w:tblPr>
        <w:tblStyle w:val="gswTableStyle"/>
        <w:tblW w:w="10717" w:type="dxa"/>
        <w:tblLayout w:type="fixed"/>
        <w:tblLook w:val="04A0" w:firstRow="1" w:lastRow="0" w:firstColumn="1" w:lastColumn="0" w:noHBand="0" w:noVBand="1"/>
      </w:tblPr>
      <w:tblGrid>
        <w:gridCol w:w="2365"/>
        <w:gridCol w:w="1418"/>
        <w:gridCol w:w="3262"/>
        <w:gridCol w:w="950"/>
        <w:gridCol w:w="2722"/>
      </w:tblGrid>
      <w:tr w:rsidR="003323F8" w:rsidRPr="00AD1C0C" w14:paraId="654F4217" w14:textId="77777777" w:rsidTr="00AD1C0C">
        <w:trPr>
          <w:cnfStyle w:val="100000000000" w:firstRow="1" w:lastRow="0" w:firstColumn="0" w:lastColumn="0" w:oddVBand="0" w:evenVBand="0" w:oddHBand="0" w:evenHBand="0" w:firstRowFirstColumn="0" w:firstRowLastColumn="0" w:lastRowFirstColumn="0" w:lastRowLastColumn="0"/>
        </w:trPr>
        <w:tc>
          <w:tcPr>
            <w:tcW w:w="2365" w:type="dxa"/>
          </w:tcPr>
          <w:p w14:paraId="4A0FF286" w14:textId="77777777" w:rsidR="003323F8" w:rsidRPr="00AD1C0C" w:rsidRDefault="00000000" w:rsidP="00AD1C0C">
            <w:pPr>
              <w:pStyle w:val="cTableHeader"/>
            </w:pPr>
            <w:r w:rsidRPr="00AD1C0C">
              <w:t>Program area</w:t>
            </w:r>
          </w:p>
        </w:tc>
        <w:tc>
          <w:tcPr>
            <w:tcW w:w="1418" w:type="dxa"/>
          </w:tcPr>
          <w:p w14:paraId="60D7ECF9" w14:textId="77777777" w:rsidR="003323F8" w:rsidRPr="00AD1C0C" w:rsidRDefault="00000000" w:rsidP="00AD1C0C">
            <w:pPr>
              <w:pStyle w:val="cTableHeader"/>
            </w:pPr>
            <w:r w:rsidRPr="00AD1C0C">
              <w:t xml:space="preserve">Experiment family </w:t>
            </w:r>
          </w:p>
        </w:tc>
        <w:tc>
          <w:tcPr>
            <w:tcW w:w="3262" w:type="dxa"/>
          </w:tcPr>
          <w:p w14:paraId="56AAF4AE" w14:textId="77777777" w:rsidR="003323F8" w:rsidRPr="00AD1C0C" w:rsidRDefault="00000000" w:rsidP="00AD1C0C">
            <w:pPr>
              <w:pStyle w:val="cTableHeader"/>
            </w:pPr>
            <w:r w:rsidRPr="00AD1C0C">
              <w:t>Principal deliverable</w:t>
            </w:r>
          </w:p>
        </w:tc>
        <w:tc>
          <w:tcPr>
            <w:tcW w:w="950" w:type="dxa"/>
          </w:tcPr>
          <w:p w14:paraId="7779AA73" w14:textId="77777777" w:rsidR="003323F8" w:rsidRPr="00AD1C0C" w:rsidRDefault="00000000" w:rsidP="00AD1C0C">
            <w:pPr>
              <w:pStyle w:val="cTableHeader"/>
            </w:pPr>
            <w:r w:rsidRPr="00AD1C0C">
              <w:t>5-year budget</w:t>
            </w:r>
          </w:p>
        </w:tc>
        <w:tc>
          <w:tcPr>
            <w:tcW w:w="2722" w:type="dxa"/>
          </w:tcPr>
          <w:p w14:paraId="118CE58E" w14:textId="77777777" w:rsidR="003323F8" w:rsidRPr="00AD1C0C" w:rsidRDefault="00000000" w:rsidP="00AD1C0C">
            <w:pPr>
              <w:pStyle w:val="cTableHeader"/>
            </w:pPr>
            <w:r w:rsidRPr="00AD1C0C">
              <w:t>Relevant POs / agreements</w:t>
            </w:r>
          </w:p>
        </w:tc>
      </w:tr>
      <w:tr w:rsidR="003323F8" w14:paraId="62800337" w14:textId="77777777" w:rsidTr="00AD1C0C">
        <w:tc>
          <w:tcPr>
            <w:tcW w:w="2365" w:type="dxa"/>
          </w:tcPr>
          <w:p w14:paraId="2CA74D77" w14:textId="77777777" w:rsidR="003323F8" w:rsidRDefault="00B93CED" w:rsidP="00B93CED">
            <w:pPr>
              <w:pStyle w:val="cTableBody"/>
            </w:pPr>
            <w:r w:rsidRPr="00B93CED">
              <w:rPr>
                <w:b/>
                <w:bCs/>
              </w:rPr>
              <w:t xml:space="preserve">Area 1. </w:t>
            </w:r>
            <w:r>
              <w:t>Baseline marine-cloud and aerosol observatory network</w:t>
            </w:r>
          </w:p>
        </w:tc>
        <w:tc>
          <w:tcPr>
            <w:tcW w:w="1418" w:type="dxa"/>
          </w:tcPr>
          <w:p w14:paraId="2953914B" w14:textId="77777777" w:rsidR="003323F8" w:rsidRDefault="00000000" w:rsidP="00B93CED">
            <w:pPr>
              <w:pStyle w:val="cTableBody"/>
            </w:pPr>
            <w:r>
              <w:t>Program-wide baseline</w:t>
            </w:r>
          </w:p>
        </w:tc>
        <w:tc>
          <w:tcPr>
            <w:tcW w:w="3262" w:type="dxa"/>
          </w:tcPr>
          <w:p w14:paraId="05F9B388" w14:textId="77777777" w:rsidR="003323F8" w:rsidRDefault="00000000" w:rsidP="00B93CED">
            <w:pPr>
              <w:pStyle w:val="cTableBody"/>
            </w:pPr>
            <w:r>
              <w:t>Untreated aerosol, cloud, radiation, precipitation, and meteorological baselines across candidate regimes.</w:t>
            </w:r>
          </w:p>
        </w:tc>
        <w:tc>
          <w:tcPr>
            <w:tcW w:w="950" w:type="dxa"/>
          </w:tcPr>
          <w:p w14:paraId="57690E3E" w14:textId="77777777" w:rsidR="003323F8" w:rsidRDefault="00000000" w:rsidP="00B93CED">
            <w:pPr>
              <w:pStyle w:val="cTableBody"/>
            </w:pPr>
            <w:r>
              <w:t>$90M</w:t>
            </w:r>
          </w:p>
        </w:tc>
        <w:tc>
          <w:tcPr>
            <w:tcW w:w="2722" w:type="dxa"/>
          </w:tcPr>
          <w:p w14:paraId="7454564F" w14:textId="77777777" w:rsidR="003323F8" w:rsidRDefault="00000000" w:rsidP="00B93CED">
            <w:pPr>
              <w:pStyle w:val="cTableBody"/>
            </w:pPr>
            <w:r>
              <w:t>Baseline observing, aircraft/vessel, remote-sensing, and data task orders.</w:t>
            </w:r>
          </w:p>
        </w:tc>
      </w:tr>
      <w:tr w:rsidR="003323F8" w14:paraId="1C98E143" w14:textId="77777777" w:rsidTr="00AD1C0C">
        <w:tc>
          <w:tcPr>
            <w:tcW w:w="2365" w:type="dxa"/>
          </w:tcPr>
          <w:p w14:paraId="6408522F" w14:textId="77777777" w:rsidR="003323F8" w:rsidRDefault="00B93CED" w:rsidP="00B93CED">
            <w:pPr>
              <w:pStyle w:val="cTableBody"/>
            </w:pPr>
            <w:r w:rsidRPr="00B93CED">
              <w:rPr>
                <w:b/>
                <w:bCs/>
              </w:rPr>
              <w:t>Area 2. Campaign source qualification and aerosol microphysics</w:t>
            </w:r>
          </w:p>
        </w:tc>
        <w:tc>
          <w:tcPr>
            <w:tcW w:w="1418" w:type="dxa"/>
          </w:tcPr>
          <w:p w14:paraId="2E45C2EC" w14:textId="77777777" w:rsidR="003323F8" w:rsidRDefault="00000000" w:rsidP="00B93CED">
            <w:pPr>
              <w:pStyle w:val="cTableBody"/>
            </w:pPr>
            <w:r>
              <w:t>Source engineering / shared capability</w:t>
            </w:r>
          </w:p>
        </w:tc>
        <w:tc>
          <w:tcPr>
            <w:tcW w:w="3262" w:type="dxa"/>
          </w:tcPr>
          <w:p w14:paraId="45539626" w14:textId="77777777" w:rsidR="003323F8" w:rsidRDefault="00000000" w:rsidP="00B93CED">
            <w:pPr>
              <w:pStyle w:val="cTableBody"/>
            </w:pPr>
            <w:r>
              <w:t>Validated particle generators, size distributions, energy use, composition, reliability, and operating envelope.</w:t>
            </w:r>
          </w:p>
        </w:tc>
        <w:tc>
          <w:tcPr>
            <w:tcW w:w="950" w:type="dxa"/>
          </w:tcPr>
          <w:p w14:paraId="32B41569" w14:textId="77777777" w:rsidR="003323F8" w:rsidRDefault="00000000" w:rsidP="00B93CED">
            <w:pPr>
              <w:pStyle w:val="cTableBody"/>
            </w:pPr>
            <w:r>
              <w:t>$100M</w:t>
            </w:r>
          </w:p>
        </w:tc>
        <w:tc>
          <w:tcPr>
            <w:tcW w:w="2722" w:type="dxa"/>
          </w:tcPr>
          <w:p w14:paraId="41A61C4F" w14:textId="77777777" w:rsidR="003323F8" w:rsidRDefault="00000000" w:rsidP="00B93CED">
            <w:pPr>
              <w:pStyle w:val="cTableBody"/>
            </w:pPr>
            <w:r>
              <w:t>SP3; CR3; aerosol-source engineering master agreement.</w:t>
            </w:r>
          </w:p>
        </w:tc>
      </w:tr>
      <w:tr w:rsidR="003323F8" w14:paraId="7FBDFB73" w14:textId="77777777" w:rsidTr="00AD1C0C">
        <w:tc>
          <w:tcPr>
            <w:tcW w:w="2365" w:type="dxa"/>
          </w:tcPr>
          <w:p w14:paraId="300683A9" w14:textId="77777777" w:rsidR="003323F8" w:rsidRDefault="00B93CED" w:rsidP="00B93CED">
            <w:pPr>
              <w:pStyle w:val="cTableBody"/>
            </w:pPr>
            <w:r w:rsidRPr="00B93CED">
              <w:rPr>
                <w:b/>
                <w:bCs/>
              </w:rPr>
              <w:t xml:space="preserve">Area 3. </w:t>
            </w:r>
            <w:r>
              <w:t>Shore-based source-and-plume experiments</w:t>
            </w:r>
          </w:p>
        </w:tc>
        <w:tc>
          <w:tcPr>
            <w:tcW w:w="1418" w:type="dxa"/>
          </w:tcPr>
          <w:p w14:paraId="04F5A657" w14:textId="77777777" w:rsidR="003323F8" w:rsidRDefault="00000000" w:rsidP="00B93CED">
            <w:pPr>
              <w:pStyle w:val="cTableBody"/>
            </w:pPr>
            <w:r>
              <w:t>Source-and-plume</w:t>
            </w:r>
          </w:p>
        </w:tc>
        <w:tc>
          <w:tcPr>
            <w:tcW w:w="3262" w:type="dxa"/>
          </w:tcPr>
          <w:p w14:paraId="5EFB1711" w14:textId="77777777" w:rsidR="003323F8" w:rsidRDefault="00000000" w:rsidP="00B93CED">
            <w:pPr>
              <w:pStyle w:val="cTableBody"/>
            </w:pPr>
            <w:r>
              <w:t>Near-field evaporation, crystallization, coagulation, lofting, deposition, and detectability.</w:t>
            </w:r>
          </w:p>
        </w:tc>
        <w:tc>
          <w:tcPr>
            <w:tcW w:w="950" w:type="dxa"/>
          </w:tcPr>
          <w:p w14:paraId="61B0E19B" w14:textId="77777777" w:rsidR="003323F8" w:rsidRDefault="00000000" w:rsidP="00B93CED">
            <w:pPr>
              <w:pStyle w:val="cTableBody"/>
            </w:pPr>
            <w:r>
              <w:t>$100M</w:t>
            </w:r>
          </w:p>
        </w:tc>
        <w:tc>
          <w:tcPr>
            <w:tcW w:w="2722" w:type="dxa"/>
          </w:tcPr>
          <w:p w14:paraId="59CBEFDE" w14:textId="77777777" w:rsidR="003323F8" w:rsidRDefault="00000000" w:rsidP="00B93CED">
            <w:pPr>
              <w:pStyle w:val="cTableBody"/>
            </w:pPr>
            <w:r>
              <w:t>SP1-SP4; SP6-SP10.</w:t>
            </w:r>
          </w:p>
        </w:tc>
      </w:tr>
      <w:tr w:rsidR="003323F8" w14:paraId="03EED95E" w14:textId="77777777" w:rsidTr="00AD1C0C">
        <w:tc>
          <w:tcPr>
            <w:tcW w:w="2365" w:type="dxa"/>
          </w:tcPr>
          <w:p w14:paraId="366468E2" w14:textId="77777777" w:rsidR="003323F8" w:rsidRDefault="00B93CED" w:rsidP="00B93CED">
            <w:pPr>
              <w:pStyle w:val="cTableBody"/>
            </w:pPr>
            <w:r w:rsidRPr="00B93CED">
              <w:rPr>
                <w:b/>
                <w:bCs/>
              </w:rPr>
              <w:t xml:space="preserve">Area 4. </w:t>
            </w:r>
            <w:r>
              <w:t>Ship and autonomous-platform plume campaigns</w:t>
            </w:r>
          </w:p>
        </w:tc>
        <w:tc>
          <w:tcPr>
            <w:tcW w:w="1418" w:type="dxa"/>
          </w:tcPr>
          <w:p w14:paraId="4518748D" w14:textId="77777777" w:rsidR="003323F8" w:rsidRDefault="00000000" w:rsidP="00B93CED">
            <w:pPr>
              <w:pStyle w:val="cTableBody"/>
            </w:pPr>
            <w:r>
              <w:t>Source-and-plume</w:t>
            </w:r>
          </w:p>
        </w:tc>
        <w:tc>
          <w:tcPr>
            <w:tcW w:w="3262" w:type="dxa"/>
          </w:tcPr>
          <w:p w14:paraId="563C25E1" w14:textId="77777777" w:rsidR="003323F8" w:rsidRDefault="00000000" w:rsidP="00B93CED">
            <w:pPr>
              <w:pStyle w:val="cTableBody"/>
            </w:pPr>
            <w:r>
              <w:t>Measured survival, dilution, vertical transport, and fraction of emitted particles reaching cloud base.</w:t>
            </w:r>
          </w:p>
        </w:tc>
        <w:tc>
          <w:tcPr>
            <w:tcW w:w="950" w:type="dxa"/>
          </w:tcPr>
          <w:p w14:paraId="5C860EB7" w14:textId="77777777" w:rsidR="003323F8" w:rsidRDefault="00000000" w:rsidP="00B93CED">
            <w:pPr>
              <w:pStyle w:val="cTableBody"/>
            </w:pPr>
            <w:r>
              <w:t>$120M</w:t>
            </w:r>
          </w:p>
        </w:tc>
        <w:tc>
          <w:tcPr>
            <w:tcW w:w="2722" w:type="dxa"/>
          </w:tcPr>
          <w:p w14:paraId="1DEF647D" w14:textId="77777777" w:rsidR="003323F8" w:rsidRDefault="00000000" w:rsidP="00B93CED">
            <w:pPr>
              <w:pStyle w:val="cTableBody"/>
            </w:pPr>
            <w:r>
              <w:t>SP5-SP10; ship, UAS, lidar, and mission-control task orders.</w:t>
            </w:r>
          </w:p>
        </w:tc>
      </w:tr>
      <w:tr w:rsidR="003323F8" w14:paraId="7008FEF3" w14:textId="77777777" w:rsidTr="00AD1C0C">
        <w:tc>
          <w:tcPr>
            <w:tcW w:w="2365" w:type="dxa"/>
          </w:tcPr>
          <w:p w14:paraId="7D15A956" w14:textId="77777777" w:rsidR="003323F8" w:rsidRDefault="00B93CED" w:rsidP="00B93CED">
            <w:pPr>
              <w:pStyle w:val="cTableBody"/>
            </w:pPr>
            <w:r w:rsidRPr="00B93CED">
              <w:rPr>
                <w:b/>
                <w:bCs/>
              </w:rPr>
              <w:t xml:space="preserve">Area 5. </w:t>
            </w:r>
            <w:r>
              <w:t>Small cloud-response experiments</w:t>
            </w:r>
          </w:p>
        </w:tc>
        <w:tc>
          <w:tcPr>
            <w:tcW w:w="1418" w:type="dxa"/>
          </w:tcPr>
          <w:p w14:paraId="430E3F4E" w14:textId="77777777" w:rsidR="003323F8" w:rsidRDefault="00000000" w:rsidP="00B93CED">
            <w:pPr>
              <w:pStyle w:val="cTableBody"/>
            </w:pPr>
            <w:r>
              <w:t>Cloud-response</w:t>
            </w:r>
          </w:p>
        </w:tc>
        <w:tc>
          <w:tcPr>
            <w:tcW w:w="3262" w:type="dxa"/>
          </w:tcPr>
          <w:p w14:paraId="149F5EF1" w14:textId="77777777" w:rsidR="003323F8" w:rsidRDefault="00000000" w:rsidP="00B93CED">
            <w:pPr>
              <w:pStyle w:val="cTableBody"/>
            </w:pPr>
            <w:r>
              <w:t>Causal source-to-cloud response under tightly bounded treated/control conditions.</w:t>
            </w:r>
          </w:p>
        </w:tc>
        <w:tc>
          <w:tcPr>
            <w:tcW w:w="950" w:type="dxa"/>
          </w:tcPr>
          <w:p w14:paraId="410A0197" w14:textId="77777777" w:rsidR="003323F8" w:rsidRDefault="00000000" w:rsidP="00B93CED">
            <w:pPr>
              <w:pStyle w:val="cTableBody"/>
            </w:pPr>
            <w:r>
              <w:t>$180M</w:t>
            </w:r>
          </w:p>
        </w:tc>
        <w:tc>
          <w:tcPr>
            <w:tcW w:w="2722" w:type="dxa"/>
          </w:tcPr>
          <w:p w14:paraId="37EBE6FB" w14:textId="77777777" w:rsidR="003323F8" w:rsidRDefault="00000000" w:rsidP="00B93CED">
            <w:pPr>
              <w:pStyle w:val="cTableBody"/>
            </w:pPr>
            <w:r>
              <w:t>CR1-CR11.</w:t>
            </w:r>
          </w:p>
        </w:tc>
      </w:tr>
      <w:tr w:rsidR="003323F8" w14:paraId="69FA508F" w14:textId="77777777" w:rsidTr="00AD1C0C">
        <w:tc>
          <w:tcPr>
            <w:tcW w:w="2365" w:type="dxa"/>
          </w:tcPr>
          <w:p w14:paraId="2429B354" w14:textId="77777777" w:rsidR="003323F8" w:rsidRDefault="00B93CED" w:rsidP="00B93CED">
            <w:pPr>
              <w:pStyle w:val="cTableBody"/>
            </w:pPr>
            <w:r w:rsidRPr="00B93CED">
              <w:rPr>
                <w:b/>
                <w:bCs/>
              </w:rPr>
              <w:t xml:space="preserve">Area 6. </w:t>
            </w:r>
            <w:r>
              <w:t>Replicated multi-platform cloud campaigns</w:t>
            </w:r>
          </w:p>
        </w:tc>
        <w:tc>
          <w:tcPr>
            <w:tcW w:w="1418" w:type="dxa"/>
          </w:tcPr>
          <w:p w14:paraId="6ED16B83" w14:textId="77777777" w:rsidR="003323F8" w:rsidRDefault="00000000" w:rsidP="00B93CED">
            <w:pPr>
              <w:pStyle w:val="cTableBody"/>
            </w:pPr>
            <w:r>
              <w:t>Cloud-response / replication</w:t>
            </w:r>
          </w:p>
        </w:tc>
        <w:tc>
          <w:tcPr>
            <w:tcW w:w="3262" w:type="dxa"/>
          </w:tcPr>
          <w:p w14:paraId="73168429" w14:textId="77777777" w:rsidR="003323F8" w:rsidRDefault="00000000" w:rsidP="00B93CED">
            <w:pPr>
              <w:pStyle w:val="cTableBody"/>
            </w:pPr>
            <w:r>
              <w:t>Repeated microphysical and radiative response across seasons, sites, and cloud regimes.</w:t>
            </w:r>
          </w:p>
        </w:tc>
        <w:tc>
          <w:tcPr>
            <w:tcW w:w="950" w:type="dxa"/>
          </w:tcPr>
          <w:p w14:paraId="41D91799" w14:textId="77777777" w:rsidR="003323F8" w:rsidRDefault="00000000" w:rsidP="00B93CED">
            <w:pPr>
              <w:pStyle w:val="cTableBody"/>
            </w:pPr>
            <w:r>
              <w:t>$120M</w:t>
            </w:r>
          </w:p>
        </w:tc>
        <w:tc>
          <w:tcPr>
            <w:tcW w:w="2722" w:type="dxa"/>
          </w:tcPr>
          <w:p w14:paraId="406B286A" w14:textId="77777777" w:rsidR="003323F8" w:rsidRDefault="00000000" w:rsidP="00B93CED">
            <w:pPr>
              <w:pStyle w:val="cTableBody"/>
            </w:pPr>
            <w:r>
              <w:t>CR6-CR11; aircraft, vessel, satellite, and remote-sensing task orders.</w:t>
            </w:r>
          </w:p>
        </w:tc>
      </w:tr>
      <w:tr w:rsidR="003323F8" w14:paraId="293F5E1D" w14:textId="77777777" w:rsidTr="00AD1C0C">
        <w:tc>
          <w:tcPr>
            <w:tcW w:w="2365" w:type="dxa"/>
          </w:tcPr>
          <w:p w14:paraId="42F166ED" w14:textId="77777777" w:rsidR="003323F8" w:rsidRDefault="00B93CED" w:rsidP="00B93CED">
            <w:pPr>
              <w:pStyle w:val="cTableBody"/>
            </w:pPr>
            <w:r w:rsidRPr="00B93CED">
              <w:rPr>
                <w:b/>
                <w:bCs/>
              </w:rPr>
              <w:t>Area 7.</w:t>
            </w:r>
            <w:r>
              <w:t xml:space="preserve"> Natural experiments and ship-track program</w:t>
            </w:r>
          </w:p>
        </w:tc>
        <w:tc>
          <w:tcPr>
            <w:tcW w:w="1418" w:type="dxa"/>
          </w:tcPr>
          <w:p w14:paraId="420657EE" w14:textId="77777777" w:rsidR="003323F8" w:rsidRDefault="00000000" w:rsidP="00B93CED">
            <w:pPr>
              <w:pStyle w:val="cTableBody"/>
            </w:pPr>
            <w:r>
              <w:t>Natural analogue / attribution</w:t>
            </w:r>
          </w:p>
        </w:tc>
        <w:tc>
          <w:tcPr>
            <w:tcW w:w="3262" w:type="dxa"/>
          </w:tcPr>
          <w:p w14:paraId="08682A65" w14:textId="77777777" w:rsidR="003323F8" w:rsidRDefault="00000000" w:rsidP="00B93CED">
            <w:pPr>
              <w:pStyle w:val="cTableBody"/>
            </w:pPr>
            <w:r>
              <w:t>Open ship-track database and causal constraints from real-world aerosol perturbations.</w:t>
            </w:r>
          </w:p>
        </w:tc>
        <w:tc>
          <w:tcPr>
            <w:tcW w:w="950" w:type="dxa"/>
          </w:tcPr>
          <w:p w14:paraId="1F2F0B82" w14:textId="77777777" w:rsidR="003323F8" w:rsidRDefault="00000000" w:rsidP="00B93CED">
            <w:pPr>
              <w:pStyle w:val="cTableBody"/>
            </w:pPr>
            <w:r>
              <w:t>$60M</w:t>
            </w:r>
          </w:p>
        </w:tc>
        <w:tc>
          <w:tcPr>
            <w:tcW w:w="2722" w:type="dxa"/>
          </w:tcPr>
          <w:p w14:paraId="6AD93126" w14:textId="77777777" w:rsidR="003323F8" w:rsidRDefault="00000000" w:rsidP="00B93CED">
            <w:pPr>
              <w:pStyle w:val="cTableBody"/>
            </w:pPr>
            <w:r>
              <w:t>Science subawards; satellite, shipping-data, and analysis agreements.</w:t>
            </w:r>
          </w:p>
        </w:tc>
      </w:tr>
      <w:tr w:rsidR="003323F8" w14:paraId="54452C0A" w14:textId="77777777" w:rsidTr="00AD1C0C">
        <w:tc>
          <w:tcPr>
            <w:tcW w:w="2365" w:type="dxa"/>
          </w:tcPr>
          <w:p w14:paraId="7F0A5A2B" w14:textId="77777777" w:rsidR="003323F8" w:rsidRDefault="00B93CED" w:rsidP="00B93CED">
            <w:pPr>
              <w:pStyle w:val="cTableBody"/>
            </w:pPr>
            <w:r w:rsidRPr="00B93CED">
              <w:rPr>
                <w:b/>
                <w:bCs/>
              </w:rPr>
              <w:t>Area 8.</w:t>
            </w:r>
            <w:r>
              <w:t xml:space="preserve"> Deposition, ecology, air quality and marine effects</w:t>
            </w:r>
          </w:p>
        </w:tc>
        <w:tc>
          <w:tcPr>
            <w:tcW w:w="1418" w:type="dxa"/>
          </w:tcPr>
          <w:p w14:paraId="4B322971" w14:textId="77777777" w:rsidR="003323F8" w:rsidRDefault="00000000" w:rsidP="00B93CED">
            <w:pPr>
              <w:pStyle w:val="cTableBody"/>
            </w:pPr>
            <w:r>
              <w:t>Cross-cutting safeguards</w:t>
            </w:r>
          </w:p>
        </w:tc>
        <w:tc>
          <w:tcPr>
            <w:tcW w:w="3262" w:type="dxa"/>
          </w:tcPr>
          <w:p w14:paraId="5E6CBDC6" w14:textId="77777777" w:rsidR="003323F8" w:rsidRDefault="00000000" w:rsidP="00B93CED">
            <w:pPr>
              <w:pStyle w:val="cTableBody"/>
            </w:pPr>
            <w:r>
              <w:t>Salt deposition, exposure, visibility, chemistry, coastal/marine monitoring, and ecological methods.</w:t>
            </w:r>
          </w:p>
        </w:tc>
        <w:tc>
          <w:tcPr>
            <w:tcW w:w="950" w:type="dxa"/>
          </w:tcPr>
          <w:p w14:paraId="0CB93A16" w14:textId="77777777" w:rsidR="003323F8" w:rsidRDefault="00000000" w:rsidP="00B93CED">
            <w:pPr>
              <w:pStyle w:val="cTableBody"/>
            </w:pPr>
            <w:r>
              <w:t>$55M</w:t>
            </w:r>
          </w:p>
        </w:tc>
        <w:tc>
          <w:tcPr>
            <w:tcW w:w="2722" w:type="dxa"/>
          </w:tcPr>
          <w:p w14:paraId="38F619B6" w14:textId="77777777" w:rsidR="003323F8" w:rsidRDefault="00000000" w:rsidP="00B93CED">
            <w:pPr>
              <w:pStyle w:val="cTableBody"/>
            </w:pPr>
            <w:r>
              <w:t>SP2, SP8-SP9; CR2, CR9; ecological and analytical subawards.</w:t>
            </w:r>
          </w:p>
        </w:tc>
      </w:tr>
      <w:tr w:rsidR="003323F8" w14:paraId="30D89233" w14:textId="77777777" w:rsidTr="00AD1C0C">
        <w:tc>
          <w:tcPr>
            <w:tcW w:w="2365" w:type="dxa"/>
          </w:tcPr>
          <w:p w14:paraId="7CB75C10" w14:textId="77777777" w:rsidR="003323F8" w:rsidRDefault="00B93CED" w:rsidP="00B93CED">
            <w:pPr>
              <w:pStyle w:val="cTableBody"/>
            </w:pPr>
            <w:r w:rsidRPr="00B93CED">
              <w:rPr>
                <w:b/>
                <w:bCs/>
              </w:rPr>
              <w:t xml:space="preserve">Area 9. </w:t>
            </w:r>
            <w:r>
              <w:t>Cloud-resolving, regional and global modeling</w:t>
            </w:r>
          </w:p>
        </w:tc>
        <w:tc>
          <w:tcPr>
            <w:tcW w:w="1418" w:type="dxa"/>
          </w:tcPr>
          <w:p w14:paraId="2153C940" w14:textId="77777777" w:rsidR="003323F8" w:rsidRDefault="00000000" w:rsidP="00B93CED">
            <w:pPr>
              <w:pStyle w:val="cTableBody"/>
            </w:pPr>
            <w:r>
              <w:t>Cross-cutting modeling</w:t>
            </w:r>
          </w:p>
        </w:tc>
        <w:tc>
          <w:tcPr>
            <w:tcW w:w="3262" w:type="dxa"/>
          </w:tcPr>
          <w:p w14:paraId="265C6468" w14:textId="77777777" w:rsidR="003323F8" w:rsidRDefault="00000000" w:rsidP="00B93CED">
            <w:pPr>
              <w:pStyle w:val="cTableBody"/>
            </w:pPr>
            <w:r>
              <w:t>LES, data assimilation, attribution, model falsification, scale-up limits, and teleconnection analysis.</w:t>
            </w:r>
          </w:p>
        </w:tc>
        <w:tc>
          <w:tcPr>
            <w:tcW w:w="950" w:type="dxa"/>
          </w:tcPr>
          <w:p w14:paraId="4184C08C" w14:textId="77777777" w:rsidR="003323F8" w:rsidRDefault="00000000" w:rsidP="00B93CED">
            <w:pPr>
              <w:pStyle w:val="cTableBody"/>
            </w:pPr>
            <w:r>
              <w:t>$70M</w:t>
            </w:r>
          </w:p>
        </w:tc>
        <w:tc>
          <w:tcPr>
            <w:tcW w:w="2722" w:type="dxa"/>
          </w:tcPr>
          <w:p w14:paraId="1CDBA1BD" w14:textId="77777777" w:rsidR="003323F8" w:rsidRDefault="00000000" w:rsidP="00B93CED">
            <w:pPr>
              <w:pStyle w:val="cTableBody"/>
            </w:pPr>
            <w:r>
              <w:t>SP1, SP8-SP10; CR1, CR10-CR11; modeling master agreement.</w:t>
            </w:r>
          </w:p>
        </w:tc>
      </w:tr>
      <w:tr w:rsidR="003323F8" w14:paraId="0A96C61E" w14:textId="77777777" w:rsidTr="00AD1C0C">
        <w:tc>
          <w:tcPr>
            <w:tcW w:w="2365" w:type="dxa"/>
          </w:tcPr>
          <w:p w14:paraId="7F6D6D63" w14:textId="77777777" w:rsidR="003323F8" w:rsidRDefault="00B93CED" w:rsidP="00B93CED">
            <w:pPr>
              <w:pStyle w:val="cTableBody"/>
            </w:pPr>
            <w:r w:rsidRPr="00B93CED">
              <w:rPr>
                <w:b/>
                <w:bCs/>
              </w:rPr>
              <w:t>Area 10.</w:t>
            </w:r>
            <w:r>
              <w:t xml:space="preserve"> Shared aircraft, ships, drones, lidar, radar and instruments</w:t>
            </w:r>
          </w:p>
        </w:tc>
        <w:tc>
          <w:tcPr>
            <w:tcW w:w="1418" w:type="dxa"/>
          </w:tcPr>
          <w:p w14:paraId="240A7E61" w14:textId="77777777" w:rsidR="003323F8" w:rsidRDefault="00000000" w:rsidP="00B93CED">
            <w:pPr>
              <w:pStyle w:val="cTableBody"/>
            </w:pPr>
            <w:r>
              <w:t>Shared capability</w:t>
            </w:r>
          </w:p>
        </w:tc>
        <w:tc>
          <w:tcPr>
            <w:tcW w:w="3262" w:type="dxa"/>
          </w:tcPr>
          <w:p w14:paraId="419F1C31" w14:textId="77777777" w:rsidR="003323F8" w:rsidRDefault="00000000" w:rsidP="00B93CED">
            <w:pPr>
              <w:pStyle w:val="cTableBody"/>
            </w:pPr>
            <w:r>
              <w:t>Reusable observing platforms, calibrated payloads, mission control, and data synchronization.</w:t>
            </w:r>
          </w:p>
        </w:tc>
        <w:tc>
          <w:tcPr>
            <w:tcW w:w="950" w:type="dxa"/>
          </w:tcPr>
          <w:p w14:paraId="10094C2F" w14:textId="77777777" w:rsidR="003323F8" w:rsidRDefault="00000000" w:rsidP="00B93CED">
            <w:pPr>
              <w:pStyle w:val="cTableBody"/>
            </w:pPr>
            <w:r>
              <w:t>$55M</w:t>
            </w:r>
          </w:p>
        </w:tc>
        <w:tc>
          <w:tcPr>
            <w:tcW w:w="2722" w:type="dxa"/>
          </w:tcPr>
          <w:p w14:paraId="4FBC6C62" w14:textId="77777777" w:rsidR="003323F8" w:rsidRDefault="00000000" w:rsidP="00B93CED">
            <w:pPr>
              <w:pStyle w:val="cTableBody"/>
            </w:pPr>
            <w:r>
              <w:t>Aircraft, marine operations, instrumentation, UAS, and remote-sensing master agreements.</w:t>
            </w:r>
          </w:p>
        </w:tc>
      </w:tr>
      <w:tr w:rsidR="003323F8" w14:paraId="2867E1AC" w14:textId="77777777" w:rsidTr="00AD1C0C">
        <w:tc>
          <w:tcPr>
            <w:tcW w:w="2365" w:type="dxa"/>
          </w:tcPr>
          <w:p w14:paraId="553B308F" w14:textId="77777777" w:rsidR="003323F8" w:rsidRDefault="00B93CED" w:rsidP="00B93CED">
            <w:pPr>
              <w:pStyle w:val="cTableBody"/>
            </w:pPr>
            <w:r w:rsidRPr="00B93CED">
              <w:rPr>
                <w:b/>
                <w:bCs/>
              </w:rPr>
              <w:t>Area 11.</w:t>
            </w:r>
            <w:r>
              <w:t xml:space="preserve"> Governance, permitting, engagement and international participation</w:t>
            </w:r>
          </w:p>
        </w:tc>
        <w:tc>
          <w:tcPr>
            <w:tcW w:w="1418" w:type="dxa"/>
          </w:tcPr>
          <w:p w14:paraId="5AC2B89C" w14:textId="77777777" w:rsidR="003323F8" w:rsidRDefault="00000000" w:rsidP="00B93CED">
            <w:pPr>
              <w:pStyle w:val="cTableBody"/>
            </w:pPr>
            <w:r>
              <w:t>Independent oversight</w:t>
            </w:r>
          </w:p>
        </w:tc>
        <w:tc>
          <w:tcPr>
            <w:tcW w:w="3262" w:type="dxa"/>
          </w:tcPr>
          <w:p w14:paraId="7B3130A1" w14:textId="77777777" w:rsidR="003323F8" w:rsidRDefault="00000000" w:rsidP="00B93CED">
            <w:pPr>
              <w:pStyle w:val="cTableBody"/>
            </w:pPr>
            <w:r>
              <w:t>Permits, public process, transboundary consultation, release approval, and engagement records.</w:t>
            </w:r>
          </w:p>
        </w:tc>
        <w:tc>
          <w:tcPr>
            <w:tcW w:w="950" w:type="dxa"/>
          </w:tcPr>
          <w:p w14:paraId="29238946" w14:textId="77777777" w:rsidR="003323F8" w:rsidRDefault="00000000" w:rsidP="00B93CED">
            <w:pPr>
              <w:pStyle w:val="cTableBody"/>
            </w:pPr>
            <w:r>
              <w:t>$30M</w:t>
            </w:r>
          </w:p>
        </w:tc>
        <w:tc>
          <w:tcPr>
            <w:tcW w:w="2722" w:type="dxa"/>
          </w:tcPr>
          <w:p w14:paraId="535614C6" w14:textId="77777777" w:rsidR="003323F8" w:rsidRDefault="00000000" w:rsidP="00B93CED">
            <w:pPr>
              <w:pStyle w:val="cTableBody"/>
            </w:pPr>
            <w:r>
              <w:t>SP2, SP10; CR2, CR11; governance and independent-review agreement.</w:t>
            </w:r>
          </w:p>
        </w:tc>
      </w:tr>
      <w:tr w:rsidR="003323F8" w14:paraId="0E60A7A6" w14:textId="77777777" w:rsidTr="00AD1C0C">
        <w:tc>
          <w:tcPr>
            <w:tcW w:w="2365" w:type="dxa"/>
          </w:tcPr>
          <w:p w14:paraId="344952FC" w14:textId="77777777" w:rsidR="003323F8" w:rsidRDefault="00B93CED" w:rsidP="00B93CED">
            <w:pPr>
              <w:pStyle w:val="cTableBody"/>
            </w:pPr>
            <w:r w:rsidRPr="00B93CED">
              <w:rPr>
                <w:b/>
                <w:bCs/>
              </w:rPr>
              <w:t xml:space="preserve">Area 12. </w:t>
            </w:r>
            <w:r>
              <w:t>Independent replication and rapid-response reserve</w:t>
            </w:r>
          </w:p>
        </w:tc>
        <w:tc>
          <w:tcPr>
            <w:tcW w:w="1418" w:type="dxa"/>
          </w:tcPr>
          <w:p w14:paraId="7C015CAB" w14:textId="77777777" w:rsidR="003323F8" w:rsidRDefault="00000000" w:rsidP="00B93CED">
            <w:pPr>
              <w:pStyle w:val="cTableBody"/>
            </w:pPr>
            <w:r>
              <w:t>Replication / reserve</w:t>
            </w:r>
          </w:p>
        </w:tc>
        <w:tc>
          <w:tcPr>
            <w:tcW w:w="3262" w:type="dxa"/>
          </w:tcPr>
          <w:p w14:paraId="5B4D0521" w14:textId="77777777" w:rsidR="003323F8" w:rsidRDefault="00000000" w:rsidP="00B93CED">
            <w:pPr>
              <w:pStyle w:val="cTableBody"/>
            </w:pPr>
            <w:r>
              <w:t>Independent repeats, response to natural analogues, instrument failures, and unexpected findings.</w:t>
            </w:r>
          </w:p>
        </w:tc>
        <w:tc>
          <w:tcPr>
            <w:tcW w:w="950" w:type="dxa"/>
          </w:tcPr>
          <w:p w14:paraId="34CAAA51" w14:textId="77777777" w:rsidR="003323F8" w:rsidRDefault="00000000" w:rsidP="00B93CED">
            <w:pPr>
              <w:pStyle w:val="cTableBody"/>
            </w:pPr>
            <w:r>
              <w:t>$20M</w:t>
            </w:r>
          </w:p>
        </w:tc>
        <w:tc>
          <w:tcPr>
            <w:tcW w:w="2722" w:type="dxa"/>
          </w:tcPr>
          <w:p w14:paraId="5DF4AB68" w14:textId="77777777" w:rsidR="003323F8" w:rsidRDefault="00000000" w:rsidP="00B93CED">
            <w:pPr>
              <w:pStyle w:val="cTableBody"/>
            </w:pPr>
            <w:r>
              <w:t xml:space="preserve">Independent replication task orders; </w:t>
            </w:r>
            <w:proofErr w:type="spellStart"/>
            <w:r>
              <w:t>prepriced</w:t>
            </w:r>
            <w:proofErr w:type="spellEnd"/>
            <w:r>
              <w:t xml:space="preserve"> contingency and replacement options.</w:t>
            </w:r>
          </w:p>
        </w:tc>
      </w:tr>
    </w:tbl>
    <w:p w14:paraId="2D0C503D" w14:textId="77777777" w:rsidR="00603BBF" w:rsidRDefault="00000000">
      <w:pPr>
        <w:pStyle w:val="Heading2"/>
      </w:pPr>
      <w:r>
        <w:t>Acceptance and Decision Crosswalk</w:t>
      </w:r>
    </w:p>
    <w:p w14:paraId="4C6F1232" w14:textId="77777777" w:rsidR="00603BBF" w:rsidRDefault="00000000">
      <w:r>
        <w:t>The following table adds the decision dimension to the budget crosswalk. It does not create new funding; it shows the principal quantity each Area must resolve and the gate or authorization decision that the evidence supports.</w:t>
      </w:r>
    </w:p>
    <w:tbl>
      <w:tblPr>
        <w:tblStyle w:val="gswTableStyle"/>
        <w:tblW w:w="0" w:type="auto"/>
        <w:tblLayout w:type="fixed"/>
        <w:tblLook w:val="04A0" w:firstRow="1" w:lastRow="0" w:firstColumn="1" w:lastColumn="0" w:noHBand="0" w:noVBand="1"/>
      </w:tblPr>
      <w:tblGrid>
        <w:gridCol w:w="2088"/>
        <w:gridCol w:w="4536"/>
        <w:gridCol w:w="1080"/>
        <w:gridCol w:w="2880"/>
      </w:tblGrid>
      <w:tr w:rsidR="00603BBF" w14:paraId="08D28DC5" w14:textId="77777777" w:rsidTr="00603BBF">
        <w:trPr>
          <w:cnfStyle w:val="100000000000" w:firstRow="1" w:lastRow="0" w:firstColumn="0" w:lastColumn="0" w:oddVBand="0" w:evenVBand="0" w:oddHBand="0" w:evenHBand="0" w:firstRowFirstColumn="0" w:firstRowLastColumn="0" w:lastRowFirstColumn="0" w:lastRowLastColumn="0"/>
        </w:trPr>
        <w:tc>
          <w:tcPr>
            <w:tcW w:w="2088" w:type="dxa"/>
          </w:tcPr>
          <w:p w14:paraId="5C19E06E" w14:textId="77777777" w:rsidR="00603BBF" w:rsidRDefault="00000000">
            <w:pPr>
              <w:pStyle w:val="cTableHeader"/>
            </w:pPr>
            <w:r>
              <w:t>Program area</w:t>
            </w:r>
          </w:p>
        </w:tc>
        <w:tc>
          <w:tcPr>
            <w:tcW w:w="4536" w:type="dxa"/>
          </w:tcPr>
          <w:p w14:paraId="67C3B4C0" w14:textId="77777777" w:rsidR="00603BBF" w:rsidRDefault="00000000">
            <w:pPr>
              <w:pStyle w:val="cTableHeader"/>
            </w:pPr>
            <w:r>
              <w:t>Primary acceptance quantity</w:t>
            </w:r>
          </w:p>
        </w:tc>
        <w:tc>
          <w:tcPr>
            <w:tcW w:w="1080" w:type="dxa"/>
          </w:tcPr>
          <w:p w14:paraId="59FA0CF4" w14:textId="77777777" w:rsidR="00603BBF" w:rsidRDefault="00000000">
            <w:pPr>
              <w:pStyle w:val="cTableHeader"/>
            </w:pPr>
            <w:r>
              <w:t>Main gate</w:t>
            </w:r>
          </w:p>
        </w:tc>
        <w:tc>
          <w:tcPr>
            <w:tcW w:w="2880" w:type="dxa"/>
          </w:tcPr>
          <w:p w14:paraId="68CFD95C" w14:textId="77777777" w:rsidR="00603BBF" w:rsidRDefault="00000000">
            <w:pPr>
              <w:pStyle w:val="cTableHeader"/>
            </w:pPr>
            <w:r>
              <w:t>Decision consequence</w:t>
            </w:r>
          </w:p>
        </w:tc>
      </w:tr>
      <w:tr w:rsidR="00603BBF" w14:paraId="03B5812F" w14:textId="77777777" w:rsidTr="00603BBF">
        <w:tc>
          <w:tcPr>
            <w:tcW w:w="2088" w:type="dxa"/>
          </w:tcPr>
          <w:p w14:paraId="10956EE6" w14:textId="77777777" w:rsidR="00603BBF" w:rsidRDefault="00000000">
            <w:pPr>
              <w:pStyle w:val="cTableBody"/>
            </w:pPr>
            <w:r>
              <w:t>Area 1. Baseline observations</w:t>
            </w:r>
          </w:p>
        </w:tc>
        <w:tc>
          <w:tcPr>
            <w:tcW w:w="4536" w:type="dxa"/>
          </w:tcPr>
          <w:p w14:paraId="4FCC2719" w14:textId="77777777" w:rsidR="00603BBF" w:rsidRDefault="00000000">
            <w:pPr>
              <w:pStyle w:val="cTableBody"/>
            </w:pPr>
            <w:r>
              <w:t>Background variability and covariance needed for powered treated/control designs.</w:t>
            </w:r>
          </w:p>
        </w:tc>
        <w:tc>
          <w:tcPr>
            <w:tcW w:w="1080" w:type="dxa"/>
          </w:tcPr>
          <w:p w14:paraId="6604D71A" w14:textId="77777777" w:rsidR="00603BBF" w:rsidRDefault="00000000">
            <w:pPr>
              <w:pStyle w:val="cTableBody"/>
            </w:pPr>
            <w:r>
              <w:t>G0</w:t>
            </w:r>
          </w:p>
        </w:tc>
        <w:tc>
          <w:tcPr>
            <w:tcW w:w="2880" w:type="dxa"/>
          </w:tcPr>
          <w:p w14:paraId="62BCE54C" w14:textId="77777777" w:rsidR="00603BBF" w:rsidRDefault="00000000">
            <w:pPr>
              <w:pStyle w:val="cTableBody"/>
            </w:pPr>
            <w:r>
              <w:t>Whether deliberate experiments are observable and where they should occur.</w:t>
            </w:r>
          </w:p>
        </w:tc>
      </w:tr>
      <w:tr w:rsidR="00603BBF" w14:paraId="02770015" w14:textId="77777777" w:rsidTr="00603BBF">
        <w:tc>
          <w:tcPr>
            <w:tcW w:w="2088" w:type="dxa"/>
          </w:tcPr>
          <w:p w14:paraId="6529A31E" w14:textId="77777777" w:rsidR="00603BBF" w:rsidRDefault="00000000">
            <w:pPr>
              <w:pStyle w:val="cTableBody"/>
            </w:pPr>
            <w:r>
              <w:t>Area 2. Campaign source qualification</w:t>
            </w:r>
          </w:p>
        </w:tc>
        <w:tc>
          <w:tcPr>
            <w:tcW w:w="4536" w:type="dxa"/>
          </w:tcPr>
          <w:p w14:paraId="096394D6" w14:textId="77777777" w:rsidR="00603BBF" w:rsidRDefault="00000000">
            <w:pPr>
              <w:pStyle w:val="cTableBody"/>
            </w:pPr>
            <w:r>
              <w:t>Known source output, size/composition, uncertainty and operating envelope.</w:t>
            </w:r>
          </w:p>
        </w:tc>
        <w:tc>
          <w:tcPr>
            <w:tcW w:w="1080" w:type="dxa"/>
          </w:tcPr>
          <w:p w14:paraId="4C518E8A" w14:textId="77777777" w:rsidR="00603BBF" w:rsidRDefault="00000000">
            <w:pPr>
              <w:pStyle w:val="cTableBody"/>
            </w:pPr>
            <w:r>
              <w:t>G1</w:t>
            </w:r>
          </w:p>
        </w:tc>
        <w:tc>
          <w:tcPr>
            <w:tcW w:w="2880" w:type="dxa"/>
          </w:tcPr>
          <w:p w14:paraId="6FD611D5" w14:textId="77777777" w:rsidR="00603BBF" w:rsidRDefault="00000000">
            <w:pPr>
              <w:pStyle w:val="cTableBody"/>
            </w:pPr>
            <w:r>
              <w:t>Whether a source is suitable for bounded plume/cloud experiments.</w:t>
            </w:r>
          </w:p>
        </w:tc>
      </w:tr>
      <w:tr w:rsidR="00603BBF" w14:paraId="69C2A90C" w14:textId="77777777" w:rsidTr="00603BBF">
        <w:tc>
          <w:tcPr>
            <w:tcW w:w="2088" w:type="dxa"/>
          </w:tcPr>
          <w:p w14:paraId="2A4AE818" w14:textId="77777777" w:rsidR="00603BBF" w:rsidRDefault="00000000">
            <w:pPr>
              <w:pStyle w:val="cTableBody"/>
            </w:pPr>
            <w:r>
              <w:t>Area 3. Shore plume</w:t>
            </w:r>
          </w:p>
        </w:tc>
        <w:tc>
          <w:tcPr>
            <w:tcW w:w="4536" w:type="dxa"/>
          </w:tcPr>
          <w:p w14:paraId="16B6989F" w14:textId="77777777" w:rsidR="00603BBF" w:rsidRDefault="00000000">
            <w:pPr>
              <w:pStyle w:val="cTableBody"/>
            </w:pPr>
            <w:r>
              <w:t>Detectability, near-field evolution, deposition and source reconstruction.</w:t>
            </w:r>
          </w:p>
        </w:tc>
        <w:tc>
          <w:tcPr>
            <w:tcW w:w="1080" w:type="dxa"/>
          </w:tcPr>
          <w:p w14:paraId="7609C335" w14:textId="77777777" w:rsidR="00603BBF" w:rsidRDefault="00000000">
            <w:pPr>
              <w:pStyle w:val="cTableBody"/>
            </w:pPr>
            <w:r>
              <w:t>G2</w:t>
            </w:r>
          </w:p>
        </w:tc>
        <w:tc>
          <w:tcPr>
            <w:tcW w:w="2880" w:type="dxa"/>
          </w:tcPr>
          <w:p w14:paraId="6F92B1FA" w14:textId="77777777" w:rsidR="00603BBF" w:rsidRDefault="00000000">
            <w:pPr>
              <w:pStyle w:val="cTableBody"/>
            </w:pPr>
            <w:r>
              <w:t>Whether moving-source/cloud-base work is justified.</w:t>
            </w:r>
          </w:p>
        </w:tc>
      </w:tr>
      <w:tr w:rsidR="00603BBF" w14:paraId="24164B44" w14:textId="77777777" w:rsidTr="00603BBF">
        <w:tc>
          <w:tcPr>
            <w:tcW w:w="2088" w:type="dxa"/>
          </w:tcPr>
          <w:p w14:paraId="6BDC1A7B" w14:textId="77777777" w:rsidR="00603BBF" w:rsidRDefault="00000000">
            <w:pPr>
              <w:pStyle w:val="cTableBody"/>
            </w:pPr>
            <w:r>
              <w:t>Area 4. Ship/platform plume</w:t>
            </w:r>
          </w:p>
        </w:tc>
        <w:tc>
          <w:tcPr>
            <w:tcW w:w="4536" w:type="dxa"/>
          </w:tcPr>
          <w:p w14:paraId="75F0DAD0" w14:textId="77777777" w:rsidR="00603BBF" w:rsidRDefault="00000000">
            <w:pPr>
              <w:pStyle w:val="cTableBody"/>
            </w:pPr>
            <w:r>
              <w:t>Cloud-base delivery fraction and uncertainty.</w:t>
            </w:r>
          </w:p>
        </w:tc>
        <w:tc>
          <w:tcPr>
            <w:tcW w:w="1080" w:type="dxa"/>
          </w:tcPr>
          <w:p w14:paraId="340760C3" w14:textId="77777777" w:rsidR="00603BBF" w:rsidRDefault="00000000">
            <w:pPr>
              <w:pStyle w:val="cTableBody"/>
            </w:pPr>
            <w:r>
              <w:t>G2</w:t>
            </w:r>
          </w:p>
        </w:tc>
        <w:tc>
          <w:tcPr>
            <w:tcW w:w="2880" w:type="dxa"/>
          </w:tcPr>
          <w:p w14:paraId="1A17F4C8" w14:textId="77777777" w:rsidR="00603BBF" w:rsidRDefault="00000000">
            <w:pPr>
              <w:pStyle w:val="cTableBody"/>
            </w:pPr>
            <w:r>
              <w:t>Whether very small cloud-response work is justified.</w:t>
            </w:r>
          </w:p>
        </w:tc>
      </w:tr>
      <w:tr w:rsidR="00603BBF" w14:paraId="60021F90" w14:textId="77777777" w:rsidTr="00603BBF">
        <w:tc>
          <w:tcPr>
            <w:tcW w:w="2088" w:type="dxa"/>
          </w:tcPr>
          <w:p w14:paraId="0652226F" w14:textId="77777777" w:rsidR="00603BBF" w:rsidRDefault="00000000">
            <w:pPr>
              <w:pStyle w:val="cTableBody"/>
            </w:pPr>
            <w:r>
              <w:t>Area 5. Small cloud response</w:t>
            </w:r>
          </w:p>
        </w:tc>
        <w:tc>
          <w:tcPr>
            <w:tcW w:w="4536" w:type="dxa"/>
          </w:tcPr>
          <w:p w14:paraId="17FFAEAE" w14:textId="77777777" w:rsidR="00603BBF" w:rsidRDefault="00000000">
            <w:pPr>
              <w:pStyle w:val="cTableBody"/>
            </w:pPr>
            <w:r>
              <w:t>Preregistered causal microphysical response and attributable shortwave signal.</w:t>
            </w:r>
          </w:p>
        </w:tc>
        <w:tc>
          <w:tcPr>
            <w:tcW w:w="1080" w:type="dxa"/>
          </w:tcPr>
          <w:p w14:paraId="46DCFF16" w14:textId="77777777" w:rsidR="00603BBF" w:rsidRDefault="00000000">
            <w:pPr>
              <w:pStyle w:val="cTableBody"/>
            </w:pPr>
            <w:r>
              <w:t>G3-G4</w:t>
            </w:r>
          </w:p>
        </w:tc>
        <w:tc>
          <w:tcPr>
            <w:tcW w:w="2880" w:type="dxa"/>
          </w:tcPr>
          <w:p w14:paraId="2732B979" w14:textId="77777777" w:rsidR="00603BBF" w:rsidRDefault="00000000">
            <w:pPr>
              <w:pStyle w:val="cTableBody"/>
            </w:pPr>
            <w:r>
              <w:t>Whether replication and stronger closure campaigns are justified.</w:t>
            </w:r>
          </w:p>
        </w:tc>
      </w:tr>
      <w:tr w:rsidR="00603BBF" w14:paraId="4600D562" w14:textId="77777777" w:rsidTr="00603BBF">
        <w:tc>
          <w:tcPr>
            <w:tcW w:w="2088" w:type="dxa"/>
          </w:tcPr>
          <w:p w14:paraId="4C81B187" w14:textId="77777777" w:rsidR="00603BBF" w:rsidRDefault="00000000">
            <w:pPr>
              <w:pStyle w:val="cTableBody"/>
            </w:pPr>
            <w:r>
              <w:t>Area 6. Replicated campaigns</w:t>
            </w:r>
          </w:p>
        </w:tc>
        <w:tc>
          <w:tcPr>
            <w:tcW w:w="4536" w:type="dxa"/>
          </w:tcPr>
          <w:p w14:paraId="26845632" w14:textId="77777777" w:rsidR="00603BBF" w:rsidRDefault="00000000">
            <w:pPr>
              <w:pStyle w:val="cTableBody"/>
            </w:pPr>
            <w:r>
              <w:t>Independent reproducibility across days, regimes, sites or platforms.</w:t>
            </w:r>
          </w:p>
        </w:tc>
        <w:tc>
          <w:tcPr>
            <w:tcW w:w="1080" w:type="dxa"/>
          </w:tcPr>
          <w:p w14:paraId="3DEB80F3" w14:textId="77777777" w:rsidR="00603BBF" w:rsidRDefault="00000000">
            <w:pPr>
              <w:pStyle w:val="cTableBody"/>
            </w:pPr>
            <w:r>
              <w:t>G5</w:t>
            </w:r>
          </w:p>
        </w:tc>
        <w:tc>
          <w:tcPr>
            <w:tcW w:w="2880" w:type="dxa"/>
          </w:tcPr>
          <w:p w14:paraId="0EBEBA61" w14:textId="77777777" w:rsidR="00603BBF" w:rsidRDefault="00000000">
            <w:pPr>
              <w:pStyle w:val="cTableBody"/>
            </w:pPr>
            <w:r>
              <w:t>Whether broader regime comparison is justified.</w:t>
            </w:r>
          </w:p>
        </w:tc>
      </w:tr>
      <w:tr w:rsidR="00603BBF" w14:paraId="66D8FB18" w14:textId="77777777" w:rsidTr="00603BBF">
        <w:tc>
          <w:tcPr>
            <w:tcW w:w="2088" w:type="dxa"/>
          </w:tcPr>
          <w:p w14:paraId="2906E8A5" w14:textId="77777777" w:rsidR="00603BBF" w:rsidRDefault="00000000">
            <w:pPr>
              <w:pStyle w:val="cTableBody"/>
            </w:pPr>
            <w:r>
              <w:t>Area 7. Natural experiments</w:t>
            </w:r>
          </w:p>
        </w:tc>
        <w:tc>
          <w:tcPr>
            <w:tcW w:w="4536" w:type="dxa"/>
          </w:tcPr>
          <w:p w14:paraId="0917C5D5" w14:textId="77777777" w:rsidR="00603BBF" w:rsidRDefault="00000000">
            <w:pPr>
              <w:pStyle w:val="cTableBody"/>
            </w:pPr>
            <w:r>
              <w:t>Causal constraints from ship tracks and emissions changes.</w:t>
            </w:r>
          </w:p>
        </w:tc>
        <w:tc>
          <w:tcPr>
            <w:tcW w:w="1080" w:type="dxa"/>
          </w:tcPr>
          <w:p w14:paraId="700D1F38" w14:textId="77777777" w:rsidR="00603BBF" w:rsidRDefault="00000000">
            <w:pPr>
              <w:pStyle w:val="cTableBody"/>
            </w:pPr>
            <w:r>
              <w:t>G0/G6</w:t>
            </w:r>
          </w:p>
        </w:tc>
        <w:tc>
          <w:tcPr>
            <w:tcW w:w="2880" w:type="dxa"/>
          </w:tcPr>
          <w:p w14:paraId="427392F1" w14:textId="77777777" w:rsidR="00603BBF" w:rsidRDefault="00000000">
            <w:pPr>
              <w:pStyle w:val="cTableBody"/>
            </w:pPr>
            <w:r>
              <w:t>Whether natural evidence supports or challenges field hypotheses/models.</w:t>
            </w:r>
          </w:p>
        </w:tc>
      </w:tr>
      <w:tr w:rsidR="00603BBF" w14:paraId="05B1BA72" w14:textId="77777777" w:rsidTr="00603BBF">
        <w:tc>
          <w:tcPr>
            <w:tcW w:w="2088" w:type="dxa"/>
          </w:tcPr>
          <w:p w14:paraId="2D25B5DD" w14:textId="77777777" w:rsidR="00603BBF" w:rsidRDefault="00000000">
            <w:pPr>
              <w:pStyle w:val="cTableBody"/>
            </w:pPr>
            <w:r>
              <w:t>Area 8. Environment/ecology</w:t>
            </w:r>
          </w:p>
        </w:tc>
        <w:tc>
          <w:tcPr>
            <w:tcW w:w="4536" w:type="dxa"/>
          </w:tcPr>
          <w:p w14:paraId="1ABEB994" w14:textId="77777777" w:rsidR="00603BBF" w:rsidRDefault="00000000">
            <w:pPr>
              <w:pStyle w:val="cTableBody"/>
            </w:pPr>
            <w:r>
              <w:t>Deposition, exposure and ecological/air-quality bounds with monitored uncertainty.</w:t>
            </w:r>
          </w:p>
        </w:tc>
        <w:tc>
          <w:tcPr>
            <w:tcW w:w="1080" w:type="dxa"/>
          </w:tcPr>
          <w:p w14:paraId="21E21186" w14:textId="77777777" w:rsidR="00603BBF" w:rsidRDefault="00000000">
            <w:pPr>
              <w:pStyle w:val="cTableBody"/>
            </w:pPr>
            <w:r>
              <w:t>RA</w:t>
            </w:r>
          </w:p>
        </w:tc>
        <w:tc>
          <w:tcPr>
            <w:tcW w:w="2880" w:type="dxa"/>
          </w:tcPr>
          <w:p w14:paraId="78C70257" w14:textId="77777777" w:rsidR="00603BBF" w:rsidRDefault="00000000">
            <w:pPr>
              <w:pStyle w:val="cTableBody"/>
            </w:pPr>
            <w:r>
              <w:t>Whether a proposed release remains inside approved environmental limits.</w:t>
            </w:r>
          </w:p>
        </w:tc>
      </w:tr>
      <w:tr w:rsidR="00603BBF" w14:paraId="07BF4314" w14:textId="77777777" w:rsidTr="00603BBF">
        <w:tc>
          <w:tcPr>
            <w:tcW w:w="2088" w:type="dxa"/>
          </w:tcPr>
          <w:p w14:paraId="0E4A5E31" w14:textId="77777777" w:rsidR="00603BBF" w:rsidRDefault="00000000">
            <w:pPr>
              <w:pStyle w:val="cTableBody"/>
            </w:pPr>
            <w:r>
              <w:t>Area 9. Modeling</w:t>
            </w:r>
          </w:p>
        </w:tc>
        <w:tc>
          <w:tcPr>
            <w:tcW w:w="4536" w:type="dxa"/>
          </w:tcPr>
          <w:p w14:paraId="560C28CF" w14:textId="77777777" w:rsidR="00603BBF" w:rsidRDefault="00000000">
            <w:pPr>
              <w:pStyle w:val="cTableBody"/>
            </w:pPr>
            <w:r>
              <w:t>Prediction of withheld plume/cloud/radiation observations.</w:t>
            </w:r>
          </w:p>
        </w:tc>
        <w:tc>
          <w:tcPr>
            <w:tcW w:w="1080" w:type="dxa"/>
          </w:tcPr>
          <w:p w14:paraId="2B867115" w14:textId="77777777" w:rsidR="00603BBF" w:rsidRDefault="00000000">
            <w:pPr>
              <w:pStyle w:val="cTableBody"/>
            </w:pPr>
            <w:r>
              <w:t>G6</w:t>
            </w:r>
          </w:p>
        </w:tc>
        <w:tc>
          <w:tcPr>
            <w:tcW w:w="2880" w:type="dxa"/>
          </w:tcPr>
          <w:p w14:paraId="5FACEAF9" w14:textId="77777777" w:rsidR="00603BBF" w:rsidRDefault="00000000">
            <w:pPr>
              <w:pStyle w:val="cTableBody"/>
            </w:pPr>
            <w:r>
              <w:t>Whether models may be used for bounded next-stage design or scale-up sensitivity.</w:t>
            </w:r>
          </w:p>
        </w:tc>
      </w:tr>
      <w:tr w:rsidR="00603BBF" w14:paraId="4EF73AEC" w14:textId="77777777" w:rsidTr="00603BBF">
        <w:tc>
          <w:tcPr>
            <w:tcW w:w="2088" w:type="dxa"/>
          </w:tcPr>
          <w:p w14:paraId="4F7D09F7" w14:textId="77777777" w:rsidR="00603BBF" w:rsidRDefault="00000000">
            <w:pPr>
              <w:pStyle w:val="cTableBody"/>
            </w:pPr>
            <w:r>
              <w:t>Area 10. Shared capability</w:t>
            </w:r>
          </w:p>
        </w:tc>
        <w:tc>
          <w:tcPr>
            <w:tcW w:w="4536" w:type="dxa"/>
          </w:tcPr>
          <w:p w14:paraId="0AF42F50" w14:textId="77777777" w:rsidR="00603BBF" w:rsidRDefault="00000000">
            <w:pPr>
              <w:pStyle w:val="cTableBody"/>
            </w:pPr>
            <w:r>
              <w:t>Calibration, availability, synchronization and data completeness.</w:t>
            </w:r>
          </w:p>
        </w:tc>
        <w:tc>
          <w:tcPr>
            <w:tcW w:w="1080" w:type="dxa"/>
          </w:tcPr>
          <w:p w14:paraId="54C7B6B9" w14:textId="77777777" w:rsidR="00603BBF" w:rsidRDefault="00000000">
            <w:pPr>
              <w:pStyle w:val="cTableBody"/>
            </w:pPr>
            <w:r>
              <w:t>G0-G6</w:t>
            </w:r>
          </w:p>
        </w:tc>
        <w:tc>
          <w:tcPr>
            <w:tcW w:w="2880" w:type="dxa"/>
          </w:tcPr>
          <w:p w14:paraId="0CB9CCEC" w14:textId="77777777" w:rsidR="00603BBF" w:rsidRDefault="00000000">
            <w:pPr>
              <w:pStyle w:val="cTableBody"/>
            </w:pPr>
            <w:r>
              <w:t>Whether campaigns can achieve their measurement requirements.</w:t>
            </w:r>
          </w:p>
        </w:tc>
      </w:tr>
      <w:tr w:rsidR="00603BBF" w14:paraId="2F352BBF" w14:textId="77777777" w:rsidTr="00603BBF">
        <w:tc>
          <w:tcPr>
            <w:tcW w:w="2088" w:type="dxa"/>
          </w:tcPr>
          <w:p w14:paraId="7D9C4A9E" w14:textId="77777777" w:rsidR="00603BBF" w:rsidRDefault="00000000">
            <w:pPr>
              <w:pStyle w:val="cTableBody"/>
            </w:pPr>
            <w:r>
              <w:t>Area 11. Governance</w:t>
            </w:r>
          </w:p>
        </w:tc>
        <w:tc>
          <w:tcPr>
            <w:tcW w:w="4536" w:type="dxa"/>
          </w:tcPr>
          <w:p w14:paraId="6FE79C43" w14:textId="77777777" w:rsidR="00603BBF" w:rsidRDefault="00000000">
            <w:pPr>
              <w:pStyle w:val="cTableBody"/>
            </w:pPr>
            <w:r>
              <w:t>Permits, engagement, transboundary review and independent release approval.</w:t>
            </w:r>
          </w:p>
        </w:tc>
        <w:tc>
          <w:tcPr>
            <w:tcW w:w="1080" w:type="dxa"/>
          </w:tcPr>
          <w:p w14:paraId="2362A2C3" w14:textId="77777777" w:rsidR="00603BBF" w:rsidRDefault="00000000">
            <w:pPr>
              <w:pStyle w:val="cTableBody"/>
            </w:pPr>
            <w:r>
              <w:t>RA</w:t>
            </w:r>
          </w:p>
        </w:tc>
        <w:tc>
          <w:tcPr>
            <w:tcW w:w="2880" w:type="dxa"/>
          </w:tcPr>
          <w:p w14:paraId="1A0AE663" w14:textId="77777777" w:rsidR="00603BBF" w:rsidRDefault="00000000">
            <w:pPr>
              <w:pStyle w:val="cTableBody"/>
            </w:pPr>
            <w:r>
              <w:t>Whether a specific outdoor release may occur.</w:t>
            </w:r>
          </w:p>
        </w:tc>
      </w:tr>
      <w:tr w:rsidR="00603BBF" w14:paraId="52C87843" w14:textId="77777777" w:rsidTr="00603BBF">
        <w:tc>
          <w:tcPr>
            <w:tcW w:w="2088" w:type="dxa"/>
          </w:tcPr>
          <w:p w14:paraId="25DC18AD" w14:textId="77777777" w:rsidR="00603BBF" w:rsidRDefault="00000000">
            <w:pPr>
              <w:pStyle w:val="cTableBody"/>
            </w:pPr>
            <w:r>
              <w:t>Area 12. Reserve/replication</w:t>
            </w:r>
          </w:p>
        </w:tc>
        <w:tc>
          <w:tcPr>
            <w:tcW w:w="4536" w:type="dxa"/>
          </w:tcPr>
          <w:p w14:paraId="07AB79F8" w14:textId="77777777" w:rsidR="00603BBF" w:rsidRDefault="00000000">
            <w:pPr>
              <w:pStyle w:val="cTableBody"/>
            </w:pPr>
            <w:r>
              <w:t>Independent repeat or approved recovery need.</w:t>
            </w:r>
          </w:p>
        </w:tc>
        <w:tc>
          <w:tcPr>
            <w:tcW w:w="1080" w:type="dxa"/>
          </w:tcPr>
          <w:p w14:paraId="5872DFC1" w14:textId="77777777" w:rsidR="00603BBF" w:rsidRDefault="00000000">
            <w:pPr>
              <w:pStyle w:val="cTableBody"/>
            </w:pPr>
            <w:r>
              <w:t>G5/G7</w:t>
            </w:r>
          </w:p>
        </w:tc>
        <w:tc>
          <w:tcPr>
            <w:tcW w:w="2880" w:type="dxa"/>
          </w:tcPr>
          <w:p w14:paraId="49FEE5F3" w14:textId="77777777" w:rsidR="00603BBF" w:rsidRDefault="00000000">
            <w:pPr>
              <w:pStyle w:val="cTableBody"/>
            </w:pPr>
            <w:r>
              <w:t>Whether to repeat, redirect or preserve funds.</w:t>
            </w:r>
          </w:p>
        </w:tc>
      </w:tr>
    </w:tbl>
    <w:p w14:paraId="6FBA8C23" w14:textId="77777777" w:rsidR="003323F8" w:rsidRDefault="00000000">
      <w:pPr>
        <w:pStyle w:val="Heading1"/>
        <w:spacing w:before="280" w:after="280"/>
      </w:pPr>
      <w:bookmarkStart w:id="14" w:name="_Toc238204653"/>
      <w:r>
        <w:t>Relationship to the MCB Equipment Development Initiative</w:t>
      </w:r>
      <w:bookmarkEnd w:id="14"/>
    </w:p>
    <w:p w14:paraId="7641338E" w14:textId="5A9AABF5" w:rsidR="003323F8" w:rsidRDefault="006C5FD5">
      <w:pPr>
        <w:spacing w:before="280" w:after="280"/>
      </w:pPr>
      <w:r>
        <w:t xml:space="preserve">The </w:t>
      </w:r>
      <w:hyperlink r:id="rId16" w:history="1">
        <w:r w:rsidRPr="003F0B9C">
          <w:rPr>
            <w:rStyle w:val="bhyperlinkChar"/>
          </w:rPr>
          <w:t>MCB Equipment Development</w:t>
        </w:r>
      </w:hyperlink>
      <w:r w:rsidRPr="00DD53EA">
        <w:t xml:space="preserve"> Initiative </w:t>
      </w:r>
      <w:r>
        <w:t xml:space="preserve">and the </w:t>
      </w:r>
      <w:hyperlink r:id="rId17" w:history="1">
        <w:r w:rsidRPr="003F0B9C">
          <w:rPr>
            <w:rStyle w:val="bhyperlinkChar"/>
          </w:rPr>
          <w:t>MCB Experimental Research</w:t>
        </w:r>
      </w:hyperlink>
      <w:r>
        <w:t xml:space="preserve"> Initiative should be complementary. The Experimental Research Initiative pays for the minimum equipment, integration, calibration, and operations needed to answer defined scientific questions. The Equipment Development Initiative pays for longer-horizon engineering to reduce cost, improve performance and reliability, scale manufacturing, and develop operational systems beyond the needs of a specific experiment.</w:t>
      </w:r>
    </w:p>
    <w:tbl>
      <w:tblPr>
        <w:tblStyle w:val="gswTableStyle"/>
        <w:tblW w:w="10818" w:type="dxa"/>
        <w:tblLayout w:type="fixed"/>
        <w:tblLook w:val="04A0" w:firstRow="1" w:lastRow="0" w:firstColumn="1" w:lastColumn="0" w:noHBand="0" w:noVBand="1"/>
      </w:tblPr>
      <w:tblGrid>
        <w:gridCol w:w="1998"/>
        <w:gridCol w:w="4320"/>
        <w:gridCol w:w="4500"/>
      </w:tblGrid>
      <w:tr w:rsidR="003323F8" w:rsidRPr="00AD1C0C" w14:paraId="30461C99" w14:textId="77777777" w:rsidTr="00AD1C0C">
        <w:trPr>
          <w:cnfStyle w:val="100000000000" w:firstRow="1" w:lastRow="0" w:firstColumn="0" w:lastColumn="0" w:oddVBand="0" w:evenVBand="0" w:oddHBand="0" w:evenHBand="0" w:firstRowFirstColumn="0" w:firstRowLastColumn="0" w:lastRowFirstColumn="0" w:lastRowLastColumn="0"/>
        </w:trPr>
        <w:tc>
          <w:tcPr>
            <w:tcW w:w="1998" w:type="dxa"/>
          </w:tcPr>
          <w:p w14:paraId="3E63CDBD" w14:textId="77777777" w:rsidR="003323F8" w:rsidRPr="00AD1C0C" w:rsidRDefault="00000000" w:rsidP="00AD1C0C">
            <w:pPr>
              <w:pStyle w:val="cTableHeader"/>
            </w:pPr>
            <w:r w:rsidRPr="00AD1C0C">
              <w:t>Capability</w:t>
            </w:r>
          </w:p>
        </w:tc>
        <w:tc>
          <w:tcPr>
            <w:tcW w:w="4320" w:type="dxa"/>
          </w:tcPr>
          <w:p w14:paraId="15D8AEF1" w14:textId="77777777" w:rsidR="003323F8" w:rsidRPr="00AD1C0C" w:rsidRDefault="00000000" w:rsidP="00AD1C0C">
            <w:pPr>
              <w:pStyle w:val="cTableHeader"/>
            </w:pPr>
            <w:r w:rsidRPr="00AD1C0C">
              <w:t>Experimental Research Initiative</w:t>
            </w:r>
          </w:p>
        </w:tc>
        <w:tc>
          <w:tcPr>
            <w:tcW w:w="4500" w:type="dxa"/>
          </w:tcPr>
          <w:p w14:paraId="34BC20E1" w14:textId="77777777" w:rsidR="003323F8" w:rsidRPr="00AD1C0C" w:rsidRDefault="00000000" w:rsidP="00AD1C0C">
            <w:pPr>
              <w:pStyle w:val="cTableHeader"/>
            </w:pPr>
            <w:r w:rsidRPr="00AD1C0C">
              <w:t>MCB Equipment Development Initiative</w:t>
            </w:r>
          </w:p>
        </w:tc>
      </w:tr>
      <w:tr w:rsidR="003323F8" w14:paraId="6429C535" w14:textId="77777777" w:rsidTr="00AD1C0C">
        <w:tc>
          <w:tcPr>
            <w:tcW w:w="1998" w:type="dxa"/>
          </w:tcPr>
          <w:p w14:paraId="0CC3F0A7" w14:textId="77777777" w:rsidR="003323F8" w:rsidRDefault="00000000" w:rsidP="005F3C6B">
            <w:pPr>
              <w:pStyle w:val="cTableBody"/>
            </w:pPr>
            <w:r>
              <w:t>Sea-salt generators</w:t>
            </w:r>
          </w:p>
        </w:tc>
        <w:tc>
          <w:tcPr>
            <w:tcW w:w="4320" w:type="dxa"/>
          </w:tcPr>
          <w:p w14:paraId="53F3ECB1" w14:textId="77777777" w:rsidR="003323F8" w:rsidRDefault="00000000" w:rsidP="005F3C6B">
            <w:pPr>
              <w:pStyle w:val="cTableBody"/>
            </w:pPr>
            <w:r>
              <w:t>Campaign-grade sources, calibration, source metrology, spares, and modifications required for approved experiments.</w:t>
            </w:r>
          </w:p>
        </w:tc>
        <w:tc>
          <w:tcPr>
            <w:tcW w:w="4500" w:type="dxa"/>
          </w:tcPr>
          <w:p w14:paraId="4FCC1AB7" w14:textId="77777777" w:rsidR="003323F8" w:rsidRDefault="00000000" w:rsidP="005F3C6B">
            <w:pPr>
              <w:pStyle w:val="cTableBody"/>
            </w:pPr>
            <w:r>
              <w:t>Next-generation high-throughput sources; energy reduction; tighter size control; durability; manufacturability; scalable production.</w:t>
            </w:r>
          </w:p>
        </w:tc>
      </w:tr>
      <w:tr w:rsidR="003323F8" w14:paraId="06DD7B1D" w14:textId="77777777" w:rsidTr="00AD1C0C">
        <w:tc>
          <w:tcPr>
            <w:tcW w:w="1998" w:type="dxa"/>
          </w:tcPr>
          <w:p w14:paraId="317F5D38" w14:textId="77777777" w:rsidR="003323F8" w:rsidRDefault="00000000" w:rsidP="005F3C6B">
            <w:pPr>
              <w:pStyle w:val="cTableBody"/>
            </w:pPr>
            <w:r>
              <w:t>Vessels and source platforms</w:t>
            </w:r>
          </w:p>
        </w:tc>
        <w:tc>
          <w:tcPr>
            <w:tcW w:w="4320" w:type="dxa"/>
          </w:tcPr>
          <w:p w14:paraId="7E27F472" w14:textId="77777777" w:rsidR="003323F8" w:rsidRDefault="00000000" w:rsidP="005F3C6B">
            <w:pPr>
              <w:pStyle w:val="cTableBody"/>
            </w:pPr>
            <w:r>
              <w:t>Temporary integration, release masts, ship time, safety review, and autonomous-platform use needed for campaigns.</w:t>
            </w:r>
          </w:p>
        </w:tc>
        <w:tc>
          <w:tcPr>
            <w:tcW w:w="4500" w:type="dxa"/>
          </w:tcPr>
          <w:p w14:paraId="5DD9C813" w14:textId="77777777" w:rsidR="003323F8" w:rsidRDefault="00000000" w:rsidP="005F3C6B">
            <w:pPr>
              <w:pStyle w:val="cTableBody"/>
            </w:pPr>
            <w:r>
              <w:t>Purpose-built or highly automated long-endurance source platforms, fleet automation, maintainability, and deployment-oriented marine systems.</w:t>
            </w:r>
          </w:p>
        </w:tc>
      </w:tr>
      <w:tr w:rsidR="003323F8" w14:paraId="00BC2519" w14:textId="77777777" w:rsidTr="00AD1C0C">
        <w:tc>
          <w:tcPr>
            <w:tcW w:w="1998" w:type="dxa"/>
          </w:tcPr>
          <w:p w14:paraId="79C8C4D3" w14:textId="77777777" w:rsidR="003323F8" w:rsidRDefault="00000000" w:rsidP="005F3C6B">
            <w:pPr>
              <w:pStyle w:val="cTableBody"/>
            </w:pPr>
            <w:r>
              <w:t>Aircraft and airborne systems</w:t>
            </w:r>
          </w:p>
        </w:tc>
        <w:tc>
          <w:tcPr>
            <w:tcW w:w="4320" w:type="dxa"/>
          </w:tcPr>
          <w:p w14:paraId="2633C2D2" w14:textId="77777777" w:rsidR="003323F8" w:rsidRDefault="00000000" w:rsidP="005F3C6B">
            <w:pPr>
              <w:pStyle w:val="cTableBody"/>
            </w:pPr>
            <w:r>
              <w:t>Research-aircraft access, modular measurement payloads, characterized inlets, integration, calibration, and data links.</w:t>
            </w:r>
          </w:p>
        </w:tc>
        <w:tc>
          <w:tcPr>
            <w:tcW w:w="4500" w:type="dxa"/>
          </w:tcPr>
          <w:p w14:paraId="2AC5C8FC" w14:textId="77777777" w:rsidR="003323F8" w:rsidRDefault="00000000" w:rsidP="005F3C6B">
            <w:pPr>
              <w:pStyle w:val="cTableBody"/>
            </w:pPr>
            <w:r>
              <w:t>New specialized airborne hardware only if a persistent capability gap is demonstrated; cost/reliability improvements to reusable airborne systems.</w:t>
            </w:r>
          </w:p>
        </w:tc>
      </w:tr>
      <w:tr w:rsidR="003323F8" w14:paraId="78C0FDD8" w14:textId="77777777" w:rsidTr="00AD1C0C">
        <w:tc>
          <w:tcPr>
            <w:tcW w:w="1998" w:type="dxa"/>
          </w:tcPr>
          <w:p w14:paraId="4CE7D060" w14:textId="77777777" w:rsidR="003323F8" w:rsidRDefault="00000000" w:rsidP="005F3C6B">
            <w:pPr>
              <w:pStyle w:val="cTableBody"/>
            </w:pPr>
            <w:r>
              <w:t>Remote sensing and instruments</w:t>
            </w:r>
          </w:p>
        </w:tc>
        <w:tc>
          <w:tcPr>
            <w:tcW w:w="4320" w:type="dxa"/>
          </w:tcPr>
          <w:p w14:paraId="7431D7BA" w14:textId="77777777" w:rsidR="003323F8" w:rsidRDefault="00000000" w:rsidP="005F3C6B">
            <w:pPr>
              <w:pStyle w:val="cTableBody"/>
            </w:pPr>
            <w:r>
              <w:t>Calibrated aerosol, CCN, cloud, radar, lidar, radiometer, drone, and data-acquisition systems needed to close experiments.</w:t>
            </w:r>
          </w:p>
        </w:tc>
        <w:tc>
          <w:tcPr>
            <w:tcW w:w="4500" w:type="dxa"/>
          </w:tcPr>
          <w:p w14:paraId="372DF29B" w14:textId="77777777" w:rsidR="003323F8" w:rsidRDefault="00000000" w:rsidP="005F3C6B">
            <w:pPr>
              <w:pStyle w:val="cTableBody"/>
            </w:pPr>
            <w:r>
              <w:t>Ruggedized, lower-cost, higher-autonomy, or scalable sensor networks not justified by one campaign.</w:t>
            </w:r>
          </w:p>
        </w:tc>
      </w:tr>
      <w:tr w:rsidR="003323F8" w14:paraId="05EE8C08" w14:textId="77777777" w:rsidTr="00AD1C0C">
        <w:tc>
          <w:tcPr>
            <w:tcW w:w="1998" w:type="dxa"/>
          </w:tcPr>
          <w:p w14:paraId="1ED749FF" w14:textId="77777777" w:rsidR="003323F8" w:rsidRDefault="00000000" w:rsidP="005F3C6B">
            <w:pPr>
              <w:pStyle w:val="cTableBody"/>
            </w:pPr>
            <w:r>
              <w:t>Mission control and software</w:t>
            </w:r>
          </w:p>
        </w:tc>
        <w:tc>
          <w:tcPr>
            <w:tcW w:w="4320" w:type="dxa"/>
          </w:tcPr>
          <w:p w14:paraId="443E7F4C" w14:textId="77777777" w:rsidR="003323F8" w:rsidRDefault="00000000" w:rsidP="005F3C6B">
            <w:pPr>
              <w:pStyle w:val="cTableBody"/>
            </w:pPr>
            <w:r>
              <w:t>Real-time plume/cloud targeting, source records, forecasts, synchronization, and experiment safety functions.</w:t>
            </w:r>
          </w:p>
        </w:tc>
        <w:tc>
          <w:tcPr>
            <w:tcW w:w="4500" w:type="dxa"/>
          </w:tcPr>
          <w:p w14:paraId="2CA66146" w14:textId="77777777" w:rsidR="003323F8" w:rsidRDefault="00000000" w:rsidP="005F3C6B">
            <w:pPr>
              <w:pStyle w:val="cTableBody"/>
            </w:pPr>
            <w:r>
              <w:t>Scalable autonomous control, fleet coordination, long-duration operations, and deployment-oriented optimization.</w:t>
            </w:r>
          </w:p>
        </w:tc>
      </w:tr>
    </w:tbl>
    <w:p w14:paraId="2B7EBAF7" w14:textId="77777777" w:rsidR="003323F8" w:rsidRDefault="00000000">
      <w:pPr>
        <w:spacing w:before="280" w:after="280"/>
      </w:pPr>
      <w:r>
        <w:t>Boundary rules. Do not fund items twice: assign one lead initiative and track shared assets in a common registry. Experimental Research funds campaign-specific adaptations; Equipment Development hardens, scales, automates, and reduces the cost of validated prototypes.</w:t>
      </w:r>
    </w:p>
    <w:p w14:paraId="37D76814" w14:textId="77777777" w:rsidR="00603BBF" w:rsidRDefault="00000000">
      <w:pPr>
        <w:pStyle w:val="Heading2"/>
      </w:pPr>
      <w:r>
        <w:t>Asset-Level Budget Boundary</w:t>
      </w:r>
    </w:p>
    <w:p w14:paraId="5DC092A4" w14:textId="77777777" w:rsidR="00603BBF" w:rsidRDefault="00000000">
      <w:r>
        <w:t>Area 2 should be interpreted as campaign source qualification and aerosol microphysics, not as a second long-horizon equipment-development program. Every reusable shared asset should have one lead capital budget and a common registry; the other initiative pays only incremental adaptation, operating time, consumables, or intentionally independent capacity.</w:t>
      </w:r>
    </w:p>
    <w:tbl>
      <w:tblPr>
        <w:tblStyle w:val="gswTableStyle"/>
        <w:tblW w:w="0" w:type="auto"/>
        <w:tblLayout w:type="fixed"/>
        <w:tblLook w:val="04A0" w:firstRow="1" w:lastRow="0" w:firstColumn="1" w:lastColumn="0" w:noHBand="0" w:noVBand="1"/>
      </w:tblPr>
      <w:tblGrid>
        <w:gridCol w:w="1800"/>
        <w:gridCol w:w="1944"/>
        <w:gridCol w:w="3240"/>
        <w:gridCol w:w="3384"/>
      </w:tblGrid>
      <w:tr w:rsidR="00603BBF" w14:paraId="65427E0E" w14:textId="77777777" w:rsidTr="00603BBF">
        <w:trPr>
          <w:cnfStyle w:val="100000000000" w:firstRow="1" w:lastRow="0" w:firstColumn="0" w:lastColumn="0" w:oddVBand="0" w:evenVBand="0" w:oddHBand="0" w:evenHBand="0" w:firstRowFirstColumn="0" w:firstRowLastColumn="0" w:lastRowFirstColumn="0" w:lastRowLastColumn="0"/>
        </w:trPr>
        <w:tc>
          <w:tcPr>
            <w:tcW w:w="1800" w:type="dxa"/>
          </w:tcPr>
          <w:p w14:paraId="3FC69371" w14:textId="77777777" w:rsidR="00603BBF" w:rsidRDefault="00000000">
            <w:pPr>
              <w:pStyle w:val="cTableHeader"/>
            </w:pPr>
            <w:r>
              <w:t>Shared capability</w:t>
            </w:r>
          </w:p>
        </w:tc>
        <w:tc>
          <w:tcPr>
            <w:tcW w:w="1944" w:type="dxa"/>
          </w:tcPr>
          <w:p w14:paraId="4013252D" w14:textId="77777777" w:rsidR="00603BBF" w:rsidRDefault="00000000">
            <w:pPr>
              <w:pStyle w:val="cTableHeader"/>
            </w:pPr>
            <w:r>
              <w:t>Lead capital budget</w:t>
            </w:r>
          </w:p>
        </w:tc>
        <w:tc>
          <w:tcPr>
            <w:tcW w:w="3240" w:type="dxa"/>
          </w:tcPr>
          <w:p w14:paraId="398601FF" w14:textId="77777777" w:rsidR="00603BBF" w:rsidRDefault="00000000">
            <w:pPr>
              <w:pStyle w:val="cTableHeader"/>
            </w:pPr>
            <w:r>
              <w:t>Experimental Research pays</w:t>
            </w:r>
          </w:p>
        </w:tc>
        <w:tc>
          <w:tcPr>
            <w:tcW w:w="3384" w:type="dxa"/>
          </w:tcPr>
          <w:p w14:paraId="65075486" w14:textId="77777777" w:rsidR="00603BBF" w:rsidRDefault="00000000">
            <w:pPr>
              <w:pStyle w:val="cTableHeader"/>
            </w:pPr>
            <w:r>
              <w:t>Equipment Development pays</w:t>
            </w:r>
          </w:p>
        </w:tc>
      </w:tr>
      <w:tr w:rsidR="00603BBF" w14:paraId="10E3E5BB" w14:textId="77777777" w:rsidTr="00603BBF">
        <w:tc>
          <w:tcPr>
            <w:tcW w:w="1800" w:type="dxa"/>
          </w:tcPr>
          <w:p w14:paraId="42EAD612" w14:textId="77777777" w:rsidR="00603BBF" w:rsidRDefault="00000000">
            <w:pPr>
              <w:pStyle w:val="cTableBody"/>
            </w:pPr>
            <w:r>
              <w:t>Sea-salt source</w:t>
            </w:r>
          </w:p>
        </w:tc>
        <w:tc>
          <w:tcPr>
            <w:tcW w:w="1944" w:type="dxa"/>
          </w:tcPr>
          <w:p w14:paraId="46235B76" w14:textId="77777777" w:rsidR="00603BBF" w:rsidRDefault="00000000">
            <w:pPr>
              <w:pStyle w:val="cTableBody"/>
            </w:pPr>
            <w:r>
              <w:t>Equipment Development when reusable engineering is the primary purpose.</w:t>
            </w:r>
          </w:p>
        </w:tc>
        <w:tc>
          <w:tcPr>
            <w:tcW w:w="3240" w:type="dxa"/>
          </w:tcPr>
          <w:p w14:paraId="55789F6C" w14:textId="77777777" w:rsidR="00603BBF" w:rsidRDefault="00000000">
            <w:pPr>
              <w:pStyle w:val="cTableBody"/>
            </w:pPr>
            <w:r>
              <w:t>Campaign settings, science-specific modifications, calibration, consumables and campaign operation.</w:t>
            </w:r>
          </w:p>
        </w:tc>
        <w:tc>
          <w:tcPr>
            <w:tcW w:w="3384" w:type="dxa"/>
          </w:tcPr>
          <w:p w14:paraId="0F88DF1C" w14:textId="77777777" w:rsidR="00603BBF" w:rsidRDefault="00000000">
            <w:pPr>
              <w:pStyle w:val="cTableBody"/>
            </w:pPr>
            <w:r>
              <w:t>Competing source designs, scaling, durability, energy reduction, manufacturability and long-duration reliability.</w:t>
            </w:r>
          </w:p>
        </w:tc>
      </w:tr>
      <w:tr w:rsidR="00603BBF" w14:paraId="1E740D56" w14:textId="77777777" w:rsidTr="00603BBF">
        <w:tc>
          <w:tcPr>
            <w:tcW w:w="1800" w:type="dxa"/>
          </w:tcPr>
          <w:p w14:paraId="11F0DF06" w14:textId="77777777" w:rsidR="00603BBF" w:rsidRDefault="00000000">
            <w:pPr>
              <w:pStyle w:val="cTableBody"/>
            </w:pPr>
            <w:r>
              <w:t>Research aircraft</w:t>
            </w:r>
          </w:p>
        </w:tc>
        <w:tc>
          <w:tcPr>
            <w:tcW w:w="1944" w:type="dxa"/>
          </w:tcPr>
          <w:p w14:paraId="60A8A379" w14:textId="77777777" w:rsidR="00603BBF" w:rsidRDefault="00000000">
            <w:pPr>
              <w:pStyle w:val="cTableBody"/>
            </w:pPr>
            <w:r>
              <w:t>Experimental Research / shared asset registry.</w:t>
            </w:r>
          </w:p>
        </w:tc>
        <w:tc>
          <w:tcPr>
            <w:tcW w:w="3240" w:type="dxa"/>
          </w:tcPr>
          <w:p w14:paraId="40943EEF" w14:textId="77777777" w:rsidR="00603BBF" w:rsidRDefault="00000000">
            <w:pPr>
              <w:pStyle w:val="cTableBody"/>
            </w:pPr>
            <w:r>
              <w:t>Aircraft campaign hours, payload integration and experiment-specific calibration.</w:t>
            </w:r>
          </w:p>
        </w:tc>
        <w:tc>
          <w:tcPr>
            <w:tcW w:w="3384" w:type="dxa"/>
          </w:tcPr>
          <w:p w14:paraId="123F38D5" w14:textId="77777777" w:rsidR="00603BBF" w:rsidRDefault="00000000">
            <w:pPr>
              <w:pStyle w:val="cTableBody"/>
            </w:pPr>
            <w:r>
              <w:t>Only incremental reusable hardware improvements not justified by one campaign.</w:t>
            </w:r>
          </w:p>
        </w:tc>
      </w:tr>
      <w:tr w:rsidR="00603BBF" w14:paraId="73B0B9AE" w14:textId="77777777" w:rsidTr="00603BBF">
        <w:tc>
          <w:tcPr>
            <w:tcW w:w="1800" w:type="dxa"/>
          </w:tcPr>
          <w:p w14:paraId="65305A6E" w14:textId="77777777" w:rsidR="00603BBF" w:rsidRDefault="00000000">
            <w:pPr>
              <w:pStyle w:val="cTableBody"/>
            </w:pPr>
            <w:r>
              <w:t>Radar/lidar/cloud instruments</w:t>
            </w:r>
          </w:p>
        </w:tc>
        <w:tc>
          <w:tcPr>
            <w:tcW w:w="1944" w:type="dxa"/>
          </w:tcPr>
          <w:p w14:paraId="0B0A2507" w14:textId="77777777" w:rsidR="00603BBF" w:rsidRDefault="00000000">
            <w:pPr>
              <w:pStyle w:val="cTableBody"/>
            </w:pPr>
            <w:r>
              <w:t>Experimental Research / shared asset registry.</w:t>
            </w:r>
          </w:p>
        </w:tc>
        <w:tc>
          <w:tcPr>
            <w:tcW w:w="3240" w:type="dxa"/>
          </w:tcPr>
          <w:p w14:paraId="1F3B22B6" w14:textId="77777777" w:rsidR="00603BBF" w:rsidRDefault="00000000">
            <w:pPr>
              <w:pStyle w:val="cTableBody"/>
            </w:pPr>
            <w:r>
              <w:t>Scientific instrumentation, calibration and campaign operation.</w:t>
            </w:r>
          </w:p>
        </w:tc>
        <w:tc>
          <w:tcPr>
            <w:tcW w:w="3384" w:type="dxa"/>
          </w:tcPr>
          <w:p w14:paraId="3AAF5731" w14:textId="77777777" w:rsidR="00603BBF" w:rsidRDefault="00000000">
            <w:pPr>
              <w:pStyle w:val="cTableBody"/>
            </w:pPr>
            <w:r>
              <w:t>Ruggedization or scalable sensor engineering only when a distinct equipment-development objective exists.</w:t>
            </w:r>
          </w:p>
        </w:tc>
      </w:tr>
      <w:tr w:rsidR="00603BBF" w14:paraId="000609B6" w14:textId="77777777" w:rsidTr="00603BBF">
        <w:tc>
          <w:tcPr>
            <w:tcW w:w="1800" w:type="dxa"/>
          </w:tcPr>
          <w:p w14:paraId="5DD041F8" w14:textId="77777777" w:rsidR="00603BBF" w:rsidRDefault="00000000">
            <w:pPr>
              <w:pStyle w:val="cTableBody"/>
            </w:pPr>
            <w:r>
              <w:t>Vessels/platforms</w:t>
            </w:r>
          </w:p>
        </w:tc>
        <w:tc>
          <w:tcPr>
            <w:tcW w:w="1944" w:type="dxa"/>
          </w:tcPr>
          <w:p w14:paraId="197FA761" w14:textId="77777777" w:rsidR="00603BBF" w:rsidRDefault="00000000">
            <w:pPr>
              <w:pStyle w:val="cTableBody"/>
            </w:pPr>
            <w:r>
              <w:t>Lead initiative designated per asset.</w:t>
            </w:r>
          </w:p>
        </w:tc>
        <w:tc>
          <w:tcPr>
            <w:tcW w:w="3240" w:type="dxa"/>
          </w:tcPr>
          <w:p w14:paraId="5144F760" w14:textId="77777777" w:rsidR="00603BBF" w:rsidRDefault="00000000">
            <w:pPr>
              <w:pStyle w:val="cTableBody"/>
            </w:pPr>
            <w:r>
              <w:t>Campaign charter/use, temporary integration and scientific operations.</w:t>
            </w:r>
          </w:p>
        </w:tc>
        <w:tc>
          <w:tcPr>
            <w:tcW w:w="3384" w:type="dxa"/>
          </w:tcPr>
          <w:p w14:paraId="5DD2EE1F" w14:textId="77777777" w:rsidR="00603BBF" w:rsidRDefault="00000000">
            <w:pPr>
              <w:pStyle w:val="cTableBody"/>
            </w:pPr>
            <w:r>
              <w:t>Purpose-built prototypes, autonomy, long-endurance reliability, maintenance and fleet engineering.</w:t>
            </w:r>
          </w:p>
        </w:tc>
      </w:tr>
      <w:tr w:rsidR="00603BBF" w14:paraId="3C05B7E7" w14:textId="77777777" w:rsidTr="00603BBF">
        <w:tc>
          <w:tcPr>
            <w:tcW w:w="1800" w:type="dxa"/>
          </w:tcPr>
          <w:p w14:paraId="02AF348E" w14:textId="77777777" w:rsidR="00603BBF" w:rsidRDefault="00000000">
            <w:pPr>
              <w:pStyle w:val="cTableBody"/>
            </w:pPr>
            <w:r>
              <w:t>Data/software</w:t>
            </w:r>
          </w:p>
        </w:tc>
        <w:tc>
          <w:tcPr>
            <w:tcW w:w="1944" w:type="dxa"/>
          </w:tcPr>
          <w:p w14:paraId="167FF039" w14:textId="77777777" w:rsidR="00603BBF" w:rsidRDefault="00000000">
            <w:pPr>
              <w:pStyle w:val="cTableBody"/>
            </w:pPr>
            <w:r>
              <w:t>Lead initiative designated per system.</w:t>
            </w:r>
          </w:p>
        </w:tc>
        <w:tc>
          <w:tcPr>
            <w:tcW w:w="3240" w:type="dxa"/>
          </w:tcPr>
          <w:p w14:paraId="452F8A86" w14:textId="77777777" w:rsidR="00603BBF" w:rsidRDefault="00000000">
            <w:pPr>
              <w:pStyle w:val="cTableBody"/>
            </w:pPr>
            <w:r>
              <w:t>Preregistration, science forecasts, causal analysis and scientific archive.</w:t>
            </w:r>
          </w:p>
        </w:tc>
        <w:tc>
          <w:tcPr>
            <w:tcW w:w="3384" w:type="dxa"/>
          </w:tcPr>
          <w:p w14:paraId="4BE219D4" w14:textId="77777777" w:rsidR="00603BBF" w:rsidRDefault="00000000">
            <w:pPr>
              <w:pStyle w:val="cTableBody"/>
            </w:pPr>
            <w:r>
              <w:t>Engineering digital twins, scalable fleet control and lifecycle/maintenance systems.</w:t>
            </w:r>
          </w:p>
        </w:tc>
      </w:tr>
    </w:tbl>
    <w:p w14:paraId="426CE33F" w14:textId="77777777" w:rsidR="00603BBF" w:rsidRDefault="00000000">
      <w:pPr>
        <w:pStyle w:val="Heading1"/>
      </w:pPr>
      <w:bookmarkStart w:id="15" w:name="_Toc238204654"/>
      <w:r>
        <w:t>Scientific Requirements, Traceability, and Acceptance</w:t>
      </w:r>
      <w:bookmarkEnd w:id="15"/>
    </w:p>
    <w:p w14:paraId="6656C8EB" w14:textId="77777777" w:rsidR="00603BBF" w:rsidRDefault="00000000">
      <w:pPr>
        <w:pStyle w:val="cUserPromptText"/>
      </w:pPr>
      <w:r w:rsidRPr="007A7972">
        <w:rPr>
          <w:rStyle w:val="UserPromptHeadingChar"/>
        </w:rPr>
        <w:t xml:space="preserve">Prompt to AI: </w:t>
      </w:r>
      <w:r>
        <w:t>What scientific traceability system should connect each MCB experiment to a decision, a preregistered hypothesis, measurements, uncertainty, model predictions, and an explicit acceptance decision?</w:t>
      </w:r>
    </w:p>
    <w:p w14:paraId="2A66C1D4" w14:textId="77777777" w:rsidR="00603BBF" w:rsidRDefault="00000000">
      <w:pPr>
        <w:pStyle w:val="cSubject"/>
      </w:pPr>
      <w:r>
        <w:t>Response From AI:</w:t>
      </w:r>
    </w:p>
    <w:p w14:paraId="4326AF6B" w14:textId="77777777" w:rsidR="00603BBF" w:rsidRDefault="00000000">
      <w:r>
        <w:t>Every major campaign should maintain a configuration-controlled Scientific Traceability Matrix. The matrix should make it possible for an independent reviewer to follow a proposed release from the decision question through the experimental design, raw evidence, uncertainty, model comparison, and final gate disposition.</w:t>
      </w:r>
    </w:p>
    <w:tbl>
      <w:tblPr>
        <w:tblStyle w:val="gswTableStyle"/>
        <w:tblW w:w="0" w:type="auto"/>
        <w:tblLayout w:type="fixed"/>
        <w:tblLook w:val="04A0" w:firstRow="1" w:lastRow="0" w:firstColumn="1" w:lastColumn="0" w:noHBand="0" w:noVBand="1"/>
      </w:tblPr>
      <w:tblGrid>
        <w:gridCol w:w="2088"/>
        <w:gridCol w:w="4392"/>
        <w:gridCol w:w="3888"/>
      </w:tblGrid>
      <w:tr w:rsidR="00603BBF" w14:paraId="2D1D223D" w14:textId="77777777" w:rsidTr="00603BBF">
        <w:trPr>
          <w:cnfStyle w:val="100000000000" w:firstRow="1" w:lastRow="0" w:firstColumn="0" w:lastColumn="0" w:oddVBand="0" w:evenVBand="0" w:oddHBand="0" w:evenHBand="0" w:firstRowFirstColumn="0" w:firstRowLastColumn="0" w:lastRowFirstColumn="0" w:lastRowLastColumn="0"/>
        </w:trPr>
        <w:tc>
          <w:tcPr>
            <w:tcW w:w="2088" w:type="dxa"/>
          </w:tcPr>
          <w:p w14:paraId="3E2467B3" w14:textId="77777777" w:rsidR="00603BBF" w:rsidRDefault="00000000">
            <w:pPr>
              <w:pStyle w:val="cTableHeader"/>
            </w:pPr>
            <w:r>
              <w:t>Traceability level</w:t>
            </w:r>
          </w:p>
        </w:tc>
        <w:tc>
          <w:tcPr>
            <w:tcW w:w="4392" w:type="dxa"/>
          </w:tcPr>
          <w:p w14:paraId="15AB10FA" w14:textId="77777777" w:rsidR="00603BBF" w:rsidRDefault="00000000">
            <w:pPr>
              <w:pStyle w:val="cTableHeader"/>
            </w:pPr>
            <w:r>
              <w:t>Required content</w:t>
            </w:r>
          </w:p>
        </w:tc>
        <w:tc>
          <w:tcPr>
            <w:tcW w:w="3888" w:type="dxa"/>
          </w:tcPr>
          <w:p w14:paraId="5EB6FD37" w14:textId="77777777" w:rsidR="00603BBF" w:rsidRDefault="00000000">
            <w:pPr>
              <w:pStyle w:val="cTableHeader"/>
            </w:pPr>
            <w:r>
              <w:t>Example</w:t>
            </w:r>
          </w:p>
        </w:tc>
      </w:tr>
      <w:tr w:rsidR="00603BBF" w14:paraId="5FCDAEB7" w14:textId="77777777" w:rsidTr="00603BBF">
        <w:tc>
          <w:tcPr>
            <w:tcW w:w="2088" w:type="dxa"/>
          </w:tcPr>
          <w:p w14:paraId="51B75048" w14:textId="77777777" w:rsidR="00603BBF" w:rsidRDefault="00000000">
            <w:pPr>
              <w:pStyle w:val="cTableBody"/>
            </w:pPr>
            <w:r>
              <w:t>Decision question</w:t>
            </w:r>
          </w:p>
        </w:tc>
        <w:tc>
          <w:tcPr>
            <w:tcW w:w="4392" w:type="dxa"/>
          </w:tcPr>
          <w:p w14:paraId="008FB6FF" w14:textId="77777777" w:rsidR="00603BBF" w:rsidRDefault="00000000">
            <w:pPr>
              <w:pStyle w:val="cTableBody"/>
            </w:pPr>
            <w:r>
              <w:t>The later decision that requires new evidence.</w:t>
            </w:r>
          </w:p>
        </w:tc>
        <w:tc>
          <w:tcPr>
            <w:tcW w:w="3888" w:type="dxa"/>
          </w:tcPr>
          <w:p w14:paraId="246C0A23" w14:textId="77777777" w:rsidR="00603BBF" w:rsidRDefault="00000000">
            <w:pPr>
              <w:pStyle w:val="cTableBody"/>
            </w:pPr>
            <w:r>
              <w:t>Does a defined cloud regime brighten predictably enough to justify replication?</w:t>
            </w:r>
          </w:p>
        </w:tc>
      </w:tr>
      <w:tr w:rsidR="00603BBF" w14:paraId="71F8743F" w14:textId="77777777" w:rsidTr="00603BBF">
        <w:tc>
          <w:tcPr>
            <w:tcW w:w="2088" w:type="dxa"/>
          </w:tcPr>
          <w:p w14:paraId="70B48B31" w14:textId="77777777" w:rsidR="00603BBF" w:rsidRDefault="00000000">
            <w:pPr>
              <w:pStyle w:val="cTableBody"/>
            </w:pPr>
            <w:r>
              <w:t>Scientific hypothesis</w:t>
            </w:r>
          </w:p>
        </w:tc>
        <w:tc>
          <w:tcPr>
            <w:tcW w:w="4392" w:type="dxa"/>
          </w:tcPr>
          <w:p w14:paraId="594CBDC0" w14:textId="77777777" w:rsidR="00603BBF" w:rsidRDefault="00000000">
            <w:pPr>
              <w:pStyle w:val="cTableBody"/>
            </w:pPr>
            <w:r>
              <w:t>Falsifiable process statement tied to the causal chain.</w:t>
            </w:r>
          </w:p>
        </w:tc>
        <w:tc>
          <w:tcPr>
            <w:tcW w:w="3888" w:type="dxa"/>
          </w:tcPr>
          <w:p w14:paraId="70185EC4" w14:textId="77777777" w:rsidR="00603BBF" w:rsidRDefault="00000000">
            <w:pPr>
              <w:pStyle w:val="cTableBody"/>
            </w:pPr>
            <w:r>
              <w:t>Delivered CCN increases droplet number under specified background aerosol and updraft conditions.</w:t>
            </w:r>
          </w:p>
        </w:tc>
      </w:tr>
      <w:tr w:rsidR="00603BBF" w14:paraId="51E47366" w14:textId="77777777" w:rsidTr="00603BBF">
        <w:tc>
          <w:tcPr>
            <w:tcW w:w="2088" w:type="dxa"/>
          </w:tcPr>
          <w:p w14:paraId="63907637" w14:textId="77777777" w:rsidR="00603BBF" w:rsidRDefault="00000000">
            <w:pPr>
              <w:pStyle w:val="cTableBody"/>
            </w:pPr>
            <w:r>
              <w:t>Controlled variable</w:t>
            </w:r>
          </w:p>
        </w:tc>
        <w:tc>
          <w:tcPr>
            <w:tcW w:w="4392" w:type="dxa"/>
          </w:tcPr>
          <w:p w14:paraId="38141A63" w14:textId="77777777" w:rsidR="00603BBF" w:rsidRDefault="00000000">
            <w:pPr>
              <w:pStyle w:val="cTableBody"/>
            </w:pPr>
            <w:r>
              <w:t>Source setting or treatment assignment under configuration control.</w:t>
            </w:r>
          </w:p>
        </w:tc>
        <w:tc>
          <w:tcPr>
            <w:tcW w:w="3888" w:type="dxa"/>
          </w:tcPr>
          <w:p w14:paraId="76450BD9" w14:textId="77777777" w:rsidR="00603BBF" w:rsidRDefault="00000000">
            <w:pPr>
              <w:pStyle w:val="cTableBody"/>
            </w:pPr>
            <w:r>
              <w:t>Particle-size distribution, source rate, release/no-release pattern.</w:t>
            </w:r>
          </w:p>
        </w:tc>
      </w:tr>
      <w:tr w:rsidR="00603BBF" w14:paraId="0E754556" w14:textId="77777777" w:rsidTr="00603BBF">
        <w:tc>
          <w:tcPr>
            <w:tcW w:w="2088" w:type="dxa"/>
          </w:tcPr>
          <w:p w14:paraId="442BFBBA" w14:textId="77777777" w:rsidR="00603BBF" w:rsidRDefault="00000000">
            <w:pPr>
              <w:pStyle w:val="cTableBody"/>
            </w:pPr>
            <w:r>
              <w:t>Primary endpoint</w:t>
            </w:r>
          </w:p>
        </w:tc>
        <w:tc>
          <w:tcPr>
            <w:tcW w:w="4392" w:type="dxa"/>
          </w:tcPr>
          <w:p w14:paraId="6664E915" w14:textId="77777777" w:rsidR="00603BBF" w:rsidRDefault="00000000">
            <w:pPr>
              <w:pStyle w:val="cTableBody"/>
            </w:pPr>
            <w:r>
              <w:t>One decision-relevant outcome named before mobilization.</w:t>
            </w:r>
          </w:p>
        </w:tc>
        <w:tc>
          <w:tcPr>
            <w:tcW w:w="3888" w:type="dxa"/>
          </w:tcPr>
          <w:p w14:paraId="484EB4A7" w14:textId="77777777" w:rsidR="00603BBF" w:rsidRDefault="00000000">
            <w:pPr>
              <w:pStyle w:val="cTableBody"/>
            </w:pPr>
            <w:r>
              <w:t>Attributable shortwave response, or cloud-base useful-particle delivery for plume work.</w:t>
            </w:r>
          </w:p>
        </w:tc>
      </w:tr>
      <w:tr w:rsidR="00603BBF" w14:paraId="66CACBE3" w14:textId="77777777" w:rsidTr="00603BBF">
        <w:tc>
          <w:tcPr>
            <w:tcW w:w="2088" w:type="dxa"/>
          </w:tcPr>
          <w:p w14:paraId="43F19F7A" w14:textId="77777777" w:rsidR="00603BBF" w:rsidRDefault="00000000">
            <w:pPr>
              <w:pStyle w:val="cTableBody"/>
            </w:pPr>
            <w:r>
              <w:t>Controls / experimental unit</w:t>
            </w:r>
          </w:p>
        </w:tc>
        <w:tc>
          <w:tcPr>
            <w:tcW w:w="4392" w:type="dxa"/>
          </w:tcPr>
          <w:p w14:paraId="277FDDBE" w14:textId="77777777" w:rsidR="00603BBF" w:rsidRDefault="00000000">
            <w:pPr>
              <w:pStyle w:val="cTableBody"/>
            </w:pPr>
            <w:r>
              <w:t>Treated/control structure and what counts as independent evidence.</w:t>
            </w:r>
          </w:p>
        </w:tc>
        <w:tc>
          <w:tcPr>
            <w:tcW w:w="3888" w:type="dxa"/>
          </w:tcPr>
          <w:p w14:paraId="6F6A945E" w14:textId="77777777" w:rsidR="00603BBF" w:rsidRDefault="00000000">
            <w:pPr>
              <w:pStyle w:val="cTableBody"/>
            </w:pPr>
            <w:r>
              <w:t>Release period, cloud element, flight leg, day or campaign as prospectively defined.</w:t>
            </w:r>
          </w:p>
        </w:tc>
      </w:tr>
      <w:tr w:rsidR="00603BBF" w14:paraId="19610A5E" w14:textId="77777777" w:rsidTr="00603BBF">
        <w:tc>
          <w:tcPr>
            <w:tcW w:w="2088" w:type="dxa"/>
          </w:tcPr>
          <w:p w14:paraId="0CFCB97B" w14:textId="77777777" w:rsidR="00603BBF" w:rsidRDefault="00000000">
            <w:pPr>
              <w:pStyle w:val="cTableBody"/>
            </w:pPr>
            <w:r>
              <w:t>Detectability</w:t>
            </w:r>
          </w:p>
        </w:tc>
        <w:tc>
          <w:tcPr>
            <w:tcW w:w="4392" w:type="dxa"/>
          </w:tcPr>
          <w:p w14:paraId="56645A61" w14:textId="77777777" w:rsidR="00603BBF" w:rsidRDefault="00000000">
            <w:pPr>
              <w:pStyle w:val="cTableBody"/>
            </w:pPr>
            <w:r>
              <w:t>Expected effect, variance, minimum detectable effect and sample-size/weather-day logic.</w:t>
            </w:r>
          </w:p>
        </w:tc>
        <w:tc>
          <w:tcPr>
            <w:tcW w:w="3888" w:type="dxa"/>
          </w:tcPr>
          <w:p w14:paraId="62EC2C01" w14:textId="77777777" w:rsidR="00603BBF" w:rsidRDefault="00000000">
            <w:pPr>
              <w:pStyle w:val="cTableBody"/>
            </w:pPr>
            <w:r>
              <w:t>Campaign proceeds only if the scientifically important effect is measurable.</w:t>
            </w:r>
          </w:p>
        </w:tc>
      </w:tr>
      <w:tr w:rsidR="00603BBF" w14:paraId="433A21F7" w14:textId="77777777" w:rsidTr="00603BBF">
        <w:tc>
          <w:tcPr>
            <w:tcW w:w="2088" w:type="dxa"/>
          </w:tcPr>
          <w:p w14:paraId="3AD7701F" w14:textId="77777777" w:rsidR="00603BBF" w:rsidRDefault="00000000">
            <w:pPr>
              <w:pStyle w:val="cTableBody"/>
            </w:pPr>
            <w:r>
              <w:t>Uncertainty</w:t>
            </w:r>
          </w:p>
        </w:tc>
        <w:tc>
          <w:tcPr>
            <w:tcW w:w="4392" w:type="dxa"/>
          </w:tcPr>
          <w:p w14:paraId="75F52309" w14:textId="77777777" w:rsidR="00603BBF" w:rsidRDefault="00000000">
            <w:pPr>
              <w:pStyle w:val="cTableBody"/>
            </w:pPr>
            <w:r>
              <w:t>Traceable source, sampling, retrieval, calibration and meteorological uncertainty.</w:t>
            </w:r>
          </w:p>
        </w:tc>
        <w:tc>
          <w:tcPr>
            <w:tcW w:w="3888" w:type="dxa"/>
          </w:tcPr>
          <w:p w14:paraId="584DFEF0" w14:textId="77777777" w:rsidR="00603BBF" w:rsidRDefault="00000000">
            <w:pPr>
              <w:pStyle w:val="cTableBody"/>
            </w:pPr>
            <w:r>
              <w:t>Source-to-plume-to-cloud-to-radiation uncertainty budget.</w:t>
            </w:r>
          </w:p>
        </w:tc>
      </w:tr>
      <w:tr w:rsidR="00603BBF" w14:paraId="361FC049" w14:textId="77777777" w:rsidTr="00603BBF">
        <w:tc>
          <w:tcPr>
            <w:tcW w:w="2088" w:type="dxa"/>
          </w:tcPr>
          <w:p w14:paraId="2835E656" w14:textId="77777777" w:rsidR="00603BBF" w:rsidRDefault="00000000">
            <w:pPr>
              <w:pStyle w:val="cTableBody"/>
            </w:pPr>
            <w:r>
              <w:t>Model prediction</w:t>
            </w:r>
          </w:p>
        </w:tc>
        <w:tc>
          <w:tcPr>
            <w:tcW w:w="4392" w:type="dxa"/>
          </w:tcPr>
          <w:p w14:paraId="36D23068" w14:textId="77777777" w:rsidR="00603BBF" w:rsidRDefault="00000000">
            <w:pPr>
              <w:pStyle w:val="cTableBody"/>
            </w:pPr>
            <w:r>
              <w:t>Prospective prediction locked before withheld observations are released.</w:t>
            </w:r>
          </w:p>
        </w:tc>
        <w:tc>
          <w:tcPr>
            <w:tcW w:w="3888" w:type="dxa"/>
          </w:tcPr>
          <w:p w14:paraId="3897E457" w14:textId="77777777" w:rsidR="00603BBF" w:rsidRDefault="00000000">
            <w:pPr>
              <w:pStyle w:val="cTableBody"/>
            </w:pPr>
            <w:r>
              <w:t>Plume location, droplet response, drizzle and shortwave reflection.</w:t>
            </w:r>
          </w:p>
        </w:tc>
      </w:tr>
      <w:tr w:rsidR="00603BBF" w14:paraId="786E162D" w14:textId="77777777" w:rsidTr="00603BBF">
        <w:tc>
          <w:tcPr>
            <w:tcW w:w="2088" w:type="dxa"/>
          </w:tcPr>
          <w:p w14:paraId="7B2092D2" w14:textId="77777777" w:rsidR="00603BBF" w:rsidRDefault="00000000">
            <w:pPr>
              <w:pStyle w:val="cTableBody"/>
            </w:pPr>
            <w:r>
              <w:t>Acceptance / decision</w:t>
            </w:r>
          </w:p>
        </w:tc>
        <w:tc>
          <w:tcPr>
            <w:tcW w:w="4392" w:type="dxa"/>
          </w:tcPr>
          <w:p w14:paraId="2BAD8E7B" w14:textId="77777777" w:rsidR="00603BBF" w:rsidRDefault="00000000">
            <w:pPr>
              <w:pStyle w:val="cTableBody"/>
            </w:pPr>
            <w:r>
              <w:t>Prospectively defined pass, conditional pass, repeat, redesign or stop rule.</w:t>
            </w:r>
          </w:p>
        </w:tc>
        <w:tc>
          <w:tcPr>
            <w:tcW w:w="3888" w:type="dxa"/>
          </w:tcPr>
          <w:p w14:paraId="3C3FD8D4" w14:textId="77777777" w:rsidR="00603BBF" w:rsidRDefault="00000000">
            <w:pPr>
              <w:pStyle w:val="cTableBody"/>
            </w:pPr>
            <w:r>
              <w:t>Gate disposition recorded with unresolved risks and negative results.</w:t>
            </w:r>
          </w:p>
        </w:tc>
      </w:tr>
    </w:tbl>
    <w:p w14:paraId="3255C265" w14:textId="77777777" w:rsidR="003323F8" w:rsidRDefault="00000000">
      <w:pPr>
        <w:pStyle w:val="Heading1"/>
        <w:spacing w:before="280" w:after="280"/>
      </w:pPr>
      <w:bookmarkStart w:id="16" w:name="_Toc237984389"/>
      <w:bookmarkStart w:id="17" w:name="ClimateTOC_003"/>
      <w:bookmarkStart w:id="18" w:name="_Toc236310501"/>
      <w:bookmarkStart w:id="19" w:name="_Toc238204655"/>
      <w:r>
        <w:t>Source-and-Plume vs Cloud-Response Experiments</w:t>
      </w:r>
      <w:bookmarkEnd w:id="16"/>
      <w:bookmarkEnd w:id="17"/>
      <w:bookmarkEnd w:id="18"/>
      <w:bookmarkEnd w:id="19"/>
    </w:p>
    <w:p w14:paraId="1F0F74E2" w14:textId="77777777" w:rsidR="003323F8" w:rsidRDefault="00000000">
      <w:pPr>
        <w:pStyle w:val="cUserPromptText"/>
        <w:spacing w:before="280" w:after="280"/>
      </w:pPr>
      <w:r>
        <w:rPr>
          <w:rStyle w:val="UserPromptHeadingChar"/>
        </w:rPr>
        <w:t>Prompt to AI:</w:t>
      </w:r>
      <w:r>
        <w:t xml:space="preserve"> MCB field research can be divided into (a) source-and-plume experiments and (b) cloud-response experiments. How much effort and funding would you put into each experiment family, and why?</w:t>
      </w:r>
    </w:p>
    <w:p w14:paraId="2F03D3ED" w14:textId="77777777" w:rsidR="003323F8" w:rsidRDefault="00000000">
      <w:pPr>
        <w:pStyle w:val="cSubject"/>
        <w:spacing w:before="280" w:after="280"/>
      </w:pPr>
      <w:r>
        <w:t>Response From AI:</w:t>
      </w:r>
    </w:p>
    <w:p w14:paraId="40E5EC10" w14:textId="77777777" w:rsidR="003323F8" w:rsidRDefault="00000000">
      <w:pPr>
        <w:spacing w:before="280" w:after="80"/>
      </w:pPr>
      <w:r>
        <w:t>I would treat the two families as sequentially linked. Source-and-plume experiments establish whether the program can produce and deliver a known aerosol perturbation. Cloud-response experiments determine whether that perturbation produces a measurable, repeatable and beneficial change in cloud reflectivity.</w:t>
      </w:r>
    </w:p>
    <w:p w14:paraId="4F9DE7CB" w14:textId="77777777" w:rsidR="003323F8" w:rsidRDefault="00000000">
      <w:pPr>
        <w:pStyle w:val="Heading2"/>
        <w:spacing w:before="280"/>
      </w:pPr>
      <w:r>
        <w:t>Recommended division of effort</w:t>
      </w:r>
    </w:p>
    <w:tbl>
      <w:tblPr>
        <w:tblStyle w:val="gswTableStyle"/>
        <w:tblW w:w="10313" w:type="dxa"/>
        <w:tblLayout w:type="fixed"/>
        <w:tblLook w:val="04A0" w:firstRow="1" w:lastRow="0" w:firstColumn="1" w:lastColumn="0" w:noHBand="0" w:noVBand="1"/>
      </w:tblPr>
      <w:tblGrid>
        <w:gridCol w:w="2302"/>
        <w:gridCol w:w="2018"/>
        <w:gridCol w:w="1637"/>
        <w:gridCol w:w="4356"/>
      </w:tblGrid>
      <w:tr w:rsidR="003323F8" w14:paraId="18135068" w14:textId="77777777" w:rsidTr="00DE7AE4">
        <w:trPr>
          <w:cnfStyle w:val="100000000000" w:firstRow="1" w:lastRow="0" w:firstColumn="0" w:lastColumn="0" w:oddVBand="0" w:evenVBand="0" w:oddHBand="0" w:evenHBand="0" w:firstRowFirstColumn="0" w:firstRowLastColumn="0" w:lastRowFirstColumn="0" w:lastRowLastColumn="0"/>
          <w:tblHeader/>
        </w:trPr>
        <w:tc>
          <w:tcPr>
            <w:tcW w:w="2302" w:type="dxa"/>
          </w:tcPr>
          <w:p w14:paraId="77D2499C" w14:textId="77777777" w:rsidR="003323F8" w:rsidRDefault="00000000">
            <w:pPr>
              <w:pStyle w:val="cTableHeader"/>
            </w:pPr>
            <w:r>
              <w:t>Experiment family</w:t>
            </w:r>
          </w:p>
        </w:tc>
        <w:tc>
          <w:tcPr>
            <w:tcW w:w="2018" w:type="dxa"/>
          </w:tcPr>
          <w:p w14:paraId="595ED0F8" w14:textId="77777777" w:rsidR="003323F8" w:rsidRDefault="00000000" w:rsidP="009D1724">
            <w:pPr>
              <w:pStyle w:val="cTableHeader"/>
            </w:pPr>
            <w:r>
              <w:t>Share of controlled field budget</w:t>
            </w:r>
          </w:p>
        </w:tc>
        <w:tc>
          <w:tcPr>
            <w:tcW w:w="1637" w:type="dxa"/>
          </w:tcPr>
          <w:p w14:paraId="25839821" w14:textId="77777777" w:rsidR="003323F8" w:rsidRDefault="00000000">
            <w:pPr>
              <w:pStyle w:val="cTableHeader"/>
            </w:pPr>
            <w:r>
              <w:t>Illustrative campaigns</w:t>
            </w:r>
          </w:p>
        </w:tc>
        <w:tc>
          <w:tcPr>
            <w:tcW w:w="4356" w:type="dxa"/>
          </w:tcPr>
          <w:p w14:paraId="44700241" w14:textId="77777777" w:rsidR="003323F8" w:rsidRDefault="00000000">
            <w:pPr>
              <w:pStyle w:val="cTableHeader"/>
            </w:pPr>
            <w:r>
              <w:t>Primary question</w:t>
            </w:r>
          </w:p>
        </w:tc>
      </w:tr>
      <w:tr w:rsidR="003323F8" w14:paraId="324FFBB6" w14:textId="77777777" w:rsidTr="00DE7AE4">
        <w:tc>
          <w:tcPr>
            <w:tcW w:w="2302" w:type="dxa"/>
          </w:tcPr>
          <w:p w14:paraId="380062A0" w14:textId="77777777" w:rsidR="003323F8" w:rsidRDefault="00000000">
            <w:pPr>
              <w:pStyle w:val="cTableBody"/>
              <w:spacing w:before="0" w:after="0"/>
            </w:pPr>
            <w:r>
              <w:t>Source-and-plume</w:t>
            </w:r>
          </w:p>
        </w:tc>
        <w:tc>
          <w:tcPr>
            <w:tcW w:w="2018" w:type="dxa"/>
          </w:tcPr>
          <w:p w14:paraId="01D45A7D" w14:textId="77777777" w:rsidR="00603BBF" w:rsidRDefault="00000000">
            <w:pPr>
              <w:pStyle w:val="cTableBody"/>
            </w:pPr>
            <w:r>
              <w:t>About 42%</w:t>
            </w:r>
          </w:p>
        </w:tc>
        <w:tc>
          <w:tcPr>
            <w:tcW w:w="1637" w:type="dxa"/>
          </w:tcPr>
          <w:p w14:paraId="4AA01007" w14:textId="77777777" w:rsidR="003323F8" w:rsidRDefault="00000000">
            <w:pPr>
              <w:spacing w:before="0" w:after="0"/>
            </w:pPr>
            <w:r>
              <w:t>About 10 full campaigns</w:t>
            </w:r>
          </w:p>
        </w:tc>
        <w:tc>
          <w:tcPr>
            <w:tcW w:w="4356" w:type="dxa"/>
          </w:tcPr>
          <w:p w14:paraId="7993B33C" w14:textId="77777777" w:rsidR="003323F8" w:rsidRDefault="00000000">
            <w:pPr>
              <w:pStyle w:val="cTableBody"/>
              <w:spacing w:before="0" w:after="0"/>
            </w:pPr>
            <w:r>
              <w:t>Can a known, useful particle population be produced, tracked and delivered to cloud base?</w:t>
            </w:r>
          </w:p>
        </w:tc>
      </w:tr>
      <w:tr w:rsidR="003323F8" w14:paraId="103504FA" w14:textId="77777777" w:rsidTr="00DE7AE4">
        <w:tc>
          <w:tcPr>
            <w:tcW w:w="2302" w:type="dxa"/>
          </w:tcPr>
          <w:p w14:paraId="417832C9" w14:textId="77777777" w:rsidR="003323F8" w:rsidRDefault="00000000">
            <w:pPr>
              <w:pStyle w:val="cTableBody"/>
              <w:spacing w:before="0" w:after="0"/>
            </w:pPr>
            <w:r>
              <w:t>Cloud-response</w:t>
            </w:r>
          </w:p>
        </w:tc>
        <w:tc>
          <w:tcPr>
            <w:tcW w:w="2018" w:type="dxa"/>
          </w:tcPr>
          <w:p w14:paraId="3B410F4E" w14:textId="77777777" w:rsidR="00603BBF" w:rsidRDefault="00000000">
            <w:pPr>
              <w:pStyle w:val="cTableBody"/>
            </w:pPr>
            <w:r>
              <w:t>About 58%</w:t>
            </w:r>
          </w:p>
        </w:tc>
        <w:tc>
          <w:tcPr>
            <w:tcW w:w="1637" w:type="dxa"/>
          </w:tcPr>
          <w:p w14:paraId="49F4E559" w14:textId="77777777" w:rsidR="003323F8" w:rsidRDefault="00000000">
            <w:pPr>
              <w:spacing w:before="0" w:after="0"/>
            </w:pPr>
            <w:r>
              <w:t>About 6 full campaigns</w:t>
            </w:r>
          </w:p>
        </w:tc>
        <w:tc>
          <w:tcPr>
            <w:tcW w:w="4356" w:type="dxa"/>
          </w:tcPr>
          <w:p w14:paraId="530F6225" w14:textId="77777777" w:rsidR="003323F8" w:rsidRDefault="00000000">
            <w:pPr>
              <w:pStyle w:val="cTableBody"/>
              <w:spacing w:before="0" w:after="0"/>
            </w:pPr>
            <w:r>
              <w:t>Does the delivered perturbation change cloud droplets, cloud amount, drizzle and reflected sunlight as predicted?</w:t>
            </w:r>
          </w:p>
        </w:tc>
      </w:tr>
    </w:tbl>
    <w:p w14:paraId="5D0CB4FF" w14:textId="77777777" w:rsidR="003323F8" w:rsidRDefault="00000000">
      <w:pPr>
        <w:spacing w:before="280" w:after="80"/>
      </w:pPr>
      <w:r>
        <w:t>Within the $1 billion Area budget, $220 million is dedicated to source-and-plume field work (Areas 3-4) and $300 million to cloud-response field work (Areas 5-6). The remaining $480 million supports baseline observations, campaign-source qualification and laboratory aerosol science, natural analogues, ecology/environmental measurement, modeling, shared observing capability, governance/international participation, and the central replication/rapid-response reserve.</w:t>
      </w:r>
    </w:p>
    <w:p w14:paraId="4B889418" w14:textId="77777777" w:rsidR="003323F8" w:rsidRDefault="00000000">
      <w:pPr>
        <w:spacing w:before="280" w:after="280"/>
      </w:pPr>
      <w:r>
        <w:t>At the central repeat-campaign planning values used later in this document ($22M for source-and-plume and $48M for cloud-response), the dedicated field budgets are consistent with roughly 10 full source-and-plume campaigns and about 6 full cloud-response campaigns, with remaining field funds used for lower-cost repetitions, test days, shared infrastructure, or targeted sub-campaigns. These campaign models are planning views of the Area budgets, not additional appropriations.</w:t>
      </w:r>
    </w:p>
    <w:p w14:paraId="51A6476A" w14:textId="77777777" w:rsidR="003323F8" w:rsidRDefault="00000000">
      <w:pPr>
        <w:pStyle w:val="Heading2"/>
        <w:spacing w:before="280"/>
      </w:pPr>
      <w:r>
        <w:t>1. Source-and-plume experiments: about 42%</w:t>
      </w:r>
    </w:p>
    <w:p w14:paraId="730EA085" w14:textId="77777777" w:rsidR="003323F8" w:rsidRDefault="00000000">
      <w:pPr>
        <w:spacing w:before="280" w:after="80"/>
      </w:pPr>
      <w:r>
        <w:t>These experiments answer the engineering and atmospheric-delivery question. The generator must create a sufficiently narrow distribution of sea-salt particles, avoid an excessive coarse tail, and emit enough useful particles that a measurable fraction survives evaporation, coagulation, dilution and deposition.</w:t>
      </w:r>
    </w:p>
    <w:p w14:paraId="1331078E" w14:textId="77777777" w:rsidR="003323F8" w:rsidRDefault="00000000">
      <w:pPr>
        <w:spacing w:before="280" w:after="80"/>
      </w:pPr>
      <w:r>
        <w:t>The plume will not remain a clean line. Wind shear, turbulence, convective mixing and changes in boundary-layer depth will create a widening three-dimensional filament. Particle measurements should be made from metres behind the source through tens of kilometres downwind and from the ocean surface to cloud-base height.</w:t>
      </w:r>
    </w:p>
    <w:p w14:paraId="5AFB822A" w14:textId="77777777" w:rsidR="003323F8" w:rsidRDefault="00000000">
      <w:pPr>
        <w:spacing w:before="280" w:after="80"/>
      </w:pPr>
      <w:r>
        <w:t>Key outputs should include useful cloud-condensation-nuclei delivered to cloud base per second, per kilowatt-hour, and per kilogram of seawater; plume width and vertical distribution versus time; salt deposition; and uncertainty in source reconstruction.</w:t>
      </w:r>
    </w:p>
    <w:p w14:paraId="7DBD6C35" w14:textId="77777777" w:rsidR="003323F8" w:rsidRDefault="00000000">
      <w:pPr>
        <w:pStyle w:val="Heading3"/>
        <w:spacing w:before="280" w:after="280"/>
      </w:pPr>
      <w:r>
        <w:t>Experimental matrix</w:t>
      </w:r>
    </w:p>
    <w:p w14:paraId="66ED1D1F" w14:textId="77777777" w:rsidR="003323F8" w:rsidRDefault="00000000">
      <w:pPr>
        <w:pStyle w:val="blist-bullets"/>
        <w:tabs>
          <w:tab w:val="num" w:pos="720"/>
        </w:tabs>
        <w:spacing w:after="0"/>
      </w:pPr>
      <w:r>
        <w:t>Particle median diameter and width of the size distribution.</w:t>
      </w:r>
    </w:p>
    <w:p w14:paraId="31830F72" w14:textId="77777777" w:rsidR="003323F8" w:rsidRDefault="00000000">
      <w:pPr>
        <w:pStyle w:val="blist-bullets"/>
        <w:tabs>
          <w:tab w:val="num" w:pos="720"/>
        </w:tabs>
        <w:spacing w:before="0" w:after="0"/>
      </w:pPr>
      <w:r>
        <w:t>Coarse-particle fraction and ultrafine-particle fraction.</w:t>
      </w:r>
    </w:p>
    <w:p w14:paraId="0BF45272" w14:textId="77777777" w:rsidR="003323F8" w:rsidRDefault="00000000">
      <w:pPr>
        <w:pStyle w:val="blist-bullets"/>
        <w:tabs>
          <w:tab w:val="num" w:pos="720"/>
        </w:tabs>
        <w:spacing w:before="0" w:after="0"/>
      </w:pPr>
      <w:r>
        <w:t>Seawater salinity, temperature, organics and filtration method.</w:t>
      </w:r>
    </w:p>
    <w:p w14:paraId="370BA493" w14:textId="77777777" w:rsidR="003323F8" w:rsidRDefault="00000000">
      <w:pPr>
        <w:pStyle w:val="blist-bullets"/>
        <w:tabs>
          <w:tab w:val="num" w:pos="720"/>
        </w:tabs>
        <w:spacing w:before="0" w:after="0"/>
      </w:pPr>
      <w:r>
        <w:t>Nozzle or generator type, pressure, air-to-water ratio and release rate.</w:t>
      </w:r>
    </w:p>
    <w:p w14:paraId="54B567FA" w14:textId="77777777" w:rsidR="003323F8" w:rsidRDefault="00000000">
      <w:pPr>
        <w:pStyle w:val="blist-bullets"/>
        <w:tabs>
          <w:tab w:val="num" w:pos="720"/>
        </w:tabs>
        <w:spacing w:before="0" w:after="0"/>
      </w:pPr>
      <w:r>
        <w:t>Release height, vessel speed and orientation relative to wind.</w:t>
      </w:r>
    </w:p>
    <w:p w14:paraId="4E62D416" w14:textId="77777777" w:rsidR="003323F8" w:rsidRDefault="00000000">
      <w:pPr>
        <w:pStyle w:val="blist-bullets"/>
        <w:tabs>
          <w:tab w:val="num" w:pos="720"/>
        </w:tabs>
        <w:spacing w:before="0" w:after="0"/>
      </w:pPr>
      <w:r>
        <w:t>Stable, neutral and convective boundary layers.</w:t>
      </w:r>
    </w:p>
    <w:p w14:paraId="406F29E8" w14:textId="77777777" w:rsidR="003323F8" w:rsidRDefault="00000000">
      <w:pPr>
        <w:pStyle w:val="blist-bullets"/>
        <w:tabs>
          <w:tab w:val="num" w:pos="720"/>
        </w:tabs>
        <w:spacing w:before="0" w:after="0"/>
      </w:pPr>
      <w:r>
        <w:t>Dry and humid conditions, weak and strong turbulence, and different cloud-base heights.</w:t>
      </w:r>
    </w:p>
    <w:p w14:paraId="03A781ED" w14:textId="77777777" w:rsidR="003323F8" w:rsidRDefault="00000000">
      <w:pPr>
        <w:pStyle w:val="blist-bullets"/>
        <w:tabs>
          <w:tab w:val="num" w:pos="720"/>
        </w:tabs>
        <w:spacing w:before="0" w:after="40"/>
      </w:pPr>
      <w:r>
        <w:t>Single source versus multiple coordinated sources.</w:t>
      </w:r>
    </w:p>
    <w:p w14:paraId="4C301001" w14:textId="77777777" w:rsidR="003323F8" w:rsidRDefault="00000000">
      <w:pPr>
        <w:pStyle w:val="Heading3"/>
        <w:spacing w:before="280" w:after="280"/>
      </w:pPr>
      <w:r>
        <w:t>Measurements</w:t>
      </w:r>
    </w:p>
    <w:p w14:paraId="6AE2C4F6" w14:textId="77777777" w:rsidR="003323F8" w:rsidRDefault="00000000">
      <w:pPr>
        <w:pStyle w:val="blist-bullets"/>
        <w:tabs>
          <w:tab w:val="num" w:pos="720"/>
        </w:tabs>
        <w:spacing w:after="0"/>
      </w:pPr>
      <w:r>
        <w:t xml:space="preserve">Particle number and size from a few </w:t>
      </w:r>
      <w:r w:rsidR="00B05501">
        <w:t>nanometers</w:t>
      </w:r>
      <w:r>
        <w:t xml:space="preserve"> through several </w:t>
      </w:r>
      <w:r w:rsidR="00B05501">
        <w:t>micrometers</w:t>
      </w:r>
      <w:r>
        <w:t>.</w:t>
      </w:r>
    </w:p>
    <w:p w14:paraId="18AAFFF7" w14:textId="77777777" w:rsidR="003323F8" w:rsidRDefault="00000000">
      <w:pPr>
        <w:pStyle w:val="blist-bullets"/>
        <w:tabs>
          <w:tab w:val="num" w:pos="720"/>
        </w:tabs>
        <w:spacing w:before="0" w:after="0"/>
      </w:pPr>
      <w:r>
        <w:t>Cloud-condensation-nuclei spectra and hygroscopicity.</w:t>
      </w:r>
    </w:p>
    <w:p w14:paraId="732A5E1A" w14:textId="77777777" w:rsidR="003323F8" w:rsidRDefault="00000000">
      <w:pPr>
        <w:pStyle w:val="blist-bullets"/>
        <w:tabs>
          <w:tab w:val="num" w:pos="720"/>
        </w:tabs>
        <w:spacing w:before="0" w:after="0"/>
      </w:pPr>
      <w:r>
        <w:t>Salt composition, water content and contamination.</w:t>
      </w:r>
    </w:p>
    <w:p w14:paraId="3B68EE34" w14:textId="77777777" w:rsidR="003323F8" w:rsidRDefault="00000000">
      <w:pPr>
        <w:pStyle w:val="blist-bullets"/>
        <w:tabs>
          <w:tab w:val="num" w:pos="720"/>
        </w:tabs>
        <w:spacing w:before="0" w:after="0"/>
      </w:pPr>
      <w:r>
        <w:t>Wind, turbulence, temperature, humidity and boundary-layer depth.</w:t>
      </w:r>
    </w:p>
    <w:p w14:paraId="438703F4" w14:textId="77777777" w:rsidR="003323F8" w:rsidRDefault="00000000">
      <w:pPr>
        <w:pStyle w:val="blist-bullets"/>
        <w:tabs>
          <w:tab w:val="num" w:pos="720"/>
        </w:tabs>
        <w:spacing w:before="0" w:after="0"/>
      </w:pPr>
      <w:r>
        <w:t>Plume geometry from lidar, radar, imaging and tracer measurements.</w:t>
      </w:r>
    </w:p>
    <w:p w14:paraId="2DAF70EC" w14:textId="77777777" w:rsidR="003323F8" w:rsidRDefault="00000000">
      <w:pPr>
        <w:pStyle w:val="blist-bullets"/>
        <w:tabs>
          <w:tab w:val="num" w:pos="720"/>
        </w:tabs>
        <w:spacing w:before="0" w:after="0"/>
      </w:pPr>
      <w:r>
        <w:t>Vertical transport and fraction reaching cloud-base height.</w:t>
      </w:r>
    </w:p>
    <w:p w14:paraId="3E8BD9F0" w14:textId="77777777" w:rsidR="003323F8" w:rsidRDefault="00000000">
      <w:pPr>
        <w:pStyle w:val="blist-bullets"/>
        <w:tabs>
          <w:tab w:val="num" w:pos="720"/>
        </w:tabs>
        <w:spacing w:before="0" w:after="0"/>
      </w:pPr>
      <w:r>
        <w:t>Deposition to ocean, vessel and coastal surfaces.</w:t>
      </w:r>
    </w:p>
    <w:p w14:paraId="16349B9D" w14:textId="77777777" w:rsidR="003323F8" w:rsidRDefault="00000000">
      <w:pPr>
        <w:pStyle w:val="blist-bullets"/>
        <w:tabs>
          <w:tab w:val="num" w:pos="720"/>
        </w:tabs>
        <w:spacing w:before="0" w:after="40"/>
      </w:pPr>
      <w:r>
        <w:t>Generator power, reliability, corrosion, fouling and maintenance.</w:t>
      </w:r>
    </w:p>
    <w:p w14:paraId="7B429E30" w14:textId="77777777" w:rsidR="003323F8" w:rsidRDefault="00000000">
      <w:pPr>
        <w:pStyle w:val="Heading2"/>
        <w:spacing w:before="280"/>
      </w:pPr>
      <w:r>
        <w:t>2. Cloud-response experiments: about 58%</w:t>
      </w:r>
    </w:p>
    <w:p w14:paraId="45BB9491" w14:textId="77777777" w:rsidR="003323F8" w:rsidRDefault="00000000">
      <w:pPr>
        <w:spacing w:before="280" w:after="80"/>
      </w:pPr>
      <w:r>
        <w:t>Cloud-response campaigns are more expensive because they require suitable clouds, accurate forecast and targeting, simultaneous aerosol and cloud measurements, treated and control regions, and enough repetitions to separate the aerosol signal from normal meteorological variability.</w:t>
      </w:r>
    </w:p>
    <w:p w14:paraId="483F65B4" w14:textId="77777777" w:rsidR="003323F8" w:rsidRDefault="00000000">
      <w:pPr>
        <w:spacing w:before="280" w:after="80"/>
      </w:pPr>
      <w:r>
        <w:t>Each campaign should include several release and no-release periods under matched conditions. Randomization or alternating on/off patterns can improve causal attribution. A second untreated cloud line or nearby control region is desirable when meteorology permits.</w:t>
      </w:r>
    </w:p>
    <w:p w14:paraId="432D7ADD" w14:textId="77777777" w:rsidR="003323F8" w:rsidRDefault="00000000">
      <w:pPr>
        <w:spacing w:before="280" w:after="80"/>
      </w:pPr>
      <w:r>
        <w:t>The most important metric is top-of-atmosphere or cloud-top shortwave reflection attributable to the known aerosol perturbation, with secondary metrics covering droplet number, droplet size, liquid-water path, cloud fraction, drizzle and cloud lifetime.</w:t>
      </w:r>
    </w:p>
    <w:p w14:paraId="42CF4D45" w14:textId="77777777" w:rsidR="003323F8" w:rsidRDefault="00000000">
      <w:pPr>
        <w:pStyle w:val="Heading3"/>
        <w:spacing w:before="280" w:after="280"/>
      </w:pPr>
      <w:r>
        <w:t>Sampling sequence</w:t>
      </w:r>
    </w:p>
    <w:p w14:paraId="25D439DE" w14:textId="77777777" w:rsidR="003323F8" w:rsidRDefault="00000000" w:rsidP="00B05501">
      <w:pPr>
        <w:pStyle w:val="blist-bullets"/>
        <w:tabs>
          <w:tab w:val="num" w:pos="720"/>
        </w:tabs>
      </w:pPr>
      <w:r w:rsidRPr="00B05501">
        <w:rPr>
          <w:b/>
          <w:bCs/>
        </w:rPr>
        <w:t xml:space="preserve">Pre-release: </w:t>
      </w:r>
      <w:r>
        <w:t>2–6 hours of background aerosol, cloud and radiation measurements.</w:t>
      </w:r>
    </w:p>
    <w:p w14:paraId="59BCBF68" w14:textId="77777777" w:rsidR="003323F8" w:rsidRDefault="00000000" w:rsidP="00B05501">
      <w:pPr>
        <w:pStyle w:val="blist-bullets"/>
        <w:tabs>
          <w:tab w:val="num" w:pos="720"/>
        </w:tabs>
      </w:pPr>
      <w:r w:rsidRPr="00B05501">
        <w:rPr>
          <w:b/>
          <w:bCs/>
        </w:rPr>
        <w:t xml:space="preserve">Near-source: </w:t>
      </w:r>
      <w:r>
        <w:t>seconds to 30 minutes after emission.</w:t>
      </w:r>
    </w:p>
    <w:p w14:paraId="3907D6BE" w14:textId="77777777" w:rsidR="003323F8" w:rsidRDefault="00000000" w:rsidP="00B05501">
      <w:pPr>
        <w:pStyle w:val="blist-bullets"/>
        <w:tabs>
          <w:tab w:val="num" w:pos="720"/>
        </w:tabs>
      </w:pPr>
      <w:r w:rsidRPr="00B05501">
        <w:rPr>
          <w:b/>
          <w:bCs/>
        </w:rPr>
        <w:t>Cloud-base interception:</w:t>
      </w:r>
      <w:r>
        <w:t xml:space="preserve"> repeated aircraft or drone transects as the plume enters cloud.</w:t>
      </w:r>
    </w:p>
    <w:p w14:paraId="7CC60851" w14:textId="77777777" w:rsidR="003323F8" w:rsidRDefault="00000000" w:rsidP="00B05501">
      <w:pPr>
        <w:pStyle w:val="blist-bullets"/>
        <w:tabs>
          <w:tab w:val="num" w:pos="720"/>
        </w:tabs>
      </w:pPr>
      <w:r w:rsidRPr="00B05501">
        <w:rPr>
          <w:b/>
          <w:bCs/>
        </w:rPr>
        <w:t xml:space="preserve">In-cloud response: </w:t>
      </w:r>
      <w:r>
        <w:t>repeated transects through treated and control cloud elements.</w:t>
      </w:r>
    </w:p>
    <w:p w14:paraId="543A0EB3" w14:textId="77777777" w:rsidR="003323F8" w:rsidRDefault="00000000" w:rsidP="00B05501">
      <w:pPr>
        <w:pStyle w:val="blist-bullets"/>
        <w:tabs>
          <w:tab w:val="num" w:pos="720"/>
        </w:tabs>
      </w:pPr>
      <w:r w:rsidRPr="00B05501">
        <w:rPr>
          <w:b/>
          <w:bCs/>
        </w:rPr>
        <w:t xml:space="preserve">Cloud-top and radiative response: </w:t>
      </w:r>
      <w:r>
        <w:t>aircraft, lidar, radar and satellite observations over 1–8 hours.</w:t>
      </w:r>
    </w:p>
    <w:p w14:paraId="5252CBDB" w14:textId="77777777" w:rsidR="003323F8" w:rsidRDefault="00000000" w:rsidP="00B05501">
      <w:pPr>
        <w:pStyle w:val="blist-bullets"/>
        <w:tabs>
          <w:tab w:val="num" w:pos="720"/>
        </w:tabs>
      </w:pPr>
      <w:r w:rsidRPr="00B05501">
        <w:rPr>
          <w:b/>
          <w:bCs/>
        </w:rPr>
        <w:t>Follow-up:</w:t>
      </w:r>
      <w:r>
        <w:t xml:space="preserve"> next-day or multi-day observations only when the perturbation remains detectable and scientific value justifies it.</w:t>
      </w:r>
    </w:p>
    <w:p w14:paraId="4D6380CD" w14:textId="77777777" w:rsidR="003323F8" w:rsidRDefault="00000000">
      <w:pPr>
        <w:pStyle w:val="Heading2"/>
        <w:spacing w:before="280"/>
      </w:pPr>
      <w:r>
        <w:t>The highest-value design: paired campaigns</w:t>
      </w:r>
    </w:p>
    <w:p w14:paraId="7D51160E" w14:textId="77777777" w:rsidR="003323F8" w:rsidRDefault="00000000">
      <w:pPr>
        <w:spacing w:before="280" w:after="80"/>
      </w:pPr>
      <w:r>
        <w:t>The strongest tests would conduct a source-and-plume campaign immediately followed by a cloud-response campaign using the same generator, particle settings, site, forecast system and observing platforms. Four to six paired campaigns could directly compare the number of particles produced, the fraction reaching cloud base, the fraction activating as droplets, the change in cloud optical depth, and the measured reflected sunlight.</w:t>
      </w:r>
    </w:p>
    <w:p w14:paraId="2AC81245" w14:textId="77777777" w:rsidR="003323F8" w:rsidRDefault="00000000">
      <w:pPr>
        <w:pStyle w:val="Heading2"/>
        <w:spacing w:before="280"/>
      </w:pPr>
      <w:r>
        <w:t>Sequencing over five years</w:t>
      </w:r>
    </w:p>
    <w:p w14:paraId="5871AC38" w14:textId="77777777" w:rsidR="003323F8" w:rsidRPr="00B05501" w:rsidRDefault="00000000" w:rsidP="00B05501">
      <w:pPr>
        <w:pStyle w:val="blist-bullets"/>
      </w:pPr>
      <w:r w:rsidRPr="00B05501">
        <w:rPr>
          <w:b/>
          <w:bCs/>
        </w:rPr>
        <w:t>Years 1–2:</w:t>
      </w:r>
      <w:r w:rsidRPr="00B05501">
        <w:t xml:space="preserve"> approximately 70% source-and-plume and 30% cloud-response.</w:t>
      </w:r>
    </w:p>
    <w:p w14:paraId="1BE8C14E" w14:textId="77777777" w:rsidR="003323F8" w:rsidRPr="00B05501" w:rsidRDefault="00000000" w:rsidP="00B05501">
      <w:pPr>
        <w:pStyle w:val="blist-bullets"/>
      </w:pPr>
      <w:r w:rsidRPr="00B05501">
        <w:rPr>
          <w:b/>
          <w:bCs/>
        </w:rPr>
        <w:t>Year 3:</w:t>
      </w:r>
      <w:r w:rsidRPr="00B05501">
        <w:t xml:space="preserve"> approximately equal effort, including paired campaigns.</w:t>
      </w:r>
    </w:p>
    <w:p w14:paraId="4B4C8276" w14:textId="77777777" w:rsidR="003323F8" w:rsidRPr="00B05501" w:rsidRDefault="00000000" w:rsidP="00B05501">
      <w:pPr>
        <w:pStyle w:val="blist-bullets"/>
      </w:pPr>
      <w:r w:rsidRPr="00B05501">
        <w:rPr>
          <w:b/>
          <w:bCs/>
        </w:rPr>
        <w:t>Years 4–5:</w:t>
      </w:r>
      <w:r w:rsidRPr="00B05501">
        <w:t xml:space="preserve"> approximately 30% source-and-plume and 70% cloud-response, emphasizing replication and radiative closure.</w:t>
      </w:r>
    </w:p>
    <w:p w14:paraId="5135BA63" w14:textId="77777777" w:rsidR="003323F8" w:rsidRPr="00B05501" w:rsidRDefault="00000000" w:rsidP="00B05501">
      <w:pPr>
        <w:pStyle w:val="blist-bullets"/>
      </w:pPr>
      <w:r w:rsidRPr="00B05501">
        <w:rPr>
          <w:b/>
          <w:bCs/>
        </w:rPr>
        <w:t>Across the dedicated controlled-field Areas: approximately 42% source-and-plume and 58% cloud-response.</w:t>
      </w:r>
    </w:p>
    <w:p w14:paraId="153C59C9" w14:textId="77777777" w:rsidR="003323F8" w:rsidRDefault="00000000">
      <w:pPr>
        <w:pStyle w:val="Heading1"/>
        <w:spacing w:before="280" w:after="280"/>
      </w:pPr>
      <w:bookmarkStart w:id="20" w:name="_Toc238204656"/>
      <w:r>
        <w:t>Detectability, Statistical Power, and Experimental Controls</w:t>
      </w:r>
      <w:bookmarkEnd w:id="20"/>
    </w:p>
    <w:p w14:paraId="474D2420" w14:textId="77777777" w:rsidR="003323F8" w:rsidRDefault="00000000">
      <w:pPr>
        <w:pStyle w:val="cUserPromptText"/>
        <w:spacing w:before="280" w:after="280"/>
      </w:pPr>
      <w:r w:rsidRPr="00260095">
        <w:rPr>
          <w:rStyle w:val="UserPromptHeadingChar"/>
        </w:rPr>
        <w:t>Prompt to AI:</w:t>
      </w:r>
      <w:r>
        <w:t xml:space="preserve"> How should MCB field experiments be designed so a treatment signal can be distinguished from ordinary cloud and weather variability?</w:t>
      </w:r>
    </w:p>
    <w:p w14:paraId="756FAAA0" w14:textId="77777777" w:rsidR="003323F8" w:rsidRDefault="00000000">
      <w:pPr>
        <w:pStyle w:val="cSubject"/>
        <w:spacing w:before="280" w:after="280"/>
      </w:pPr>
      <w:r>
        <w:t>Response From AI:</w:t>
      </w:r>
    </w:p>
    <w:p w14:paraId="57F1B582" w14:textId="77777777" w:rsidR="003323F8" w:rsidRDefault="00000000">
      <w:pPr>
        <w:spacing w:before="280" w:after="280"/>
      </w:pPr>
      <w:r>
        <w:t>Every release campaign should be approved only if the proposed treatment can answer a defined question with a preregistered design. High-frequency measurements alone do not create statistical power; the program needs genuinely independent release/control comparisons, appropriate controls, and an uncertainty budget that includes source, sampling, retrieval, calibration, and meteorological variability.</w:t>
      </w:r>
    </w:p>
    <w:tbl>
      <w:tblPr>
        <w:tblStyle w:val="gswTableStyle"/>
        <w:tblW w:w="10602" w:type="dxa"/>
        <w:tblLayout w:type="fixed"/>
        <w:tblLook w:val="04A0" w:firstRow="1" w:lastRow="0" w:firstColumn="1" w:lastColumn="0" w:noHBand="0" w:noVBand="1"/>
      </w:tblPr>
      <w:tblGrid>
        <w:gridCol w:w="2250"/>
        <w:gridCol w:w="8352"/>
      </w:tblGrid>
      <w:tr w:rsidR="003323F8" w14:paraId="662306F0" w14:textId="77777777" w:rsidTr="00DE7AE4">
        <w:trPr>
          <w:cnfStyle w:val="100000000000" w:firstRow="1" w:lastRow="0" w:firstColumn="0" w:lastColumn="0" w:oddVBand="0" w:evenVBand="0" w:oddHBand="0" w:evenHBand="0" w:firstRowFirstColumn="0" w:firstRowLastColumn="0" w:lastRowFirstColumn="0" w:lastRowLastColumn="0"/>
        </w:trPr>
        <w:tc>
          <w:tcPr>
            <w:tcW w:w="2250" w:type="dxa"/>
          </w:tcPr>
          <w:p w14:paraId="6ECD1FF4" w14:textId="77777777" w:rsidR="003323F8" w:rsidRDefault="00000000" w:rsidP="00D547F2">
            <w:pPr>
              <w:pStyle w:val="cTableHeader"/>
            </w:pPr>
            <w:r>
              <w:t>Design element</w:t>
            </w:r>
          </w:p>
        </w:tc>
        <w:tc>
          <w:tcPr>
            <w:tcW w:w="8352" w:type="dxa"/>
          </w:tcPr>
          <w:p w14:paraId="4E4FCAC7" w14:textId="77777777" w:rsidR="003323F8" w:rsidRDefault="00000000" w:rsidP="00D547F2">
            <w:pPr>
              <w:pStyle w:val="cTableHeader"/>
            </w:pPr>
            <w:r>
              <w:t>Required approach</w:t>
            </w:r>
          </w:p>
        </w:tc>
      </w:tr>
      <w:tr w:rsidR="003323F8" w14:paraId="394EFECD" w14:textId="77777777" w:rsidTr="00DE7AE4">
        <w:tc>
          <w:tcPr>
            <w:tcW w:w="2250" w:type="dxa"/>
          </w:tcPr>
          <w:p w14:paraId="68CE0C70" w14:textId="77777777" w:rsidR="003323F8" w:rsidRDefault="00000000" w:rsidP="00D547F2">
            <w:pPr>
              <w:pStyle w:val="cTableBody"/>
            </w:pPr>
            <w:r>
              <w:t>Primary outcome</w:t>
            </w:r>
          </w:p>
        </w:tc>
        <w:tc>
          <w:tcPr>
            <w:tcW w:w="8352" w:type="dxa"/>
          </w:tcPr>
          <w:p w14:paraId="43C00A11" w14:textId="77777777" w:rsidR="003323F8" w:rsidRDefault="00000000" w:rsidP="00D547F2">
            <w:pPr>
              <w:pStyle w:val="cTableBody"/>
            </w:pPr>
            <w:r>
              <w:t>Name one primary decision-relevant endpoint before the campaign. For source-and-plume work, this can be useful particle delivery to cloud-base height; for cloud-response work, the primary endpoint should be a radiative or cloud response tied to the known source perturbation.</w:t>
            </w:r>
          </w:p>
        </w:tc>
      </w:tr>
      <w:tr w:rsidR="003323F8" w14:paraId="689CFABC" w14:textId="77777777" w:rsidTr="00DE7AE4">
        <w:tc>
          <w:tcPr>
            <w:tcW w:w="2250" w:type="dxa"/>
          </w:tcPr>
          <w:p w14:paraId="2691C309" w14:textId="77777777" w:rsidR="003323F8" w:rsidRDefault="00000000" w:rsidP="00D547F2">
            <w:pPr>
              <w:pStyle w:val="cTableBody"/>
            </w:pPr>
            <w:r>
              <w:t>Expected effect and minimum detectable effect</w:t>
            </w:r>
          </w:p>
        </w:tc>
        <w:tc>
          <w:tcPr>
            <w:tcW w:w="8352" w:type="dxa"/>
          </w:tcPr>
          <w:p w14:paraId="40F3EB77" w14:textId="77777777" w:rsidR="003323F8" w:rsidRDefault="00000000" w:rsidP="00D547F2">
            <w:pPr>
              <w:pStyle w:val="cTableBody"/>
            </w:pPr>
            <w:r>
              <w:t>Use prior observations, laboratory data, LES, pilot work, and instrument performance to estimate the expected effect and variance. Calculate the minimum detectable effect before mobilization. If the scientifically important effect is not detectable, redesign or defer the release.</w:t>
            </w:r>
          </w:p>
        </w:tc>
      </w:tr>
      <w:tr w:rsidR="003323F8" w14:paraId="3229BDA4" w14:textId="77777777" w:rsidTr="00DE7AE4">
        <w:tc>
          <w:tcPr>
            <w:tcW w:w="2250" w:type="dxa"/>
          </w:tcPr>
          <w:p w14:paraId="694BFB93" w14:textId="77777777" w:rsidR="003323F8" w:rsidRDefault="00000000" w:rsidP="00D547F2">
            <w:pPr>
              <w:pStyle w:val="cTableBody"/>
            </w:pPr>
            <w:r>
              <w:t>Experimental unit and independence</w:t>
            </w:r>
          </w:p>
        </w:tc>
        <w:tc>
          <w:tcPr>
            <w:tcW w:w="8352" w:type="dxa"/>
          </w:tcPr>
          <w:p w14:paraId="22FF2B38" w14:textId="77777777" w:rsidR="003323F8" w:rsidRDefault="00000000" w:rsidP="00D547F2">
            <w:pPr>
              <w:pStyle w:val="cTableBody"/>
            </w:pPr>
            <w:r>
              <w:t>Define what counts as an independent comparison: release period, plume interception, cloud element, flight leg, day, or campaign. Do not treat thousands of correlated instrument samples as thousands of independent experiments.</w:t>
            </w:r>
          </w:p>
        </w:tc>
      </w:tr>
      <w:tr w:rsidR="003323F8" w14:paraId="1B086028" w14:textId="77777777" w:rsidTr="00DE7AE4">
        <w:tc>
          <w:tcPr>
            <w:tcW w:w="2250" w:type="dxa"/>
          </w:tcPr>
          <w:p w14:paraId="065CFC32" w14:textId="77777777" w:rsidR="003323F8" w:rsidRDefault="00000000" w:rsidP="00D547F2">
            <w:pPr>
              <w:pStyle w:val="cTableBody"/>
            </w:pPr>
            <w:r>
              <w:t>Controls and randomization</w:t>
            </w:r>
          </w:p>
        </w:tc>
        <w:tc>
          <w:tcPr>
            <w:tcW w:w="8352" w:type="dxa"/>
          </w:tcPr>
          <w:p w14:paraId="3843C5CF" w14:textId="77777777" w:rsidR="003323F8" w:rsidRDefault="00000000" w:rsidP="00D547F2">
            <w:pPr>
              <w:pStyle w:val="cTableBody"/>
            </w:pPr>
            <w:r>
              <w:t>Use randomized or alternating release/no-release periods where feasible, nearby untreated cloud lines or control regions, and matched meteorological conditions. Record the randomization or assignment procedure before the campaign.</w:t>
            </w:r>
          </w:p>
        </w:tc>
      </w:tr>
      <w:tr w:rsidR="003323F8" w14:paraId="09EAD0D0" w14:textId="77777777" w:rsidTr="00DE7AE4">
        <w:tc>
          <w:tcPr>
            <w:tcW w:w="2250" w:type="dxa"/>
          </w:tcPr>
          <w:p w14:paraId="2B5D9CB9" w14:textId="77777777" w:rsidR="003323F8" w:rsidRDefault="00000000" w:rsidP="00D547F2">
            <w:pPr>
              <w:pStyle w:val="cTableBody"/>
            </w:pPr>
            <w:r>
              <w:t>Baseline and covariates</w:t>
            </w:r>
          </w:p>
        </w:tc>
        <w:tc>
          <w:tcPr>
            <w:tcW w:w="8352" w:type="dxa"/>
          </w:tcPr>
          <w:p w14:paraId="415235E8" w14:textId="77777777" w:rsidR="003323F8" w:rsidRDefault="00000000" w:rsidP="00D547F2">
            <w:pPr>
              <w:pStyle w:val="cTableBody"/>
            </w:pPr>
            <w:r>
              <w:t>Measure background aerosol, CCN, updraft, humidity, stability, cloud liquid water, drizzle, cloud regime, winds, and radiation before treatment so meteorological differences can be modeled rather than mistaken for treatment effects.</w:t>
            </w:r>
          </w:p>
        </w:tc>
      </w:tr>
      <w:tr w:rsidR="003323F8" w14:paraId="6AB0F87A" w14:textId="77777777" w:rsidTr="00DE7AE4">
        <w:tc>
          <w:tcPr>
            <w:tcW w:w="2250" w:type="dxa"/>
          </w:tcPr>
          <w:p w14:paraId="105972A3" w14:textId="77777777" w:rsidR="003323F8" w:rsidRDefault="00000000" w:rsidP="00D547F2">
            <w:pPr>
              <w:pStyle w:val="cTableBody"/>
            </w:pPr>
            <w:r>
              <w:t>Preregistered exclusions</w:t>
            </w:r>
          </w:p>
        </w:tc>
        <w:tc>
          <w:tcPr>
            <w:tcW w:w="8352" w:type="dxa"/>
          </w:tcPr>
          <w:p w14:paraId="528F9E19" w14:textId="77777777" w:rsidR="003323F8" w:rsidRDefault="00000000" w:rsidP="00D547F2">
            <w:pPr>
              <w:pStyle w:val="cTableBody"/>
            </w:pPr>
            <w:r>
              <w:t>Define unusable-cloud conditions, plume misses, instrument failures, aircraft aborts, and other exclusion rules in advance. Preserve excluded data and the reason for exclusion in the public archive.</w:t>
            </w:r>
          </w:p>
        </w:tc>
      </w:tr>
      <w:tr w:rsidR="003323F8" w14:paraId="43ABA4C6" w14:textId="77777777" w:rsidTr="00DE7AE4">
        <w:tc>
          <w:tcPr>
            <w:tcW w:w="2250" w:type="dxa"/>
          </w:tcPr>
          <w:p w14:paraId="22394088" w14:textId="77777777" w:rsidR="003323F8" w:rsidRDefault="00000000" w:rsidP="00D547F2">
            <w:pPr>
              <w:pStyle w:val="cTableBody"/>
            </w:pPr>
            <w:r>
              <w:t>Sample size and replication</w:t>
            </w:r>
          </w:p>
        </w:tc>
        <w:tc>
          <w:tcPr>
            <w:tcW w:w="8352" w:type="dxa"/>
          </w:tcPr>
          <w:p w14:paraId="096D5D94" w14:textId="77777777" w:rsidR="003323F8" w:rsidRDefault="00000000" w:rsidP="00D547F2">
            <w:pPr>
              <w:pStyle w:val="cTableBody"/>
            </w:pPr>
            <w:r>
              <w:t>Estimate the number of independent treated/control comparisons needed for the primary endpoint and reserve enough weather/replacement days to obtain them. Replicate across days and, later, across cloud regimes and sites.</w:t>
            </w:r>
          </w:p>
        </w:tc>
      </w:tr>
      <w:tr w:rsidR="003323F8" w14:paraId="0DDF2003" w14:textId="77777777" w:rsidTr="00DE7AE4">
        <w:tc>
          <w:tcPr>
            <w:tcW w:w="2250" w:type="dxa"/>
          </w:tcPr>
          <w:p w14:paraId="2ADD07A3" w14:textId="77777777" w:rsidR="003323F8" w:rsidRDefault="00000000" w:rsidP="00D547F2">
            <w:pPr>
              <w:pStyle w:val="cTableBody"/>
            </w:pPr>
            <w:r>
              <w:t>Multiple outcomes</w:t>
            </w:r>
          </w:p>
        </w:tc>
        <w:tc>
          <w:tcPr>
            <w:tcW w:w="8352" w:type="dxa"/>
          </w:tcPr>
          <w:p w14:paraId="7C7ACB88" w14:textId="77777777" w:rsidR="003323F8" w:rsidRDefault="00000000" w:rsidP="00D547F2">
            <w:pPr>
              <w:pStyle w:val="cTableBody"/>
            </w:pPr>
            <w:r>
              <w:t>Separate the primary endpoint from secondary and exploratory outcomes. Adjust or clearly label inference when many cloud, aerosol, dynamical, and radiative metrics are tested.</w:t>
            </w:r>
          </w:p>
        </w:tc>
      </w:tr>
      <w:tr w:rsidR="003323F8" w14:paraId="717AA6EA" w14:textId="77777777" w:rsidTr="00DE7AE4">
        <w:tc>
          <w:tcPr>
            <w:tcW w:w="2250" w:type="dxa"/>
          </w:tcPr>
          <w:p w14:paraId="43DBD374" w14:textId="77777777" w:rsidR="003323F8" w:rsidRDefault="00000000" w:rsidP="00D547F2">
            <w:pPr>
              <w:pStyle w:val="cTableBody"/>
            </w:pPr>
            <w:r>
              <w:t>Blinding and withheld data</w:t>
            </w:r>
          </w:p>
        </w:tc>
        <w:tc>
          <w:tcPr>
            <w:tcW w:w="8352" w:type="dxa"/>
          </w:tcPr>
          <w:p w14:paraId="634BE41A" w14:textId="77777777" w:rsidR="003323F8" w:rsidRDefault="00000000" w:rsidP="00D547F2">
            <w:pPr>
              <w:pStyle w:val="cTableBody"/>
            </w:pPr>
            <w:r>
              <w:t>Where practical, keep exact release timing or withheld observations from an independent modeling/analysis team until its predictions and analysis code are locked.</w:t>
            </w:r>
          </w:p>
        </w:tc>
      </w:tr>
      <w:tr w:rsidR="003323F8" w14:paraId="01E83928" w14:textId="77777777" w:rsidTr="00DE7AE4">
        <w:tc>
          <w:tcPr>
            <w:tcW w:w="2250" w:type="dxa"/>
          </w:tcPr>
          <w:p w14:paraId="09624750" w14:textId="77777777" w:rsidR="003323F8" w:rsidRDefault="00000000" w:rsidP="00D547F2">
            <w:pPr>
              <w:pStyle w:val="cTableBody"/>
            </w:pPr>
            <w:r>
              <w:t>Uncertainty and causal closure</w:t>
            </w:r>
          </w:p>
        </w:tc>
        <w:tc>
          <w:tcPr>
            <w:tcW w:w="8352" w:type="dxa"/>
          </w:tcPr>
          <w:p w14:paraId="1A56758C" w14:textId="77777777" w:rsidR="003323F8" w:rsidRDefault="00000000" w:rsidP="00D547F2">
            <w:pPr>
              <w:pStyle w:val="cTableBody"/>
            </w:pPr>
            <w:r>
              <w:t>Propagate uncertainty from source output through plume transport, activation, cloud response, and radiation. A bright image or a droplet-number change is not sufficient by itself.</w:t>
            </w:r>
          </w:p>
        </w:tc>
      </w:tr>
      <w:tr w:rsidR="003323F8" w14:paraId="00A079D9" w14:textId="77777777" w:rsidTr="00DE7AE4">
        <w:tc>
          <w:tcPr>
            <w:tcW w:w="2250" w:type="dxa"/>
          </w:tcPr>
          <w:p w14:paraId="44E556F9" w14:textId="77777777" w:rsidR="003323F8" w:rsidRDefault="00000000" w:rsidP="00D547F2">
            <w:pPr>
              <w:pStyle w:val="cTableBody"/>
            </w:pPr>
            <w:r>
              <w:t>Null and negative results</w:t>
            </w:r>
          </w:p>
        </w:tc>
        <w:tc>
          <w:tcPr>
            <w:tcW w:w="8352" w:type="dxa"/>
          </w:tcPr>
          <w:p w14:paraId="2D466514" w14:textId="77777777" w:rsidR="003323F8" w:rsidRDefault="00000000" w:rsidP="00D547F2">
            <w:pPr>
              <w:pStyle w:val="cTableBody"/>
            </w:pPr>
            <w:r>
              <w:t>Publish null cloud responses, failed plume interceptions, generator failures, and campaigns that were adequately powered but did not detect the preregistered effect.</w:t>
            </w:r>
          </w:p>
        </w:tc>
      </w:tr>
    </w:tbl>
    <w:p w14:paraId="276F3B8C" w14:textId="77777777" w:rsidR="003323F8" w:rsidRDefault="00000000">
      <w:pPr>
        <w:pStyle w:val="Heading2"/>
        <w:spacing w:before="280"/>
      </w:pPr>
      <w:r>
        <w:t>Campaign readiness rule</w:t>
      </w:r>
    </w:p>
    <w:p w14:paraId="714C28CC" w14:textId="77777777" w:rsidR="003323F8" w:rsidRDefault="00000000">
      <w:pPr>
        <w:spacing w:before="280" w:after="280"/>
      </w:pPr>
      <w:r>
        <w:t>No outdoor release should proceed merely because ships, aircraft, or generators are available. This review is the basis for Gate G0. Before mobilization, the independent design review should confirm that the campaign has a plausible path to detecting the decision-relevant effect, that primary outcomes and exclusion rules are locked, that the control design can separate treatment from ordinary meteorological variability, and that the expected value of information justifies the smallest proposed release. Numerical thresholds should be set prospectively by the Scientific Advisory Panel for each cloud regime and instrument configuration.</w:t>
      </w:r>
    </w:p>
    <w:p w14:paraId="11C615A2" w14:textId="77777777" w:rsidR="003323F8" w:rsidRDefault="00000000">
      <w:pPr>
        <w:pStyle w:val="Heading1"/>
        <w:spacing w:before="280" w:after="280"/>
      </w:pPr>
      <w:bookmarkStart w:id="21" w:name="_Toc238204657"/>
      <w:r>
        <w:t>Stage Gates and Go/No-Go Criteria</w:t>
      </w:r>
      <w:bookmarkEnd w:id="21"/>
    </w:p>
    <w:p w14:paraId="773898ED" w14:textId="77777777" w:rsidR="003323F8" w:rsidRDefault="00000000">
      <w:pPr>
        <w:pStyle w:val="cUserPromptText"/>
        <w:spacing w:before="280" w:after="280"/>
      </w:pPr>
      <w:r w:rsidRPr="00260095">
        <w:rPr>
          <w:rStyle w:val="UserPromptHeadingChar"/>
        </w:rPr>
        <w:t>Prompt to AI:</w:t>
      </w:r>
      <w:r>
        <w:t xml:space="preserve"> What explicit stage gates should control progression from generator development to plume experiments, cloud-response experiments, replication, and any later research?</w:t>
      </w:r>
    </w:p>
    <w:p w14:paraId="514FBB53" w14:textId="77777777" w:rsidR="003323F8" w:rsidRDefault="00000000">
      <w:pPr>
        <w:pStyle w:val="cSubject"/>
        <w:spacing w:before="280" w:after="280"/>
      </w:pPr>
      <w:r>
        <w:t>Response From AI:</w:t>
      </w:r>
    </w:p>
    <w:p w14:paraId="7AD24979" w14:textId="77777777" w:rsidR="003323F8" w:rsidRDefault="00000000">
      <w:pPr>
        <w:spacing w:before="280" w:after="280"/>
      </w:pPr>
      <w:r>
        <w:t>Passing a gate authorizes only the next research stage; it does not authorize deployment. Numerical thresholds should be established before each campaign by the scientific and independent oversight bodies and published with the preregistered plan. Failure at a gate should trigger redesign, repetition, scale reduction, or termination rather than automatic progression.</w:t>
      </w:r>
    </w:p>
    <w:tbl>
      <w:tblPr>
        <w:tblStyle w:val="gswTableStyle"/>
        <w:tblW w:w="10583" w:type="dxa"/>
        <w:tblLayout w:type="fixed"/>
        <w:tblLook w:val="04A0" w:firstRow="1" w:lastRow="0" w:firstColumn="1" w:lastColumn="0" w:noHBand="0" w:noVBand="1"/>
      </w:tblPr>
      <w:tblGrid>
        <w:gridCol w:w="1752"/>
        <w:gridCol w:w="4434"/>
        <w:gridCol w:w="2135"/>
        <w:gridCol w:w="2262"/>
      </w:tblGrid>
      <w:tr w:rsidR="003323F8" w:rsidRPr="00DE7AE4" w14:paraId="5B39C9DD" w14:textId="77777777" w:rsidTr="00DE7AE4">
        <w:trPr>
          <w:cnfStyle w:val="100000000000" w:firstRow="1" w:lastRow="0" w:firstColumn="0" w:lastColumn="0" w:oddVBand="0" w:evenVBand="0" w:oddHBand="0" w:evenHBand="0" w:firstRowFirstColumn="0" w:firstRowLastColumn="0" w:lastRowFirstColumn="0" w:lastRowLastColumn="0"/>
        </w:trPr>
        <w:tc>
          <w:tcPr>
            <w:tcW w:w="1944" w:type="dxa"/>
          </w:tcPr>
          <w:p w14:paraId="70599D7E" w14:textId="77777777" w:rsidR="003323F8" w:rsidRPr="00DE7AE4" w:rsidRDefault="00000000" w:rsidP="00DE7AE4">
            <w:pPr>
              <w:pStyle w:val="cTableHeader"/>
            </w:pPr>
            <w:r w:rsidRPr="00DE7AE4">
              <w:t>Gate</w:t>
            </w:r>
          </w:p>
        </w:tc>
        <w:tc>
          <w:tcPr>
            <w:tcW w:w="4968" w:type="dxa"/>
          </w:tcPr>
          <w:p w14:paraId="38FBD266" w14:textId="77777777" w:rsidR="003323F8" w:rsidRPr="00DE7AE4" w:rsidRDefault="00000000" w:rsidP="00DE7AE4">
            <w:pPr>
              <w:pStyle w:val="cTableHeader"/>
            </w:pPr>
            <w:r w:rsidRPr="00DE7AE4">
              <w:t>Required evidence</w:t>
            </w:r>
          </w:p>
        </w:tc>
        <w:tc>
          <w:tcPr>
            <w:tcW w:w="2376" w:type="dxa"/>
          </w:tcPr>
          <w:p w14:paraId="2FC374FD" w14:textId="77777777" w:rsidR="003323F8" w:rsidRPr="00DE7AE4" w:rsidRDefault="00000000" w:rsidP="00DE7AE4">
            <w:pPr>
              <w:pStyle w:val="cTableHeader"/>
            </w:pPr>
            <w:r w:rsidRPr="00DE7AE4">
              <w:t>Decision enabled</w:t>
            </w:r>
          </w:p>
        </w:tc>
        <w:tc>
          <w:tcPr>
            <w:tcW w:w="2520" w:type="dxa"/>
          </w:tcPr>
          <w:p w14:paraId="786BD0E5" w14:textId="77777777" w:rsidR="003323F8" w:rsidRPr="00DE7AE4" w:rsidRDefault="00000000" w:rsidP="00DE7AE4">
            <w:pPr>
              <w:pStyle w:val="cTableHeader"/>
            </w:pPr>
            <w:r w:rsidRPr="00DE7AE4">
              <w:t>If not met</w:t>
            </w:r>
          </w:p>
        </w:tc>
      </w:tr>
      <w:tr w:rsidR="003323F8" w:rsidRPr="0012328B" w14:paraId="64509241" w14:textId="77777777" w:rsidTr="00DE7AE4">
        <w:tc>
          <w:tcPr>
            <w:tcW w:w="1944" w:type="dxa"/>
          </w:tcPr>
          <w:p w14:paraId="53021A0C" w14:textId="77777777" w:rsidR="00603BBF" w:rsidRDefault="00000000">
            <w:pPr>
              <w:pStyle w:val="cTableBody"/>
            </w:pPr>
            <w:r>
              <w:t>G0. Observability and value of information</w:t>
            </w:r>
          </w:p>
        </w:tc>
        <w:tc>
          <w:tcPr>
            <w:tcW w:w="4968" w:type="dxa"/>
          </w:tcPr>
          <w:p w14:paraId="12AE1461" w14:textId="77777777" w:rsidR="00603BBF" w:rsidRDefault="00000000">
            <w:pPr>
              <w:pStyle w:val="cTableBody"/>
            </w:pPr>
            <w:r>
              <w:t>A decision-relevant uncertainty is identified; existing evidence and lower-risk alternatives are reviewed; expected effect, minimum detectable effect, independent experimental unit, controls, sample size/weather days, and the smallest informative release are defined.</w:t>
            </w:r>
          </w:p>
        </w:tc>
        <w:tc>
          <w:tcPr>
            <w:tcW w:w="2376" w:type="dxa"/>
          </w:tcPr>
          <w:p w14:paraId="3B5094CC" w14:textId="77777777" w:rsidR="00603BBF" w:rsidRDefault="00000000">
            <w:pPr>
              <w:pStyle w:val="cTableBody"/>
            </w:pPr>
            <w:r>
              <w:t>Authorize the minimum experiment needed to answer the question, subject to RA for any outdoor release.</w:t>
            </w:r>
          </w:p>
        </w:tc>
        <w:tc>
          <w:tcPr>
            <w:tcW w:w="2520" w:type="dxa"/>
          </w:tcPr>
          <w:p w14:paraId="1D691B7F" w14:textId="77777777" w:rsidR="00603BBF" w:rsidRDefault="00000000">
            <w:pPr>
              <w:pStyle w:val="cTableBody"/>
            </w:pPr>
            <w:r>
              <w:t>Use existing data/modeling, redesign for detectability, reduce scale, or defer/stop the experiment.</w:t>
            </w:r>
          </w:p>
        </w:tc>
      </w:tr>
      <w:tr w:rsidR="003323F8" w:rsidRPr="0012328B" w14:paraId="51A194FA" w14:textId="77777777" w:rsidTr="00DE7AE4">
        <w:tc>
          <w:tcPr>
            <w:tcW w:w="1944" w:type="dxa"/>
          </w:tcPr>
          <w:p w14:paraId="0207AD85" w14:textId="77777777" w:rsidR="00603BBF" w:rsidRDefault="00000000">
            <w:pPr>
              <w:pStyle w:val="cTableBody"/>
            </w:pPr>
            <w:r>
              <w:t>G1. Source readiness</w:t>
            </w:r>
          </w:p>
        </w:tc>
        <w:tc>
          <w:tcPr>
            <w:tcW w:w="4968" w:type="dxa"/>
          </w:tcPr>
          <w:p w14:paraId="7B987BFD" w14:textId="77777777" w:rsidR="00603BBF" w:rsidRDefault="00000000">
            <w:pPr>
              <w:pStyle w:val="cTableBody"/>
            </w:pPr>
            <w:r>
              <w:t>Independent verification of particle size/number, coarse tail, composition, energy use, controls, reliability, calibration, and uncertainty across the intended campaign operating envelope.</w:t>
            </w:r>
          </w:p>
        </w:tc>
        <w:tc>
          <w:tcPr>
            <w:tcW w:w="2376" w:type="dxa"/>
          </w:tcPr>
          <w:p w14:paraId="23D98D5A" w14:textId="77777777" w:rsidR="00603BBF" w:rsidRDefault="00000000">
            <w:pPr>
              <w:pStyle w:val="cTableBody"/>
            </w:pPr>
            <w:r>
              <w:t>Authorize bounded source-and-plume work, subject to RA.</w:t>
            </w:r>
          </w:p>
        </w:tc>
        <w:tc>
          <w:tcPr>
            <w:tcW w:w="2520" w:type="dxa"/>
          </w:tcPr>
          <w:p w14:paraId="6C108A96" w14:textId="77777777" w:rsidR="00603BBF" w:rsidRDefault="00000000">
            <w:pPr>
              <w:pStyle w:val="cTableBody"/>
            </w:pPr>
            <w:r>
              <w:t>Rework or replace the source; no cloud-response release.</w:t>
            </w:r>
          </w:p>
        </w:tc>
      </w:tr>
      <w:tr w:rsidR="003323F8" w:rsidRPr="0012328B" w14:paraId="30E3D26E" w14:textId="77777777" w:rsidTr="00DE7AE4">
        <w:tc>
          <w:tcPr>
            <w:tcW w:w="1944" w:type="dxa"/>
          </w:tcPr>
          <w:p w14:paraId="3EDD17A8" w14:textId="77777777" w:rsidR="00603BBF" w:rsidRDefault="00000000">
            <w:pPr>
              <w:pStyle w:val="cTableBody"/>
            </w:pPr>
            <w:r>
              <w:t>G2. Plume delivery</w:t>
            </w:r>
          </w:p>
        </w:tc>
        <w:tc>
          <w:tcPr>
            <w:tcW w:w="4968" w:type="dxa"/>
          </w:tcPr>
          <w:p w14:paraId="42E163E5" w14:textId="77777777" w:rsidR="00603BBF" w:rsidRDefault="00000000">
            <w:pPr>
              <w:pStyle w:val="cTableBody"/>
            </w:pPr>
            <w:r>
              <w:t>Known releases can be detected and tracked; source inversion is credible; survival, dilution, deposition, vertical transport, and cloud-base delivery fraction are measured with stated uncertainty.</w:t>
            </w:r>
          </w:p>
        </w:tc>
        <w:tc>
          <w:tcPr>
            <w:tcW w:w="2376" w:type="dxa"/>
          </w:tcPr>
          <w:p w14:paraId="5BC21631" w14:textId="77777777" w:rsidR="00603BBF" w:rsidRDefault="00000000">
            <w:pPr>
              <w:pStyle w:val="cTableBody"/>
            </w:pPr>
            <w:r>
              <w:t>Authorize very small cloud-response experiments under approved conditions, subject to RA.</w:t>
            </w:r>
          </w:p>
        </w:tc>
        <w:tc>
          <w:tcPr>
            <w:tcW w:w="2520" w:type="dxa"/>
          </w:tcPr>
          <w:p w14:paraId="3FDA3303" w14:textId="77777777" w:rsidR="00603BBF" w:rsidRDefault="00000000">
            <w:pPr>
              <w:pStyle w:val="cTableBody"/>
            </w:pPr>
            <w:r>
              <w:t>Repeat plume work or change source/release geometry.</w:t>
            </w:r>
          </w:p>
        </w:tc>
      </w:tr>
      <w:tr w:rsidR="003323F8" w:rsidRPr="0012328B" w14:paraId="41B0B636" w14:textId="77777777" w:rsidTr="00DE7AE4">
        <w:tc>
          <w:tcPr>
            <w:tcW w:w="1944" w:type="dxa"/>
          </w:tcPr>
          <w:p w14:paraId="2F0CA5B8" w14:textId="77777777" w:rsidR="00603BBF" w:rsidRDefault="00000000">
            <w:pPr>
              <w:pStyle w:val="cTableBody"/>
            </w:pPr>
            <w:r>
              <w:t>G3. Cloud response</w:t>
            </w:r>
          </w:p>
        </w:tc>
        <w:tc>
          <w:tcPr>
            <w:tcW w:w="4968" w:type="dxa"/>
          </w:tcPr>
          <w:p w14:paraId="133E62EE" w14:textId="77777777" w:rsidR="00603BBF" w:rsidRDefault="00000000">
            <w:pPr>
              <w:pStyle w:val="cTableBody"/>
            </w:pPr>
            <w:r>
              <w:t>Preregistered treated/control comparisons show whether delivered particles alter droplet number/size, liquid water, drizzle, entrainment, or cloud organization in a defined regime.</w:t>
            </w:r>
          </w:p>
        </w:tc>
        <w:tc>
          <w:tcPr>
            <w:tcW w:w="2376" w:type="dxa"/>
          </w:tcPr>
          <w:p w14:paraId="5B660B31" w14:textId="77777777" w:rsidR="00603BBF" w:rsidRDefault="00000000">
            <w:pPr>
              <w:pStyle w:val="cTableBody"/>
            </w:pPr>
            <w:r>
              <w:t>Authorize campaigns designed for radiative closure and replication, subject to RA.</w:t>
            </w:r>
          </w:p>
        </w:tc>
        <w:tc>
          <w:tcPr>
            <w:tcW w:w="2520" w:type="dxa"/>
          </w:tcPr>
          <w:p w14:paraId="74C8429F" w14:textId="77777777" w:rsidR="00603BBF" w:rsidRDefault="00000000">
            <w:pPr>
              <w:pStyle w:val="cTableBody"/>
            </w:pPr>
            <w:r>
              <w:t>Do not infer efficacy; redesign dose, targeting, controls, or cloud-regime selection.</w:t>
            </w:r>
          </w:p>
        </w:tc>
      </w:tr>
      <w:tr w:rsidR="003323F8" w:rsidRPr="0012328B" w14:paraId="20CEDC12" w14:textId="77777777" w:rsidTr="00DE7AE4">
        <w:tc>
          <w:tcPr>
            <w:tcW w:w="1944" w:type="dxa"/>
          </w:tcPr>
          <w:p w14:paraId="334B178D" w14:textId="77777777" w:rsidR="00603BBF" w:rsidRDefault="00000000">
            <w:pPr>
              <w:pStyle w:val="cTableBody"/>
            </w:pPr>
            <w:r>
              <w:t>G4. Radiative closure</w:t>
            </w:r>
          </w:p>
        </w:tc>
        <w:tc>
          <w:tcPr>
            <w:tcW w:w="4968" w:type="dxa"/>
          </w:tcPr>
          <w:p w14:paraId="62D33F35" w14:textId="77777777" w:rsidR="00603BBF" w:rsidRDefault="00000000">
            <w:pPr>
              <w:pStyle w:val="cTableBody"/>
            </w:pPr>
            <w:r>
              <w:t>Measured shortwave response is reconciled quantitatively with source output, cloud-base aerosol/CCN, activation, cloud microphysics/dynamics, and the uncertainty budget.</w:t>
            </w:r>
          </w:p>
        </w:tc>
        <w:tc>
          <w:tcPr>
            <w:tcW w:w="2376" w:type="dxa"/>
          </w:tcPr>
          <w:p w14:paraId="5D2CBCED" w14:textId="77777777" w:rsidR="00603BBF" w:rsidRDefault="00000000">
            <w:pPr>
              <w:pStyle w:val="cTableBody"/>
            </w:pPr>
            <w:r>
              <w:t>Authorize independent replication and broader regime testing, subject to RA.</w:t>
            </w:r>
          </w:p>
        </w:tc>
        <w:tc>
          <w:tcPr>
            <w:tcW w:w="2520" w:type="dxa"/>
          </w:tcPr>
          <w:p w14:paraId="1858C6C9" w14:textId="77777777" w:rsidR="00603BBF" w:rsidRDefault="00000000">
            <w:pPr>
              <w:pStyle w:val="cTableBody"/>
            </w:pPr>
            <w:r>
              <w:t>No claim of successful MCB response; repeat or stop the workstream.</w:t>
            </w:r>
          </w:p>
        </w:tc>
      </w:tr>
      <w:tr w:rsidR="003323F8" w:rsidRPr="0012328B" w14:paraId="3A739C26" w14:textId="77777777" w:rsidTr="00DE7AE4">
        <w:tc>
          <w:tcPr>
            <w:tcW w:w="1944" w:type="dxa"/>
          </w:tcPr>
          <w:p w14:paraId="3ADD6A38" w14:textId="77777777" w:rsidR="00603BBF" w:rsidRDefault="00000000">
            <w:pPr>
              <w:pStyle w:val="cTableBody"/>
            </w:pPr>
            <w:r>
              <w:t>G5. Independent replication</w:t>
            </w:r>
          </w:p>
        </w:tc>
        <w:tc>
          <w:tcPr>
            <w:tcW w:w="4968" w:type="dxa"/>
          </w:tcPr>
          <w:p w14:paraId="5B40AB5A" w14:textId="77777777" w:rsidR="00603BBF" w:rsidRDefault="00000000">
            <w:pPr>
              <w:pStyle w:val="cTableBody"/>
            </w:pPr>
            <w:r>
              <w:t>A team that did not control the original analysis reproduces the key source-to-cloud-to-radiation result across additional days and, where feasible, another season, site, or platform.</w:t>
            </w:r>
          </w:p>
        </w:tc>
        <w:tc>
          <w:tcPr>
            <w:tcW w:w="2376" w:type="dxa"/>
          </w:tcPr>
          <w:p w14:paraId="5AFA80B3" w14:textId="77777777" w:rsidR="00603BBF" w:rsidRDefault="00000000">
            <w:pPr>
              <w:pStyle w:val="cTableBody"/>
            </w:pPr>
            <w:r>
              <w:t>Authorize broader comparison across cloud regimes and operating conditions, subject to RA.</w:t>
            </w:r>
          </w:p>
        </w:tc>
        <w:tc>
          <w:tcPr>
            <w:tcW w:w="2520" w:type="dxa"/>
          </w:tcPr>
          <w:p w14:paraId="5728272C" w14:textId="77777777" w:rsidR="00603BBF" w:rsidRDefault="00000000">
            <w:pPr>
              <w:pStyle w:val="cTableBody"/>
            </w:pPr>
            <w:r>
              <w:t>Treat the result as unconfirmed and retain the earlier scale.</w:t>
            </w:r>
          </w:p>
        </w:tc>
      </w:tr>
      <w:tr w:rsidR="003323F8" w:rsidRPr="0012328B" w14:paraId="0288A55C" w14:textId="77777777" w:rsidTr="00DE7AE4">
        <w:tc>
          <w:tcPr>
            <w:tcW w:w="1944" w:type="dxa"/>
          </w:tcPr>
          <w:p w14:paraId="003A3D7E" w14:textId="77777777" w:rsidR="00603BBF" w:rsidRDefault="00000000">
            <w:pPr>
              <w:pStyle w:val="cTableBody"/>
            </w:pPr>
            <w:r>
              <w:t>G6. Model performance</w:t>
            </w:r>
          </w:p>
        </w:tc>
        <w:tc>
          <w:tcPr>
            <w:tcW w:w="4968" w:type="dxa"/>
          </w:tcPr>
          <w:p w14:paraId="5555BC86" w14:textId="77777777" w:rsidR="00603BBF" w:rsidRDefault="00000000">
            <w:pPr>
              <w:pStyle w:val="cTableBody"/>
            </w:pPr>
            <w:r>
              <w:t>Preregistered plume, LES, and regional models reproduce withheld campaign observations within published performance criteria and explain major discrepancies.</w:t>
            </w:r>
          </w:p>
        </w:tc>
        <w:tc>
          <w:tcPr>
            <w:tcW w:w="2376" w:type="dxa"/>
          </w:tcPr>
          <w:p w14:paraId="552E51E6" w14:textId="77777777" w:rsidR="00603BBF" w:rsidRDefault="00000000">
            <w:pPr>
              <w:pStyle w:val="cTableBody"/>
            </w:pPr>
            <w:r>
              <w:t>Use qualified models for bounded next-stage research design and scale-up sensitivity analysis.</w:t>
            </w:r>
          </w:p>
        </w:tc>
        <w:tc>
          <w:tcPr>
            <w:tcW w:w="2520" w:type="dxa"/>
          </w:tcPr>
          <w:p w14:paraId="6D08B806" w14:textId="77777777" w:rsidR="00603BBF" w:rsidRDefault="00000000">
            <w:pPr>
              <w:pStyle w:val="cTableBody"/>
            </w:pPr>
            <w:r>
              <w:t>Do not rely on failed models for regional or global efficacy claims.</w:t>
            </w:r>
          </w:p>
        </w:tc>
      </w:tr>
      <w:tr w:rsidR="00603BBF" w14:paraId="3A06B6C9" w14:textId="77777777" w:rsidTr="00603BBF">
        <w:tc>
          <w:tcPr>
            <w:tcW w:w="1944" w:type="dxa"/>
          </w:tcPr>
          <w:p w14:paraId="4F3C728B" w14:textId="77777777" w:rsidR="00603BBF" w:rsidRDefault="00000000">
            <w:pPr>
              <w:pStyle w:val="cTableBody"/>
            </w:pPr>
            <w:r>
              <w:t>G7. Five-year decision readiness</w:t>
            </w:r>
          </w:p>
        </w:tc>
        <w:tc>
          <w:tcPr>
            <w:tcW w:w="4968" w:type="dxa"/>
          </w:tcPr>
          <w:p w14:paraId="5D031A36" w14:textId="77777777" w:rsidR="00603BBF" w:rsidRDefault="00000000">
            <w:pPr>
              <w:pStyle w:val="cTableBody"/>
            </w:pPr>
            <w:r>
              <w:t>Independent synthesis of source delivery, cloud/radiative response, replication, model performance, environmental evidence, unresolved uncertainty, and remaining value of information.</w:t>
            </w:r>
          </w:p>
        </w:tc>
        <w:tc>
          <w:tcPr>
            <w:tcW w:w="2376" w:type="dxa"/>
          </w:tcPr>
          <w:p w14:paraId="5B1160AF" w14:textId="77777777" w:rsidR="00603BBF" w:rsidRDefault="00000000">
            <w:pPr>
              <w:pStyle w:val="cTableBody"/>
            </w:pPr>
            <w:r>
              <w:t>Deliver proceed / redirect / pause / stop recommendations by workstream; no entitlement to deployment or Phase II.</w:t>
            </w:r>
          </w:p>
        </w:tc>
        <w:tc>
          <w:tcPr>
            <w:tcW w:w="2520" w:type="dxa"/>
          </w:tcPr>
          <w:p w14:paraId="44B6F5F6" w14:textId="77777777" w:rsidR="00603BBF" w:rsidRDefault="00000000">
            <w:pPr>
              <w:pStyle w:val="cTableBody"/>
            </w:pPr>
            <w:r>
              <w:t>Continue only targeted uncertainty reduction or stop pathways whose expected value no longer justifies added research.</w:t>
            </w:r>
          </w:p>
        </w:tc>
      </w:tr>
    </w:tbl>
    <w:p w14:paraId="2E9EFD62" w14:textId="77777777" w:rsidR="00603BBF" w:rsidRDefault="00000000">
      <w:pPr>
        <w:pStyle w:val="Heading2"/>
      </w:pPr>
      <w:r>
        <w:t>Release Authorization Overlay (RA)</w:t>
      </w:r>
    </w:p>
    <w:p w14:paraId="246B7391" w14:textId="77777777" w:rsidR="00603BBF" w:rsidRDefault="00000000">
      <w:r>
        <w:t>RA is not the last step in the scientific sequence. It is a separate authorization that must be satisfied before every deliberate outdoor release and before any increase in release scale. Passing a scientific gate means the next experiment is scientifically justified; passing RA means that a specific release is permitted to occur. Neither authorizes deployment.</w:t>
      </w:r>
    </w:p>
    <w:tbl>
      <w:tblPr>
        <w:tblStyle w:val="gswTableStyle"/>
        <w:tblW w:w="0" w:type="auto"/>
        <w:tblLayout w:type="fixed"/>
        <w:tblLook w:val="04A0" w:firstRow="1" w:lastRow="0" w:firstColumn="1" w:lastColumn="0" w:noHBand="0" w:noVBand="1"/>
      </w:tblPr>
      <w:tblGrid>
        <w:gridCol w:w="2880"/>
        <w:gridCol w:w="7488"/>
      </w:tblGrid>
      <w:tr w:rsidR="00603BBF" w14:paraId="4E4A72D9" w14:textId="77777777" w:rsidTr="00603BBF">
        <w:trPr>
          <w:cnfStyle w:val="100000000000" w:firstRow="1" w:lastRow="0" w:firstColumn="0" w:lastColumn="0" w:oddVBand="0" w:evenVBand="0" w:oddHBand="0" w:evenHBand="0" w:firstRowFirstColumn="0" w:firstRowLastColumn="0" w:lastRowFirstColumn="0" w:lastRowLastColumn="0"/>
        </w:trPr>
        <w:tc>
          <w:tcPr>
            <w:tcW w:w="2880" w:type="dxa"/>
          </w:tcPr>
          <w:p w14:paraId="493D48C8" w14:textId="77777777" w:rsidR="00603BBF" w:rsidRDefault="00000000">
            <w:pPr>
              <w:pStyle w:val="cTableHeader"/>
            </w:pPr>
            <w:r>
              <w:t>RA evidence</w:t>
            </w:r>
          </w:p>
        </w:tc>
        <w:tc>
          <w:tcPr>
            <w:tcW w:w="7488" w:type="dxa"/>
          </w:tcPr>
          <w:p w14:paraId="4F1E08F5" w14:textId="77777777" w:rsidR="00603BBF" w:rsidRDefault="00000000">
            <w:pPr>
              <w:pStyle w:val="cTableHeader"/>
            </w:pPr>
            <w:r>
              <w:t>Requirement</w:t>
            </w:r>
          </w:p>
        </w:tc>
      </w:tr>
      <w:tr w:rsidR="00603BBF" w14:paraId="3E394799" w14:textId="77777777" w:rsidTr="00603BBF">
        <w:tc>
          <w:tcPr>
            <w:tcW w:w="2880" w:type="dxa"/>
          </w:tcPr>
          <w:p w14:paraId="1924D27D" w14:textId="77777777" w:rsidR="00603BBF" w:rsidRDefault="00000000">
            <w:pPr>
              <w:pStyle w:val="cTableBody"/>
            </w:pPr>
            <w:r>
              <w:t>Scientific readiness</w:t>
            </w:r>
          </w:p>
        </w:tc>
        <w:tc>
          <w:tcPr>
            <w:tcW w:w="7488" w:type="dxa"/>
          </w:tcPr>
          <w:p w14:paraId="34ABCF37" w14:textId="77777777" w:rsidR="00603BBF" w:rsidRDefault="00000000">
            <w:pPr>
              <w:pStyle w:val="cTableBody"/>
            </w:pPr>
            <w:r>
              <w:t>Applicable G0-G6 technical gate passed; preregistered protocol, release settings, controls, stop criteria and data plan frozen.</w:t>
            </w:r>
          </w:p>
        </w:tc>
      </w:tr>
      <w:tr w:rsidR="00603BBF" w14:paraId="450448FC" w14:textId="77777777" w:rsidTr="00603BBF">
        <w:tc>
          <w:tcPr>
            <w:tcW w:w="2880" w:type="dxa"/>
          </w:tcPr>
          <w:p w14:paraId="367C9186" w14:textId="77777777" w:rsidR="00603BBF" w:rsidRDefault="00000000">
            <w:pPr>
              <w:pStyle w:val="cTableBody"/>
            </w:pPr>
            <w:r>
              <w:t>Environmental and legal</w:t>
            </w:r>
          </w:p>
        </w:tc>
        <w:tc>
          <w:tcPr>
            <w:tcW w:w="7488" w:type="dxa"/>
          </w:tcPr>
          <w:p w14:paraId="63E78C75" w14:textId="77777777" w:rsidR="00603BBF" w:rsidRDefault="00000000">
            <w:pPr>
              <w:pStyle w:val="cTableBody"/>
            </w:pPr>
            <w:r>
              <w:t>Permits, deposition/ecology monitoring, maritime/aviation requirements, jurisdictional and transboundary review where applicable.</w:t>
            </w:r>
          </w:p>
        </w:tc>
      </w:tr>
      <w:tr w:rsidR="00603BBF" w14:paraId="56D3B01C" w14:textId="77777777" w:rsidTr="00603BBF">
        <w:tc>
          <w:tcPr>
            <w:tcW w:w="2880" w:type="dxa"/>
          </w:tcPr>
          <w:p w14:paraId="5070B547" w14:textId="77777777" w:rsidR="00603BBF" w:rsidRDefault="00000000">
            <w:pPr>
              <w:pStyle w:val="cTableBody"/>
            </w:pPr>
            <w:r>
              <w:t>Public and community process</w:t>
            </w:r>
          </w:p>
        </w:tc>
        <w:tc>
          <w:tcPr>
            <w:tcW w:w="7488" w:type="dxa"/>
          </w:tcPr>
          <w:p w14:paraId="0EE73472" w14:textId="77777777" w:rsidR="00603BBF" w:rsidRDefault="00000000">
            <w:pPr>
              <w:pStyle w:val="cTableBody"/>
            </w:pPr>
            <w:r>
              <w:t>Required public, Indigenous, local/jurisdictional and climate-vulnerable-region engagement completed and documented.</w:t>
            </w:r>
          </w:p>
        </w:tc>
      </w:tr>
      <w:tr w:rsidR="00603BBF" w14:paraId="251F34C6" w14:textId="77777777" w:rsidTr="00603BBF">
        <w:tc>
          <w:tcPr>
            <w:tcW w:w="2880" w:type="dxa"/>
          </w:tcPr>
          <w:p w14:paraId="121812F1" w14:textId="77777777" w:rsidR="00603BBF" w:rsidRDefault="00000000">
            <w:pPr>
              <w:pStyle w:val="cTableBody"/>
            </w:pPr>
            <w:r>
              <w:t>Operational safety</w:t>
            </w:r>
          </w:p>
        </w:tc>
        <w:tc>
          <w:tcPr>
            <w:tcW w:w="7488" w:type="dxa"/>
          </w:tcPr>
          <w:p w14:paraId="409B6930" w14:textId="77777777" w:rsidR="00603BBF" w:rsidRDefault="00000000">
            <w:pPr>
              <w:pStyle w:val="cTableBody"/>
            </w:pPr>
            <w:r>
              <w:t>Emergency shutdown, incident response, platform safety, communications, independent monitoring and authority to stop the release demonstrated.</w:t>
            </w:r>
          </w:p>
        </w:tc>
      </w:tr>
      <w:tr w:rsidR="00603BBF" w14:paraId="51E87127" w14:textId="77777777" w:rsidTr="00603BBF">
        <w:tc>
          <w:tcPr>
            <w:tcW w:w="2880" w:type="dxa"/>
          </w:tcPr>
          <w:p w14:paraId="39385DB5" w14:textId="77777777" w:rsidR="00603BBF" w:rsidRDefault="00000000">
            <w:pPr>
              <w:pStyle w:val="cTableBody"/>
            </w:pPr>
            <w:r>
              <w:t>Independent approval</w:t>
            </w:r>
          </w:p>
        </w:tc>
        <w:tc>
          <w:tcPr>
            <w:tcW w:w="7488" w:type="dxa"/>
          </w:tcPr>
          <w:p w14:paraId="426FB10F" w14:textId="77777777" w:rsidR="00603BBF" w:rsidRDefault="00000000">
            <w:pPr>
              <w:pStyle w:val="cTableBody"/>
            </w:pPr>
            <w:r>
              <w:t>Independent Release and Safety Board issues written approval, conditions, delay, or refusal.</w:t>
            </w:r>
          </w:p>
        </w:tc>
      </w:tr>
    </w:tbl>
    <w:p w14:paraId="5D49C3CD" w14:textId="77777777" w:rsidR="003323F8" w:rsidRDefault="00000000">
      <w:pPr>
        <w:pStyle w:val="Heading2"/>
        <w:spacing w:before="280"/>
      </w:pPr>
      <w:r>
        <w:t>Program-level stop rule</w:t>
      </w:r>
    </w:p>
    <w:p w14:paraId="71E9791E" w14:textId="77777777" w:rsidR="003323F8" w:rsidRDefault="00000000">
      <w:pPr>
        <w:spacing w:before="280" w:after="280"/>
      </w:pPr>
      <w:r>
        <w:t>The program should maintain the option to stop a workstream when repeated experiments fail to deliver useful particles to cloud base, when a reproducible cloud/radiative response cannot be demonstrated, when models cannot reproduce observed perturbations, when environmental or governance conditions cannot be satisfied, or when the expected value of additional information is lower than competing research uses of the funds.</w:t>
      </w:r>
    </w:p>
    <w:p w14:paraId="24D87873" w14:textId="77777777" w:rsidR="003323F8" w:rsidRDefault="00000000">
      <w:pPr>
        <w:pStyle w:val="Heading1"/>
        <w:spacing w:before="280" w:after="280"/>
      </w:pPr>
      <w:bookmarkStart w:id="22" w:name="_Toc237984390"/>
      <w:bookmarkStart w:id="23" w:name="ClimateTOC_004"/>
      <w:bookmarkStart w:id="24" w:name="_Toc236310502"/>
      <w:bookmarkStart w:id="25" w:name="_Toc238204658"/>
      <w:r>
        <w:t>Campaign Development and Execution Phases</w:t>
      </w:r>
      <w:bookmarkEnd w:id="22"/>
      <w:bookmarkEnd w:id="23"/>
      <w:bookmarkEnd w:id="24"/>
      <w:bookmarkEnd w:id="25"/>
    </w:p>
    <w:p w14:paraId="1F9193B2" w14:textId="77777777" w:rsidR="003323F8" w:rsidRDefault="00000000">
      <w:pPr>
        <w:pStyle w:val="cUserPromptText"/>
        <w:spacing w:before="280" w:after="280"/>
      </w:pPr>
      <w:r w:rsidRPr="00260095">
        <w:rPr>
          <w:rStyle w:val="UserPromptHeadingChar"/>
        </w:rPr>
        <w:t xml:space="preserve">Prompt to AI: </w:t>
      </w:r>
      <w:r>
        <w:t>With each experiment, what are the different phases, and how much might each phase cost?</w:t>
      </w:r>
    </w:p>
    <w:p w14:paraId="2EDBC4D2" w14:textId="77777777" w:rsidR="003323F8" w:rsidRDefault="00000000">
      <w:pPr>
        <w:pStyle w:val="cSubject"/>
        <w:spacing w:before="280" w:after="280"/>
      </w:pPr>
      <w:r>
        <w:t>Response From AI:</w:t>
      </w:r>
    </w:p>
    <w:p w14:paraId="401A65C2" w14:textId="77777777" w:rsidR="003323F8" w:rsidRDefault="00000000">
      <w:pPr>
        <w:spacing w:before="280" w:after="80"/>
      </w:pPr>
      <w:r>
        <w:t>An experiment should be defined as a complete campaign containing multiple release and control periods. The figures below are order-of-magnitude planning estimates in constant 2026 dollars. They assume access to a research vessel, a second sampling vessel or aircraft, drones, remote sensing and a common program instrument suite. These campaign cost models are bottom-up planning views that draw from the $1 billion Area budgets; they are not additive appropriations.</w:t>
      </w:r>
    </w:p>
    <w:p w14:paraId="4FBEA987" w14:textId="77777777" w:rsidR="003323F8" w:rsidRDefault="00000000">
      <w:pPr>
        <w:pStyle w:val="Heading2"/>
        <w:spacing w:before="280"/>
      </w:pPr>
      <w:r>
        <w:t>1. Source-and-plume campaign</w:t>
      </w:r>
    </w:p>
    <w:tbl>
      <w:tblPr>
        <w:tblStyle w:val="gswTableStyle"/>
        <w:tblW w:w="9864" w:type="dxa"/>
        <w:tblLayout w:type="fixed"/>
        <w:tblLook w:val="04A0" w:firstRow="1" w:lastRow="0" w:firstColumn="1" w:lastColumn="0" w:noHBand="0" w:noVBand="1"/>
      </w:tblPr>
      <w:tblGrid>
        <w:gridCol w:w="2149"/>
        <w:gridCol w:w="5992"/>
        <w:gridCol w:w="1723"/>
      </w:tblGrid>
      <w:tr w:rsidR="003323F8" w14:paraId="0F4775FA" w14:textId="77777777" w:rsidTr="00DE7AE4">
        <w:trPr>
          <w:cnfStyle w:val="100000000000" w:firstRow="1" w:lastRow="0" w:firstColumn="0" w:lastColumn="0" w:oddVBand="0" w:evenVBand="0" w:oddHBand="0" w:evenHBand="0" w:firstRowFirstColumn="0" w:firstRowLastColumn="0" w:lastRowFirstColumn="0" w:lastRowLastColumn="0"/>
          <w:tblHeader/>
        </w:trPr>
        <w:tc>
          <w:tcPr>
            <w:tcW w:w="2149" w:type="dxa"/>
          </w:tcPr>
          <w:p w14:paraId="607A8904" w14:textId="77777777" w:rsidR="003323F8" w:rsidRDefault="00000000">
            <w:pPr>
              <w:pStyle w:val="cTableHeader"/>
            </w:pPr>
            <w:r>
              <w:t>Phase</w:t>
            </w:r>
          </w:p>
        </w:tc>
        <w:tc>
          <w:tcPr>
            <w:tcW w:w="5992" w:type="dxa"/>
          </w:tcPr>
          <w:p w14:paraId="57E74AA6" w14:textId="77777777" w:rsidR="003323F8" w:rsidRDefault="00000000">
            <w:pPr>
              <w:pStyle w:val="cTableHeader"/>
            </w:pPr>
            <w:r>
              <w:t>Principal work</w:t>
            </w:r>
          </w:p>
        </w:tc>
        <w:tc>
          <w:tcPr>
            <w:tcW w:w="1723" w:type="dxa"/>
          </w:tcPr>
          <w:p w14:paraId="5F27A73B" w14:textId="77777777" w:rsidR="003323F8" w:rsidRDefault="00000000">
            <w:pPr>
              <w:pStyle w:val="cTableHeader"/>
            </w:pPr>
            <w:r>
              <w:t>Estimated cost</w:t>
            </w:r>
          </w:p>
        </w:tc>
      </w:tr>
      <w:tr w:rsidR="003323F8" w14:paraId="6CF75D7C" w14:textId="77777777" w:rsidTr="00DE7AE4">
        <w:tc>
          <w:tcPr>
            <w:tcW w:w="2149" w:type="dxa"/>
          </w:tcPr>
          <w:p w14:paraId="4385AEBE" w14:textId="77777777" w:rsidR="003323F8" w:rsidRDefault="00000000">
            <w:pPr>
              <w:pStyle w:val="cTableBody"/>
              <w:spacing w:before="0" w:after="0"/>
            </w:pPr>
            <w:r>
              <w:t>1. Scientific design</w:t>
            </w:r>
          </w:p>
        </w:tc>
        <w:tc>
          <w:tcPr>
            <w:tcW w:w="5992" w:type="dxa"/>
          </w:tcPr>
          <w:p w14:paraId="7A8D8E54" w14:textId="77777777" w:rsidR="003323F8" w:rsidRDefault="00000000">
            <w:pPr>
              <w:pStyle w:val="cTableBody"/>
              <w:spacing w:before="0" w:after="0"/>
            </w:pPr>
            <w:r>
              <w:t>Hypotheses, release matrix, plume models, success criteria and uncertainty budget</w:t>
            </w:r>
          </w:p>
        </w:tc>
        <w:tc>
          <w:tcPr>
            <w:tcW w:w="1723" w:type="dxa"/>
          </w:tcPr>
          <w:p w14:paraId="239A2E85" w14:textId="77777777" w:rsidR="003323F8" w:rsidRDefault="00000000">
            <w:pPr>
              <w:pStyle w:val="cTableBody"/>
              <w:spacing w:before="0" w:after="0"/>
            </w:pPr>
            <w:r>
              <w:t>$0.8M–$1.5M</w:t>
            </w:r>
          </w:p>
        </w:tc>
      </w:tr>
      <w:tr w:rsidR="003323F8" w14:paraId="55C26C41" w14:textId="77777777" w:rsidTr="00DE7AE4">
        <w:tc>
          <w:tcPr>
            <w:tcW w:w="2149" w:type="dxa"/>
          </w:tcPr>
          <w:p w14:paraId="68CA4E96" w14:textId="77777777" w:rsidR="003323F8" w:rsidRDefault="00000000">
            <w:pPr>
              <w:pStyle w:val="cTableBody"/>
              <w:spacing w:before="0" w:after="0"/>
            </w:pPr>
            <w:r>
              <w:t>2. Governance and environmental review</w:t>
            </w:r>
          </w:p>
        </w:tc>
        <w:tc>
          <w:tcPr>
            <w:tcW w:w="5992" w:type="dxa"/>
          </w:tcPr>
          <w:p w14:paraId="3435CA1A" w14:textId="77777777" w:rsidR="003323F8" w:rsidRDefault="00000000">
            <w:pPr>
              <w:pStyle w:val="cTableBody"/>
              <w:spacing w:before="0" w:after="0"/>
            </w:pPr>
            <w:r>
              <w:t>Permits, maritime and airspace review, engagement, environmental monitoring and stop criteria</w:t>
            </w:r>
          </w:p>
        </w:tc>
        <w:tc>
          <w:tcPr>
            <w:tcW w:w="1723" w:type="dxa"/>
          </w:tcPr>
          <w:p w14:paraId="0E9719B8" w14:textId="77777777" w:rsidR="003323F8" w:rsidRDefault="00000000">
            <w:pPr>
              <w:pStyle w:val="cTableBody"/>
              <w:spacing w:before="0" w:after="0"/>
            </w:pPr>
            <w:r>
              <w:t>$0.7M–$1.8M</w:t>
            </w:r>
          </w:p>
        </w:tc>
      </w:tr>
      <w:tr w:rsidR="003323F8" w14:paraId="73FCFC09" w14:textId="77777777" w:rsidTr="00DE7AE4">
        <w:tc>
          <w:tcPr>
            <w:tcW w:w="2149" w:type="dxa"/>
          </w:tcPr>
          <w:p w14:paraId="1EBFCD3C" w14:textId="77777777" w:rsidR="003323F8" w:rsidRDefault="00000000">
            <w:pPr>
              <w:pStyle w:val="cTableBody"/>
              <w:spacing w:before="0" w:after="0"/>
            </w:pPr>
            <w:r>
              <w:t>3. Aerosol-source preparation</w:t>
            </w:r>
          </w:p>
        </w:tc>
        <w:tc>
          <w:tcPr>
            <w:tcW w:w="5992" w:type="dxa"/>
          </w:tcPr>
          <w:p w14:paraId="3F31458C" w14:textId="77777777" w:rsidR="003323F8" w:rsidRDefault="00000000">
            <w:pPr>
              <w:pStyle w:val="cTableBody"/>
              <w:spacing w:before="0" w:after="0"/>
            </w:pPr>
            <w:r>
              <w:t>Generator, seawater intake, filtration, controls, calibration and ground testing</w:t>
            </w:r>
          </w:p>
        </w:tc>
        <w:tc>
          <w:tcPr>
            <w:tcW w:w="1723" w:type="dxa"/>
          </w:tcPr>
          <w:p w14:paraId="6045E206" w14:textId="77777777" w:rsidR="003323F8" w:rsidRDefault="00000000">
            <w:pPr>
              <w:pStyle w:val="cTableBody"/>
              <w:spacing w:before="0" w:after="0"/>
            </w:pPr>
            <w:r>
              <w:t>$1.5M–$3.0M</w:t>
            </w:r>
          </w:p>
        </w:tc>
      </w:tr>
      <w:tr w:rsidR="003323F8" w14:paraId="09D8414F" w14:textId="77777777" w:rsidTr="00DE7AE4">
        <w:tc>
          <w:tcPr>
            <w:tcW w:w="2149" w:type="dxa"/>
          </w:tcPr>
          <w:p w14:paraId="4B5DC8C6" w14:textId="77777777" w:rsidR="003323F8" w:rsidRDefault="00000000">
            <w:pPr>
              <w:pStyle w:val="cTableBody"/>
              <w:spacing w:before="0" w:after="0"/>
            </w:pPr>
            <w:r>
              <w:t>4. Instrument preparation</w:t>
            </w:r>
          </w:p>
        </w:tc>
        <w:tc>
          <w:tcPr>
            <w:tcW w:w="5992" w:type="dxa"/>
          </w:tcPr>
          <w:p w14:paraId="67EC3629" w14:textId="77777777" w:rsidR="003323F8" w:rsidRDefault="00000000">
            <w:pPr>
              <w:pStyle w:val="cTableBody"/>
              <w:spacing w:before="0" w:after="0"/>
            </w:pPr>
            <w:r>
              <w:t>Particle sizing, CCN, chemistry, meteorology, lidar, drone payloads and calibration</w:t>
            </w:r>
          </w:p>
        </w:tc>
        <w:tc>
          <w:tcPr>
            <w:tcW w:w="1723" w:type="dxa"/>
          </w:tcPr>
          <w:p w14:paraId="6BE6A1C0" w14:textId="77777777" w:rsidR="003323F8" w:rsidRDefault="00000000">
            <w:pPr>
              <w:pStyle w:val="cTableBody"/>
              <w:spacing w:before="0" w:after="0"/>
            </w:pPr>
            <w:r>
              <w:t>$2.0M–$4.0M</w:t>
            </w:r>
          </w:p>
        </w:tc>
      </w:tr>
      <w:tr w:rsidR="003323F8" w14:paraId="56CCF20F" w14:textId="77777777" w:rsidTr="00DE7AE4">
        <w:tc>
          <w:tcPr>
            <w:tcW w:w="2149" w:type="dxa"/>
          </w:tcPr>
          <w:p w14:paraId="484E1F3B" w14:textId="77777777" w:rsidR="003323F8" w:rsidRDefault="00000000">
            <w:pPr>
              <w:pStyle w:val="cTableBody"/>
              <w:spacing w:before="0" w:after="0"/>
            </w:pPr>
            <w:r>
              <w:t>5. Vessel and platform integration</w:t>
            </w:r>
          </w:p>
        </w:tc>
        <w:tc>
          <w:tcPr>
            <w:tcW w:w="5992" w:type="dxa"/>
          </w:tcPr>
          <w:p w14:paraId="781108BA" w14:textId="77777777" w:rsidR="003323F8" w:rsidRDefault="00000000">
            <w:pPr>
              <w:pStyle w:val="cTableBody"/>
              <w:spacing w:before="0" w:after="0"/>
            </w:pPr>
            <w:r>
              <w:t>Deck installation, power, data, structural, electrical and safety integration</w:t>
            </w:r>
          </w:p>
        </w:tc>
        <w:tc>
          <w:tcPr>
            <w:tcW w:w="1723" w:type="dxa"/>
          </w:tcPr>
          <w:p w14:paraId="4088AFCC" w14:textId="77777777" w:rsidR="003323F8" w:rsidRDefault="00000000">
            <w:pPr>
              <w:pStyle w:val="cTableBody"/>
              <w:spacing w:before="0" w:after="0"/>
            </w:pPr>
            <w:r>
              <w:t>$1.5M–$3.0M</w:t>
            </w:r>
          </w:p>
        </w:tc>
      </w:tr>
      <w:tr w:rsidR="003323F8" w14:paraId="2413849F" w14:textId="77777777" w:rsidTr="00DE7AE4">
        <w:tc>
          <w:tcPr>
            <w:tcW w:w="2149" w:type="dxa"/>
          </w:tcPr>
          <w:p w14:paraId="0F6F1832" w14:textId="77777777" w:rsidR="003323F8" w:rsidRDefault="00000000">
            <w:pPr>
              <w:pStyle w:val="cTableBody"/>
              <w:spacing w:before="0" w:after="0"/>
            </w:pPr>
            <w:r>
              <w:t>6. Baseline and rehearsal</w:t>
            </w:r>
          </w:p>
        </w:tc>
        <w:tc>
          <w:tcPr>
            <w:tcW w:w="5992" w:type="dxa"/>
          </w:tcPr>
          <w:p w14:paraId="33FFFB79" w14:textId="77777777" w:rsidR="003323F8" w:rsidRDefault="00000000">
            <w:pPr>
              <w:pStyle w:val="cTableBody"/>
              <w:spacing w:before="0" w:after="0"/>
            </w:pPr>
            <w:r>
              <w:t>Background transects, inert or low-output tests, drone and vessel coordination</w:t>
            </w:r>
          </w:p>
        </w:tc>
        <w:tc>
          <w:tcPr>
            <w:tcW w:w="1723" w:type="dxa"/>
          </w:tcPr>
          <w:p w14:paraId="7E5F2B78" w14:textId="77777777" w:rsidR="003323F8" w:rsidRDefault="00000000">
            <w:pPr>
              <w:pStyle w:val="cTableBody"/>
              <w:spacing w:before="0" w:after="0"/>
            </w:pPr>
            <w:r>
              <w:t>$1.0M–$2.0M</w:t>
            </w:r>
          </w:p>
        </w:tc>
      </w:tr>
      <w:tr w:rsidR="003323F8" w14:paraId="30710E3A" w14:textId="77777777" w:rsidTr="00DE7AE4">
        <w:tc>
          <w:tcPr>
            <w:tcW w:w="2149" w:type="dxa"/>
          </w:tcPr>
          <w:p w14:paraId="1BD37C24" w14:textId="77777777" w:rsidR="003323F8" w:rsidRDefault="00000000">
            <w:pPr>
              <w:pStyle w:val="cTableBody"/>
              <w:spacing w:before="0" w:after="0"/>
            </w:pPr>
            <w:r>
              <w:t>7. Release operations</w:t>
            </w:r>
          </w:p>
        </w:tc>
        <w:tc>
          <w:tcPr>
            <w:tcW w:w="5992" w:type="dxa"/>
          </w:tcPr>
          <w:p w14:paraId="1B4E2348" w14:textId="77777777" w:rsidR="003323F8" w:rsidRDefault="00000000">
            <w:pPr>
              <w:pStyle w:val="cTableBody"/>
              <w:spacing w:before="0" w:after="0"/>
            </w:pPr>
            <w:r>
              <w:t xml:space="preserve">Multiple release and control </w:t>
            </w:r>
            <w:proofErr w:type="gramStart"/>
            <w:r>
              <w:t>runs</w:t>
            </w:r>
            <w:proofErr w:type="gramEnd"/>
            <w:r>
              <w:t xml:space="preserve"> over 1–2 weeks</w:t>
            </w:r>
          </w:p>
        </w:tc>
        <w:tc>
          <w:tcPr>
            <w:tcW w:w="1723" w:type="dxa"/>
          </w:tcPr>
          <w:p w14:paraId="1FAC4F75" w14:textId="77777777" w:rsidR="003323F8" w:rsidRDefault="00000000">
            <w:pPr>
              <w:pStyle w:val="cTableBody"/>
              <w:spacing w:before="0" w:after="0"/>
            </w:pPr>
            <w:r>
              <w:t>$2.5M–$5.0M</w:t>
            </w:r>
          </w:p>
        </w:tc>
      </w:tr>
      <w:tr w:rsidR="003323F8" w14:paraId="4D92F73A" w14:textId="77777777" w:rsidTr="00DE7AE4">
        <w:tc>
          <w:tcPr>
            <w:tcW w:w="2149" w:type="dxa"/>
          </w:tcPr>
          <w:p w14:paraId="7C3B8EEC" w14:textId="77777777" w:rsidR="003323F8" w:rsidRDefault="00000000">
            <w:pPr>
              <w:pStyle w:val="cTableBody"/>
              <w:spacing w:before="0" w:after="0"/>
            </w:pPr>
            <w:r>
              <w:t>8. Plume tracking</w:t>
            </w:r>
          </w:p>
        </w:tc>
        <w:tc>
          <w:tcPr>
            <w:tcW w:w="5992" w:type="dxa"/>
          </w:tcPr>
          <w:p w14:paraId="13E6FB5C" w14:textId="77777777" w:rsidR="003323F8" w:rsidRDefault="00000000">
            <w:pPr>
              <w:pStyle w:val="cTableBody"/>
              <w:spacing w:before="0" w:after="0"/>
            </w:pPr>
            <w:r>
              <w:t>Downwind vessel, drones, lidar, balloons and trajectory assimilation</w:t>
            </w:r>
          </w:p>
        </w:tc>
        <w:tc>
          <w:tcPr>
            <w:tcW w:w="1723" w:type="dxa"/>
          </w:tcPr>
          <w:p w14:paraId="1F45A335" w14:textId="77777777" w:rsidR="003323F8" w:rsidRDefault="00000000">
            <w:pPr>
              <w:pStyle w:val="cTableBody"/>
              <w:spacing w:before="0" w:after="0"/>
            </w:pPr>
            <w:r>
              <w:t>$1.5M–$3.5M</w:t>
            </w:r>
          </w:p>
        </w:tc>
      </w:tr>
      <w:tr w:rsidR="003323F8" w14:paraId="6916AFC9" w14:textId="77777777" w:rsidTr="00DE7AE4">
        <w:tc>
          <w:tcPr>
            <w:tcW w:w="2149" w:type="dxa"/>
          </w:tcPr>
          <w:p w14:paraId="1A235725" w14:textId="77777777" w:rsidR="003323F8" w:rsidRDefault="00000000">
            <w:pPr>
              <w:pStyle w:val="cTableBody"/>
              <w:spacing w:before="0" w:after="0"/>
            </w:pPr>
            <w:r>
              <w:t>9. Data and laboratory analysis</w:t>
            </w:r>
          </w:p>
        </w:tc>
        <w:tc>
          <w:tcPr>
            <w:tcW w:w="5992" w:type="dxa"/>
          </w:tcPr>
          <w:p w14:paraId="58D2EF92" w14:textId="77777777" w:rsidR="003323F8" w:rsidRDefault="00000000">
            <w:pPr>
              <w:pStyle w:val="cTableBody"/>
              <w:spacing w:before="0" w:after="0"/>
            </w:pPr>
            <w:r>
              <w:t>Particle survival, vertical transport, deposition and model comparison</w:t>
            </w:r>
          </w:p>
        </w:tc>
        <w:tc>
          <w:tcPr>
            <w:tcW w:w="1723" w:type="dxa"/>
          </w:tcPr>
          <w:p w14:paraId="2F3D98AB" w14:textId="77777777" w:rsidR="003323F8" w:rsidRDefault="00000000">
            <w:pPr>
              <w:pStyle w:val="cTableBody"/>
              <w:spacing w:before="0" w:after="0"/>
            </w:pPr>
            <w:r>
              <w:t>$2.0M–$4.0M</w:t>
            </w:r>
          </w:p>
        </w:tc>
      </w:tr>
      <w:tr w:rsidR="003323F8" w14:paraId="16FD2CD6" w14:textId="77777777" w:rsidTr="00DE7AE4">
        <w:tc>
          <w:tcPr>
            <w:tcW w:w="2149" w:type="dxa"/>
          </w:tcPr>
          <w:p w14:paraId="26629FCB" w14:textId="77777777" w:rsidR="003323F8" w:rsidRDefault="00000000">
            <w:pPr>
              <w:pStyle w:val="cTableBody"/>
              <w:spacing w:before="0" w:after="0"/>
            </w:pPr>
            <w:r>
              <w:t>10. Independent evaluation</w:t>
            </w:r>
          </w:p>
        </w:tc>
        <w:tc>
          <w:tcPr>
            <w:tcW w:w="5992" w:type="dxa"/>
          </w:tcPr>
          <w:p w14:paraId="3098E632" w14:textId="77777777" w:rsidR="003323F8" w:rsidRDefault="00000000">
            <w:pPr>
              <w:pStyle w:val="cTableBody"/>
              <w:spacing w:before="0" w:after="0"/>
            </w:pPr>
            <w:r>
              <w:t>Data audit, blinded prediction comparison, archive and review</w:t>
            </w:r>
          </w:p>
        </w:tc>
        <w:tc>
          <w:tcPr>
            <w:tcW w:w="1723" w:type="dxa"/>
          </w:tcPr>
          <w:p w14:paraId="74C3CF86" w14:textId="77777777" w:rsidR="003323F8" w:rsidRDefault="00000000">
            <w:pPr>
              <w:pStyle w:val="cTableBody"/>
              <w:spacing w:before="0" w:after="0"/>
            </w:pPr>
            <w:r>
              <w:t>$0.5M–$1.0M</w:t>
            </w:r>
          </w:p>
        </w:tc>
      </w:tr>
      <w:tr w:rsidR="003323F8" w14:paraId="1810D87B" w14:textId="77777777" w:rsidTr="00DE7AE4">
        <w:tc>
          <w:tcPr>
            <w:tcW w:w="2149" w:type="dxa"/>
          </w:tcPr>
          <w:p w14:paraId="09ADC99D" w14:textId="77777777" w:rsidR="00603BBF" w:rsidRDefault="00000000">
            <w:pPr>
              <w:pStyle w:val="cTableBody"/>
            </w:pPr>
            <w:r>
              <w:t>11. Prepriced campaign recovery options</w:t>
            </w:r>
          </w:p>
        </w:tc>
        <w:tc>
          <w:tcPr>
            <w:tcW w:w="5992" w:type="dxa"/>
          </w:tcPr>
          <w:p w14:paraId="6B1C4487" w14:textId="77777777" w:rsidR="003323F8" w:rsidRDefault="00000000">
            <w:pPr>
              <w:pStyle w:val="cTableBody"/>
              <w:spacing w:before="0" w:after="0"/>
            </w:pPr>
            <w:r>
              <w:t>Weather, ship time, generator failure, instrument repair and replacement days</w:t>
            </w:r>
          </w:p>
        </w:tc>
        <w:tc>
          <w:tcPr>
            <w:tcW w:w="1723" w:type="dxa"/>
          </w:tcPr>
          <w:p w14:paraId="367DED99" w14:textId="77777777" w:rsidR="003323F8" w:rsidRDefault="00000000">
            <w:pPr>
              <w:pStyle w:val="cTableBody"/>
              <w:spacing w:before="0" w:after="0"/>
            </w:pPr>
            <w:r>
              <w:t>$2.0M–$4.0M</w:t>
            </w:r>
          </w:p>
        </w:tc>
      </w:tr>
    </w:tbl>
    <w:p w14:paraId="594DAE9D" w14:textId="77777777" w:rsidR="003323F8" w:rsidRDefault="00000000">
      <w:pPr>
        <w:spacing w:before="280" w:after="80"/>
      </w:pPr>
      <w:r>
        <w:t>Repeat campaign after common capability exists: approximately $18M–$28M. First-of-a-kind campaign with substantial new generator and instrument development: approximately $28M–$40M.</w:t>
      </w:r>
    </w:p>
    <w:p w14:paraId="1430A543" w14:textId="77777777" w:rsidR="003323F8" w:rsidRDefault="00000000">
      <w:pPr>
        <w:pStyle w:val="Heading2"/>
        <w:spacing w:before="280"/>
      </w:pPr>
      <w:r>
        <w:t>2. Cloud-response campaign</w:t>
      </w:r>
    </w:p>
    <w:tbl>
      <w:tblPr>
        <w:tblStyle w:val="gswTableStyle"/>
        <w:tblW w:w="9864" w:type="dxa"/>
        <w:tblLayout w:type="fixed"/>
        <w:tblLook w:val="04A0" w:firstRow="1" w:lastRow="0" w:firstColumn="1" w:lastColumn="0" w:noHBand="0" w:noVBand="1"/>
      </w:tblPr>
      <w:tblGrid>
        <w:gridCol w:w="2151"/>
        <w:gridCol w:w="5991"/>
        <w:gridCol w:w="1722"/>
      </w:tblGrid>
      <w:tr w:rsidR="003323F8" w14:paraId="6D55226B" w14:textId="77777777" w:rsidTr="00DE7AE4">
        <w:trPr>
          <w:cnfStyle w:val="100000000000" w:firstRow="1" w:lastRow="0" w:firstColumn="0" w:lastColumn="0" w:oddVBand="0" w:evenVBand="0" w:oddHBand="0" w:evenHBand="0" w:firstRowFirstColumn="0" w:firstRowLastColumn="0" w:lastRowFirstColumn="0" w:lastRowLastColumn="0"/>
          <w:tblHeader/>
        </w:trPr>
        <w:tc>
          <w:tcPr>
            <w:tcW w:w="2151" w:type="dxa"/>
          </w:tcPr>
          <w:p w14:paraId="2940C838" w14:textId="77777777" w:rsidR="003323F8" w:rsidRDefault="00000000">
            <w:pPr>
              <w:pStyle w:val="cTableHeader"/>
            </w:pPr>
            <w:r>
              <w:t>Phase</w:t>
            </w:r>
          </w:p>
        </w:tc>
        <w:tc>
          <w:tcPr>
            <w:tcW w:w="5991" w:type="dxa"/>
          </w:tcPr>
          <w:p w14:paraId="354DCDC2" w14:textId="77777777" w:rsidR="003323F8" w:rsidRDefault="00000000">
            <w:pPr>
              <w:pStyle w:val="cTableHeader"/>
            </w:pPr>
            <w:r>
              <w:t>Principal work</w:t>
            </w:r>
          </w:p>
        </w:tc>
        <w:tc>
          <w:tcPr>
            <w:tcW w:w="1722" w:type="dxa"/>
          </w:tcPr>
          <w:p w14:paraId="04DB54E9" w14:textId="77777777" w:rsidR="003323F8" w:rsidRDefault="00000000">
            <w:pPr>
              <w:pStyle w:val="cTableHeader"/>
            </w:pPr>
            <w:r>
              <w:t>Estimated cost</w:t>
            </w:r>
          </w:p>
        </w:tc>
      </w:tr>
      <w:tr w:rsidR="003323F8" w14:paraId="5602B422" w14:textId="77777777" w:rsidTr="00DE7AE4">
        <w:tc>
          <w:tcPr>
            <w:tcW w:w="2151" w:type="dxa"/>
          </w:tcPr>
          <w:p w14:paraId="7616506A" w14:textId="77777777" w:rsidR="003323F8" w:rsidRDefault="00000000">
            <w:pPr>
              <w:pStyle w:val="cTableBody"/>
              <w:spacing w:before="0" w:after="0"/>
            </w:pPr>
            <w:r>
              <w:t>1. Scientific design</w:t>
            </w:r>
          </w:p>
        </w:tc>
        <w:tc>
          <w:tcPr>
            <w:tcW w:w="5991" w:type="dxa"/>
          </w:tcPr>
          <w:p w14:paraId="5117E1ED" w14:textId="77777777" w:rsidR="003323F8" w:rsidRDefault="00000000">
            <w:pPr>
              <w:pStyle w:val="cTableBody"/>
              <w:spacing w:before="0" w:after="0"/>
            </w:pPr>
            <w:r>
              <w:t>Cloud-regime selection, causal design, release pattern, measurement matrix and preregistered predictions</w:t>
            </w:r>
          </w:p>
        </w:tc>
        <w:tc>
          <w:tcPr>
            <w:tcW w:w="1722" w:type="dxa"/>
          </w:tcPr>
          <w:p w14:paraId="1C431ED6" w14:textId="77777777" w:rsidR="003323F8" w:rsidRDefault="00000000">
            <w:pPr>
              <w:pStyle w:val="cTableBody"/>
              <w:spacing w:before="0" w:after="0"/>
            </w:pPr>
            <w:r>
              <w:t>$1.2M–$2.5M</w:t>
            </w:r>
          </w:p>
        </w:tc>
      </w:tr>
      <w:tr w:rsidR="003323F8" w14:paraId="4329BC67" w14:textId="77777777" w:rsidTr="00DE7AE4">
        <w:tc>
          <w:tcPr>
            <w:tcW w:w="2151" w:type="dxa"/>
          </w:tcPr>
          <w:p w14:paraId="40C565A0" w14:textId="77777777" w:rsidR="003323F8" w:rsidRDefault="00000000">
            <w:pPr>
              <w:pStyle w:val="cTableBody"/>
              <w:spacing w:before="0" w:after="0"/>
            </w:pPr>
            <w:r>
              <w:t>2. Governance and environmental review</w:t>
            </w:r>
          </w:p>
        </w:tc>
        <w:tc>
          <w:tcPr>
            <w:tcW w:w="5991" w:type="dxa"/>
          </w:tcPr>
          <w:p w14:paraId="6FD88CD4" w14:textId="77777777" w:rsidR="003323F8" w:rsidRDefault="00000000">
            <w:pPr>
              <w:pStyle w:val="cTableBody"/>
              <w:spacing w:before="0" w:after="0"/>
            </w:pPr>
            <w:r>
              <w:t>Expanded consultation, environmental assessment, aviation and maritime approvals</w:t>
            </w:r>
          </w:p>
        </w:tc>
        <w:tc>
          <w:tcPr>
            <w:tcW w:w="1722" w:type="dxa"/>
          </w:tcPr>
          <w:p w14:paraId="619F9BD2" w14:textId="77777777" w:rsidR="003323F8" w:rsidRDefault="00000000">
            <w:pPr>
              <w:pStyle w:val="cTableBody"/>
              <w:spacing w:before="0" w:after="0"/>
            </w:pPr>
            <w:r>
              <w:t>$1.2M–$3.0M</w:t>
            </w:r>
          </w:p>
        </w:tc>
      </w:tr>
      <w:tr w:rsidR="003323F8" w14:paraId="6E775BF3" w14:textId="77777777" w:rsidTr="00DE7AE4">
        <w:tc>
          <w:tcPr>
            <w:tcW w:w="2151" w:type="dxa"/>
          </w:tcPr>
          <w:p w14:paraId="332D9196" w14:textId="77777777" w:rsidR="003323F8" w:rsidRDefault="00000000">
            <w:pPr>
              <w:pStyle w:val="cTableBody"/>
              <w:spacing w:before="0" w:after="0"/>
            </w:pPr>
            <w:r>
              <w:t>3. Generator and source validation</w:t>
            </w:r>
          </w:p>
        </w:tc>
        <w:tc>
          <w:tcPr>
            <w:tcW w:w="5991" w:type="dxa"/>
          </w:tcPr>
          <w:p w14:paraId="7636FCFB" w14:textId="77777777" w:rsidR="003323F8" w:rsidRDefault="00000000">
            <w:pPr>
              <w:pStyle w:val="cTableBody"/>
              <w:spacing w:before="0" w:after="0"/>
            </w:pPr>
            <w:r>
              <w:t>Flight/ship-ready source, particle-output verification, controls and safety</w:t>
            </w:r>
          </w:p>
        </w:tc>
        <w:tc>
          <w:tcPr>
            <w:tcW w:w="1722" w:type="dxa"/>
          </w:tcPr>
          <w:p w14:paraId="3694330D" w14:textId="77777777" w:rsidR="003323F8" w:rsidRDefault="00000000">
            <w:pPr>
              <w:pStyle w:val="cTableBody"/>
              <w:spacing w:before="0" w:after="0"/>
            </w:pPr>
            <w:r>
              <w:t>$2.0M–$4.0M</w:t>
            </w:r>
          </w:p>
        </w:tc>
      </w:tr>
      <w:tr w:rsidR="003323F8" w14:paraId="4F4C643D" w14:textId="77777777" w:rsidTr="00DE7AE4">
        <w:tc>
          <w:tcPr>
            <w:tcW w:w="2151" w:type="dxa"/>
          </w:tcPr>
          <w:p w14:paraId="740F7E7F" w14:textId="77777777" w:rsidR="003323F8" w:rsidRDefault="00000000">
            <w:pPr>
              <w:pStyle w:val="cTableBody"/>
              <w:spacing w:before="0" w:after="0"/>
            </w:pPr>
            <w:r>
              <w:t>4. Cloud and aerosol instrument preparation</w:t>
            </w:r>
          </w:p>
        </w:tc>
        <w:tc>
          <w:tcPr>
            <w:tcW w:w="5991" w:type="dxa"/>
          </w:tcPr>
          <w:p w14:paraId="1174CCD8" w14:textId="77777777" w:rsidR="003323F8" w:rsidRDefault="00000000">
            <w:pPr>
              <w:pStyle w:val="cTableBody"/>
              <w:spacing w:before="0" w:after="0"/>
            </w:pPr>
            <w:r>
              <w:t>In-situ cloud probes, aerosol instruments, radar, lidar, radiometers and satellite products</w:t>
            </w:r>
          </w:p>
        </w:tc>
        <w:tc>
          <w:tcPr>
            <w:tcW w:w="1722" w:type="dxa"/>
          </w:tcPr>
          <w:p w14:paraId="48E333F0" w14:textId="77777777" w:rsidR="003323F8" w:rsidRDefault="00000000">
            <w:pPr>
              <w:pStyle w:val="cTableBody"/>
              <w:spacing w:before="0" w:after="0"/>
            </w:pPr>
            <w:r>
              <w:t>$4.0M–$8.0M</w:t>
            </w:r>
          </w:p>
        </w:tc>
      </w:tr>
      <w:tr w:rsidR="003323F8" w14:paraId="79DC1EA1" w14:textId="77777777" w:rsidTr="00DE7AE4">
        <w:tc>
          <w:tcPr>
            <w:tcW w:w="2151" w:type="dxa"/>
          </w:tcPr>
          <w:p w14:paraId="40AE6123" w14:textId="77777777" w:rsidR="003323F8" w:rsidRDefault="00000000">
            <w:pPr>
              <w:pStyle w:val="cTableBody"/>
              <w:spacing w:before="0" w:after="0"/>
            </w:pPr>
            <w:r>
              <w:t>5. Aircraft and vessel integration</w:t>
            </w:r>
          </w:p>
        </w:tc>
        <w:tc>
          <w:tcPr>
            <w:tcW w:w="5991" w:type="dxa"/>
          </w:tcPr>
          <w:p w14:paraId="7CD1418B" w14:textId="77777777" w:rsidR="003323F8" w:rsidRDefault="00000000">
            <w:pPr>
              <w:pStyle w:val="cTableBody"/>
              <w:spacing w:before="0" w:after="0"/>
            </w:pPr>
            <w:r>
              <w:t>Research aircraft, ship, drones, data links, certification and mission systems</w:t>
            </w:r>
          </w:p>
        </w:tc>
        <w:tc>
          <w:tcPr>
            <w:tcW w:w="1722" w:type="dxa"/>
          </w:tcPr>
          <w:p w14:paraId="02CC7CCB" w14:textId="77777777" w:rsidR="003323F8" w:rsidRDefault="00000000">
            <w:pPr>
              <w:pStyle w:val="cTableBody"/>
              <w:spacing w:before="0" w:after="0"/>
            </w:pPr>
            <w:r>
              <w:t>$3.0M–$6.0M</w:t>
            </w:r>
          </w:p>
        </w:tc>
      </w:tr>
      <w:tr w:rsidR="003323F8" w14:paraId="61419790" w14:textId="77777777" w:rsidTr="00DE7AE4">
        <w:tc>
          <w:tcPr>
            <w:tcW w:w="2151" w:type="dxa"/>
          </w:tcPr>
          <w:p w14:paraId="0C90111D" w14:textId="77777777" w:rsidR="003323F8" w:rsidRDefault="00000000">
            <w:pPr>
              <w:pStyle w:val="cTableBody"/>
              <w:spacing w:before="0" w:after="0"/>
            </w:pPr>
            <w:r>
              <w:t>6. Baseline characterization</w:t>
            </w:r>
          </w:p>
        </w:tc>
        <w:tc>
          <w:tcPr>
            <w:tcW w:w="5991" w:type="dxa"/>
          </w:tcPr>
          <w:p w14:paraId="0DED2B14" w14:textId="77777777" w:rsidR="003323F8" w:rsidRDefault="00000000">
            <w:pPr>
              <w:pStyle w:val="cTableBody"/>
              <w:spacing w:before="0" w:after="0"/>
            </w:pPr>
            <w:r>
              <w:t>Several days of untreated cloud, aerosol, radiation and meteorology observations</w:t>
            </w:r>
          </w:p>
        </w:tc>
        <w:tc>
          <w:tcPr>
            <w:tcW w:w="1722" w:type="dxa"/>
          </w:tcPr>
          <w:p w14:paraId="5E9A51D1" w14:textId="77777777" w:rsidR="003323F8" w:rsidRDefault="00000000">
            <w:pPr>
              <w:pStyle w:val="cTableBody"/>
              <w:spacing w:before="0" w:after="0"/>
            </w:pPr>
            <w:r>
              <w:t>$2.0M–$4.0M</w:t>
            </w:r>
          </w:p>
        </w:tc>
      </w:tr>
      <w:tr w:rsidR="003323F8" w14:paraId="5BCB6CCF" w14:textId="77777777" w:rsidTr="00DE7AE4">
        <w:tc>
          <w:tcPr>
            <w:tcW w:w="2151" w:type="dxa"/>
          </w:tcPr>
          <w:p w14:paraId="2C606AF2" w14:textId="77777777" w:rsidR="003323F8" w:rsidRDefault="00000000">
            <w:pPr>
              <w:pStyle w:val="cTableBody"/>
              <w:spacing w:before="0" w:after="0"/>
            </w:pPr>
            <w:r>
              <w:t>7. Release-day operations</w:t>
            </w:r>
          </w:p>
        </w:tc>
        <w:tc>
          <w:tcPr>
            <w:tcW w:w="5991" w:type="dxa"/>
          </w:tcPr>
          <w:p w14:paraId="09F39484" w14:textId="77777777" w:rsidR="003323F8" w:rsidRDefault="00000000">
            <w:pPr>
              <w:pStyle w:val="cTableBody"/>
              <w:spacing w:before="0" w:after="0"/>
            </w:pPr>
            <w:r>
              <w:t>Ship release, chase aircraft, drones, radar/lidar and mission center</w:t>
            </w:r>
          </w:p>
        </w:tc>
        <w:tc>
          <w:tcPr>
            <w:tcW w:w="1722" w:type="dxa"/>
          </w:tcPr>
          <w:p w14:paraId="6095542F" w14:textId="77777777" w:rsidR="003323F8" w:rsidRDefault="00000000">
            <w:pPr>
              <w:pStyle w:val="cTableBody"/>
              <w:spacing w:before="0" w:after="0"/>
            </w:pPr>
            <w:r>
              <w:t>$3.0M–$6.0M</w:t>
            </w:r>
          </w:p>
        </w:tc>
      </w:tr>
      <w:tr w:rsidR="003323F8" w14:paraId="4386DAED" w14:textId="77777777" w:rsidTr="00DE7AE4">
        <w:tc>
          <w:tcPr>
            <w:tcW w:w="2151" w:type="dxa"/>
          </w:tcPr>
          <w:p w14:paraId="261A23F5" w14:textId="77777777" w:rsidR="003323F8" w:rsidRDefault="00000000">
            <w:pPr>
              <w:pStyle w:val="cTableBody"/>
              <w:spacing w:before="0" w:after="0"/>
            </w:pPr>
            <w:r>
              <w:t>8. Repeated cloud sampling</w:t>
            </w:r>
          </w:p>
        </w:tc>
        <w:tc>
          <w:tcPr>
            <w:tcW w:w="5991" w:type="dxa"/>
          </w:tcPr>
          <w:p w14:paraId="53E230EA" w14:textId="77777777" w:rsidR="003323F8" w:rsidRDefault="00000000">
            <w:pPr>
              <w:pStyle w:val="cTableBody"/>
              <w:spacing w:before="0" w:after="0"/>
            </w:pPr>
            <w:r>
              <w:t>Multiple release/control days and control-region observations</w:t>
            </w:r>
          </w:p>
        </w:tc>
        <w:tc>
          <w:tcPr>
            <w:tcW w:w="1722" w:type="dxa"/>
          </w:tcPr>
          <w:p w14:paraId="277B62B7" w14:textId="77777777" w:rsidR="003323F8" w:rsidRDefault="00000000">
            <w:pPr>
              <w:pStyle w:val="cTableBody"/>
              <w:spacing w:before="0" w:after="0"/>
            </w:pPr>
            <w:r>
              <w:t>$8.0M–$15.0M</w:t>
            </w:r>
          </w:p>
        </w:tc>
      </w:tr>
      <w:tr w:rsidR="003323F8" w14:paraId="0BB5DD14" w14:textId="77777777" w:rsidTr="00DE7AE4">
        <w:tc>
          <w:tcPr>
            <w:tcW w:w="2151" w:type="dxa"/>
          </w:tcPr>
          <w:p w14:paraId="278984C6" w14:textId="77777777" w:rsidR="003323F8" w:rsidRDefault="00000000">
            <w:pPr>
              <w:pStyle w:val="cTableBody"/>
              <w:spacing w:before="0" w:after="0"/>
            </w:pPr>
            <w:r>
              <w:t>9. Radiative and dynamical closure</w:t>
            </w:r>
          </w:p>
        </w:tc>
        <w:tc>
          <w:tcPr>
            <w:tcW w:w="5991" w:type="dxa"/>
          </w:tcPr>
          <w:p w14:paraId="61B76F21" w14:textId="77777777" w:rsidR="003323F8" w:rsidRDefault="00000000">
            <w:pPr>
              <w:pStyle w:val="cTableBody"/>
              <w:spacing w:before="0" w:after="0"/>
            </w:pPr>
            <w:r>
              <w:t>Cloud microphysics, liquid-water path, drizzle, cloud fraction and radiation analysis</w:t>
            </w:r>
          </w:p>
        </w:tc>
        <w:tc>
          <w:tcPr>
            <w:tcW w:w="1722" w:type="dxa"/>
          </w:tcPr>
          <w:p w14:paraId="552F1E9A" w14:textId="77777777" w:rsidR="003323F8" w:rsidRDefault="00000000">
            <w:pPr>
              <w:pStyle w:val="cTableBody"/>
              <w:spacing w:before="0" w:after="0"/>
            </w:pPr>
            <w:r>
              <w:t>$4.0M–$8.0M</w:t>
            </w:r>
          </w:p>
        </w:tc>
      </w:tr>
      <w:tr w:rsidR="003323F8" w14:paraId="4384668D" w14:textId="77777777" w:rsidTr="00DE7AE4">
        <w:tc>
          <w:tcPr>
            <w:tcW w:w="2151" w:type="dxa"/>
          </w:tcPr>
          <w:p w14:paraId="5AEF07A7" w14:textId="77777777" w:rsidR="003323F8" w:rsidRDefault="00000000">
            <w:pPr>
              <w:pStyle w:val="cTableBody"/>
              <w:spacing w:before="0" w:after="0"/>
            </w:pPr>
            <w:r>
              <w:t>10. Regional modeling and attribution</w:t>
            </w:r>
          </w:p>
        </w:tc>
        <w:tc>
          <w:tcPr>
            <w:tcW w:w="5991" w:type="dxa"/>
          </w:tcPr>
          <w:p w14:paraId="1F058523" w14:textId="77777777" w:rsidR="003323F8" w:rsidRDefault="00000000">
            <w:pPr>
              <w:pStyle w:val="cTableBody"/>
              <w:spacing w:before="0" w:after="0"/>
            </w:pPr>
            <w:r>
              <w:t>Large-eddy simulations, data assimilation and causal/statistical analysis</w:t>
            </w:r>
          </w:p>
        </w:tc>
        <w:tc>
          <w:tcPr>
            <w:tcW w:w="1722" w:type="dxa"/>
          </w:tcPr>
          <w:p w14:paraId="31D13FAC" w14:textId="77777777" w:rsidR="003323F8" w:rsidRDefault="00000000">
            <w:pPr>
              <w:pStyle w:val="cTableBody"/>
              <w:spacing w:before="0" w:after="0"/>
            </w:pPr>
            <w:r>
              <w:t>$3.0M–$6.0M</w:t>
            </w:r>
          </w:p>
        </w:tc>
      </w:tr>
      <w:tr w:rsidR="003323F8" w14:paraId="7AF6DCC3" w14:textId="77777777" w:rsidTr="00DE7AE4">
        <w:tc>
          <w:tcPr>
            <w:tcW w:w="2151" w:type="dxa"/>
          </w:tcPr>
          <w:p w14:paraId="495F0A7C" w14:textId="77777777" w:rsidR="003323F8" w:rsidRDefault="00000000">
            <w:pPr>
              <w:pStyle w:val="cTableBody"/>
              <w:spacing w:before="0" w:after="0"/>
            </w:pPr>
            <w:r>
              <w:t>11. Independent evaluation</w:t>
            </w:r>
          </w:p>
        </w:tc>
        <w:tc>
          <w:tcPr>
            <w:tcW w:w="5991" w:type="dxa"/>
          </w:tcPr>
          <w:p w14:paraId="5E221A07" w14:textId="77777777" w:rsidR="003323F8" w:rsidRDefault="00000000">
            <w:pPr>
              <w:pStyle w:val="cTableBody"/>
              <w:spacing w:before="0" w:after="0"/>
            </w:pPr>
            <w:r>
              <w:t>External audit, withheld-data challenge, public archive and workshop</w:t>
            </w:r>
          </w:p>
        </w:tc>
        <w:tc>
          <w:tcPr>
            <w:tcW w:w="1722" w:type="dxa"/>
          </w:tcPr>
          <w:p w14:paraId="5D4D565C" w14:textId="77777777" w:rsidR="003323F8" w:rsidRDefault="00000000">
            <w:pPr>
              <w:pStyle w:val="cTableBody"/>
              <w:spacing w:before="0" w:after="0"/>
            </w:pPr>
            <w:r>
              <w:t>$0.8M–$1.8M</w:t>
            </w:r>
          </w:p>
        </w:tc>
      </w:tr>
      <w:tr w:rsidR="003323F8" w14:paraId="394164E9" w14:textId="77777777" w:rsidTr="00DE7AE4">
        <w:tc>
          <w:tcPr>
            <w:tcW w:w="2151" w:type="dxa"/>
          </w:tcPr>
          <w:p w14:paraId="6B8020C5" w14:textId="77777777" w:rsidR="00603BBF" w:rsidRDefault="00000000">
            <w:pPr>
              <w:pStyle w:val="cTableBody"/>
            </w:pPr>
            <w:r>
              <w:t>12. Prepriced campaign recovery options</w:t>
            </w:r>
          </w:p>
        </w:tc>
        <w:tc>
          <w:tcPr>
            <w:tcW w:w="5991" w:type="dxa"/>
          </w:tcPr>
          <w:p w14:paraId="2D761031" w14:textId="77777777" w:rsidR="003323F8" w:rsidRDefault="00000000">
            <w:pPr>
              <w:pStyle w:val="cTableBody"/>
              <w:spacing w:before="0" w:after="0"/>
            </w:pPr>
            <w:r>
              <w:t>Weather, unsuitable clouds, aircraft/ship downtime and replacement sorties</w:t>
            </w:r>
          </w:p>
        </w:tc>
        <w:tc>
          <w:tcPr>
            <w:tcW w:w="1722" w:type="dxa"/>
          </w:tcPr>
          <w:p w14:paraId="2557ED90" w14:textId="77777777" w:rsidR="003323F8" w:rsidRDefault="00000000">
            <w:pPr>
              <w:pStyle w:val="cTableBody"/>
              <w:spacing w:before="0" w:after="0"/>
            </w:pPr>
            <w:r>
              <w:t>$5.0M–$10.0M</w:t>
            </w:r>
          </w:p>
        </w:tc>
      </w:tr>
    </w:tbl>
    <w:p w14:paraId="1CC90FF2" w14:textId="77777777" w:rsidR="003323F8" w:rsidRDefault="00000000">
      <w:pPr>
        <w:spacing w:before="280" w:after="80"/>
      </w:pPr>
      <w:r>
        <w:t>Repeat campaign after common capability exists: approximately $40M–$55M. First-of-a-kind campaign: approximately $55M–$75M.</w:t>
      </w:r>
    </w:p>
    <w:p w14:paraId="68756D76" w14:textId="77777777" w:rsidR="003323F8" w:rsidRDefault="00000000">
      <w:pPr>
        <w:pStyle w:val="Heading2"/>
        <w:spacing w:before="280"/>
      </w:pPr>
      <w:r>
        <w:t>3. Shared capability that should not be rebuilt for every experiment</w:t>
      </w:r>
    </w:p>
    <w:tbl>
      <w:tblPr>
        <w:tblStyle w:val="gswTableStyle"/>
        <w:tblW w:w="9504" w:type="dxa"/>
        <w:tblLayout w:type="fixed"/>
        <w:tblLook w:val="04A0" w:firstRow="1" w:lastRow="0" w:firstColumn="1" w:lastColumn="0" w:noHBand="0" w:noVBand="1"/>
      </w:tblPr>
      <w:tblGrid>
        <w:gridCol w:w="6913"/>
        <w:gridCol w:w="2591"/>
      </w:tblGrid>
      <w:tr w:rsidR="003323F8" w14:paraId="033B4805" w14:textId="77777777" w:rsidTr="00DE7AE4">
        <w:trPr>
          <w:cnfStyle w:val="100000000000" w:firstRow="1" w:lastRow="0" w:firstColumn="0" w:lastColumn="0" w:oddVBand="0" w:evenVBand="0" w:oddHBand="0" w:evenHBand="0" w:firstRowFirstColumn="0" w:firstRowLastColumn="0" w:lastRowFirstColumn="0" w:lastRowLastColumn="0"/>
          <w:tblHeader/>
        </w:trPr>
        <w:tc>
          <w:tcPr>
            <w:tcW w:w="6913" w:type="dxa"/>
          </w:tcPr>
          <w:p w14:paraId="7BF52AB2" w14:textId="77777777" w:rsidR="003323F8" w:rsidRDefault="00000000">
            <w:pPr>
              <w:pStyle w:val="cTableHeader"/>
            </w:pPr>
            <w:r>
              <w:t>Shared program capability</w:t>
            </w:r>
          </w:p>
        </w:tc>
        <w:tc>
          <w:tcPr>
            <w:tcW w:w="2591" w:type="dxa"/>
          </w:tcPr>
          <w:p w14:paraId="0773DEE9" w14:textId="77777777" w:rsidR="003323F8" w:rsidRDefault="00000000">
            <w:pPr>
              <w:pStyle w:val="cTableHeader"/>
            </w:pPr>
            <w:r>
              <w:t>Five-year initial investment</w:t>
            </w:r>
          </w:p>
        </w:tc>
      </w:tr>
      <w:tr w:rsidR="003323F8" w14:paraId="789B29C0" w14:textId="77777777" w:rsidTr="00DE7AE4">
        <w:tc>
          <w:tcPr>
            <w:tcW w:w="6913" w:type="dxa"/>
          </w:tcPr>
          <w:p w14:paraId="1446A436" w14:textId="77777777" w:rsidR="003323F8" w:rsidRDefault="00000000">
            <w:pPr>
              <w:pStyle w:val="cTableBody"/>
              <w:spacing w:before="0" w:after="0"/>
            </w:pPr>
            <w:r>
              <w:t>Common sea-salt generator test and calibration facility</w:t>
            </w:r>
          </w:p>
        </w:tc>
        <w:tc>
          <w:tcPr>
            <w:tcW w:w="2591" w:type="dxa"/>
          </w:tcPr>
          <w:p w14:paraId="75166E87" w14:textId="77777777" w:rsidR="003323F8" w:rsidRDefault="00000000">
            <w:pPr>
              <w:pStyle w:val="cTableBody"/>
              <w:spacing w:before="0" w:after="0"/>
            </w:pPr>
            <w:r>
              <w:t>$20M–$35M</w:t>
            </w:r>
          </w:p>
        </w:tc>
      </w:tr>
      <w:tr w:rsidR="003323F8" w14:paraId="1F155F64" w14:textId="77777777" w:rsidTr="00DE7AE4">
        <w:tc>
          <w:tcPr>
            <w:tcW w:w="6913" w:type="dxa"/>
          </w:tcPr>
          <w:p w14:paraId="739D9C90" w14:textId="77777777" w:rsidR="003323F8" w:rsidRDefault="00000000">
            <w:pPr>
              <w:pStyle w:val="cTableBody"/>
              <w:spacing w:before="0" w:after="0"/>
            </w:pPr>
            <w:r>
              <w:t>Modular shipboard generator and certified integration package</w:t>
            </w:r>
          </w:p>
        </w:tc>
        <w:tc>
          <w:tcPr>
            <w:tcW w:w="2591" w:type="dxa"/>
          </w:tcPr>
          <w:p w14:paraId="008C3D39" w14:textId="77777777" w:rsidR="003323F8" w:rsidRDefault="00000000">
            <w:pPr>
              <w:pStyle w:val="cTableBody"/>
              <w:spacing w:before="0" w:after="0"/>
            </w:pPr>
            <w:r>
              <w:t>$20M–$40M</w:t>
            </w:r>
          </w:p>
        </w:tc>
      </w:tr>
      <w:tr w:rsidR="003323F8" w14:paraId="14AA9E95" w14:textId="77777777" w:rsidTr="00DE7AE4">
        <w:tc>
          <w:tcPr>
            <w:tcW w:w="6913" w:type="dxa"/>
          </w:tcPr>
          <w:p w14:paraId="11F95533" w14:textId="77777777" w:rsidR="003323F8" w:rsidRDefault="00000000">
            <w:pPr>
              <w:pStyle w:val="cTableBody"/>
              <w:spacing w:before="0" w:after="0"/>
            </w:pPr>
            <w:r>
              <w:t>Aircraft aerosol and cloud microphysics payload</w:t>
            </w:r>
          </w:p>
        </w:tc>
        <w:tc>
          <w:tcPr>
            <w:tcW w:w="2591" w:type="dxa"/>
          </w:tcPr>
          <w:p w14:paraId="25464AA7" w14:textId="77777777" w:rsidR="003323F8" w:rsidRDefault="00000000">
            <w:pPr>
              <w:pStyle w:val="cTableBody"/>
              <w:spacing w:before="0" w:after="0"/>
            </w:pPr>
            <w:r>
              <w:t>$30M–$50M</w:t>
            </w:r>
          </w:p>
        </w:tc>
      </w:tr>
      <w:tr w:rsidR="003323F8" w14:paraId="212E5EF4" w14:textId="77777777" w:rsidTr="00DE7AE4">
        <w:tc>
          <w:tcPr>
            <w:tcW w:w="6913" w:type="dxa"/>
          </w:tcPr>
          <w:p w14:paraId="709274E8" w14:textId="77777777" w:rsidR="003323F8" w:rsidRDefault="00000000">
            <w:pPr>
              <w:pStyle w:val="cTableBody"/>
              <w:spacing w:before="0" w:after="0"/>
            </w:pPr>
            <w:r>
              <w:t>Drone, balloon and autonomous-vessel observing systems</w:t>
            </w:r>
          </w:p>
        </w:tc>
        <w:tc>
          <w:tcPr>
            <w:tcW w:w="2591" w:type="dxa"/>
          </w:tcPr>
          <w:p w14:paraId="3D9BE85F" w14:textId="77777777" w:rsidR="003323F8" w:rsidRDefault="00000000">
            <w:pPr>
              <w:pStyle w:val="cTableBody"/>
              <w:spacing w:before="0" w:after="0"/>
            </w:pPr>
            <w:r>
              <w:t>$15M–$30M</w:t>
            </w:r>
          </w:p>
        </w:tc>
      </w:tr>
      <w:tr w:rsidR="003323F8" w14:paraId="4C5BE4FB" w14:textId="77777777" w:rsidTr="00DE7AE4">
        <w:tc>
          <w:tcPr>
            <w:tcW w:w="6913" w:type="dxa"/>
          </w:tcPr>
          <w:p w14:paraId="0AFD7356" w14:textId="77777777" w:rsidR="003323F8" w:rsidRDefault="00000000">
            <w:pPr>
              <w:pStyle w:val="cTableBody"/>
              <w:spacing w:before="0" w:after="0"/>
            </w:pPr>
            <w:r>
              <w:t>Cloud radar, lidar and radiometer network</w:t>
            </w:r>
          </w:p>
        </w:tc>
        <w:tc>
          <w:tcPr>
            <w:tcW w:w="2591" w:type="dxa"/>
          </w:tcPr>
          <w:p w14:paraId="383E62AA" w14:textId="77777777" w:rsidR="003323F8" w:rsidRDefault="00000000">
            <w:pPr>
              <w:pStyle w:val="cTableBody"/>
              <w:spacing w:before="0" w:after="0"/>
            </w:pPr>
            <w:r>
              <w:t>$20M–$40M</w:t>
            </w:r>
          </w:p>
        </w:tc>
      </w:tr>
      <w:tr w:rsidR="003323F8" w14:paraId="2B6B606C" w14:textId="77777777" w:rsidTr="00DE7AE4">
        <w:tc>
          <w:tcPr>
            <w:tcW w:w="6913" w:type="dxa"/>
          </w:tcPr>
          <w:p w14:paraId="7C6C471F" w14:textId="77777777" w:rsidR="003323F8" w:rsidRDefault="00000000">
            <w:pPr>
              <w:pStyle w:val="cTableBody"/>
              <w:spacing w:before="0" w:after="0"/>
            </w:pPr>
            <w:r>
              <w:t>Forecasting, mission control and real-time data assimilation</w:t>
            </w:r>
          </w:p>
        </w:tc>
        <w:tc>
          <w:tcPr>
            <w:tcW w:w="2591" w:type="dxa"/>
          </w:tcPr>
          <w:p w14:paraId="60F17D93" w14:textId="77777777" w:rsidR="003323F8" w:rsidRDefault="00000000">
            <w:pPr>
              <w:pStyle w:val="cTableBody"/>
              <w:spacing w:before="0" w:after="0"/>
            </w:pPr>
            <w:r>
              <w:t>$10M–$20M</w:t>
            </w:r>
          </w:p>
        </w:tc>
      </w:tr>
      <w:tr w:rsidR="003323F8" w14:paraId="6A9CDAD4" w14:textId="77777777" w:rsidTr="00DE7AE4">
        <w:tc>
          <w:tcPr>
            <w:tcW w:w="6913" w:type="dxa"/>
          </w:tcPr>
          <w:p w14:paraId="515ED7EA" w14:textId="77777777" w:rsidR="003323F8" w:rsidRDefault="00000000">
            <w:pPr>
              <w:pStyle w:val="cTableBody"/>
              <w:spacing w:before="0" w:after="0"/>
            </w:pPr>
            <w:r>
              <w:t>Open data, governance and environmental-review infrastructure</w:t>
            </w:r>
          </w:p>
        </w:tc>
        <w:tc>
          <w:tcPr>
            <w:tcW w:w="2591" w:type="dxa"/>
          </w:tcPr>
          <w:p w14:paraId="3E8E0D31" w14:textId="77777777" w:rsidR="003323F8" w:rsidRDefault="00000000">
            <w:pPr>
              <w:pStyle w:val="cTableBody"/>
              <w:spacing w:before="0" w:after="0"/>
            </w:pPr>
            <w:r>
              <w:t>$10M–$20M</w:t>
            </w:r>
          </w:p>
        </w:tc>
      </w:tr>
    </w:tbl>
    <w:p w14:paraId="1E83E28A" w14:textId="77777777" w:rsidR="003323F8" w:rsidRDefault="00000000">
      <w:pPr>
        <w:pStyle w:val="Heading2"/>
        <w:spacing w:before="280"/>
      </w:pPr>
      <w:r>
        <w:t>Practical budgeting conclusion</w:t>
      </w:r>
    </w:p>
    <w:p w14:paraId="449694B6" w14:textId="77777777" w:rsidR="003323F8" w:rsidRPr="006D7895" w:rsidRDefault="00000000" w:rsidP="006D7895">
      <w:pPr>
        <w:pStyle w:val="blist-bullets"/>
      </w:pPr>
      <w:r w:rsidRPr="006D7895">
        <w:t>Source-and-plume repeat campaign: use approximately $22M as a central planning value.</w:t>
      </w:r>
    </w:p>
    <w:p w14:paraId="5FD3D605" w14:textId="77777777" w:rsidR="003323F8" w:rsidRPr="006D7895" w:rsidRDefault="00000000" w:rsidP="006D7895">
      <w:pPr>
        <w:pStyle w:val="blist-bullets"/>
      </w:pPr>
      <w:r w:rsidRPr="006D7895">
        <w:t>Cloud-response repeat campaign: use approximately $48M as a central planning value.</w:t>
      </w:r>
    </w:p>
    <w:p w14:paraId="5CC657BB" w14:textId="77777777" w:rsidR="003323F8" w:rsidRPr="006D7895" w:rsidRDefault="00000000" w:rsidP="006D7895">
      <w:pPr>
        <w:pStyle w:val="blist-bullets"/>
      </w:pPr>
      <w:r w:rsidRPr="006D7895">
        <w:t>Paired source/cloud campaign at one site: approximately $55M–$70M because ships, instruments, governance and forecasts can be shared.</w:t>
      </w:r>
    </w:p>
    <w:p w14:paraId="40207993" w14:textId="77777777" w:rsidR="003323F8" w:rsidRPr="006D7895" w:rsidRDefault="00000000" w:rsidP="006D7895">
      <w:pPr>
        <w:pStyle w:val="blist-bullets"/>
      </w:pPr>
      <w:r w:rsidRPr="006D7895">
        <w:t>Incremental release during an active source campaign: approximately $300,000–$1M, but only if the scientific design benefits from replication.</w:t>
      </w:r>
    </w:p>
    <w:p w14:paraId="38E4D1AC" w14:textId="77777777" w:rsidR="003323F8" w:rsidRPr="006D7895" w:rsidRDefault="00000000" w:rsidP="006D7895">
      <w:pPr>
        <w:pStyle w:val="blist-bullets"/>
      </w:pPr>
      <w:r w:rsidRPr="006D7895">
        <w:t>Incremental cloud-response day: approximately $1M–$3M because aircraft, ship, forecast and instrument teams must all remain deployed.</w:t>
      </w:r>
    </w:p>
    <w:p w14:paraId="3D4C8216" w14:textId="77777777" w:rsidR="003323F8" w:rsidRDefault="00000000">
      <w:pPr>
        <w:pStyle w:val="Heading1"/>
        <w:spacing w:before="280" w:after="280"/>
      </w:pPr>
      <w:bookmarkStart w:id="26" w:name="_Toc237984391"/>
      <w:bookmarkStart w:id="27" w:name="ClimateTOC_005"/>
      <w:bookmarkStart w:id="28" w:name="_Toc236310503"/>
      <w:bookmarkStart w:id="29" w:name="_Toc238204659"/>
      <w:r>
        <w:t>Purchase Orders</w:t>
      </w:r>
      <w:bookmarkEnd w:id="26"/>
      <w:bookmarkEnd w:id="27"/>
      <w:bookmarkEnd w:id="28"/>
      <w:bookmarkEnd w:id="29"/>
    </w:p>
    <w:p w14:paraId="3B274E39" w14:textId="77777777" w:rsidR="003323F8" w:rsidRDefault="00000000">
      <w:pPr>
        <w:pStyle w:val="cUserPromptText"/>
        <w:spacing w:before="280" w:after="280"/>
      </w:pPr>
      <w:r w:rsidRPr="00260095">
        <w:rPr>
          <w:rStyle w:val="UserPromptHeadingChar"/>
        </w:rPr>
        <w:t xml:space="preserve">Prompt to AI: </w:t>
      </w:r>
      <w:r>
        <w:t>With each phase of each experiment, what are the different Purchase Orders (POs), grants, task orders, or subawards that might be issued?</w:t>
      </w:r>
    </w:p>
    <w:p w14:paraId="6DF0BE71" w14:textId="77777777" w:rsidR="003323F8" w:rsidRDefault="00000000">
      <w:pPr>
        <w:pStyle w:val="cSubject"/>
        <w:spacing w:before="280" w:after="280"/>
      </w:pPr>
      <w:r>
        <w:t>Response From AI:</w:t>
      </w:r>
    </w:p>
    <w:p w14:paraId="47C6D7CE" w14:textId="77777777" w:rsidR="003323F8" w:rsidRDefault="00000000">
      <w:pPr>
        <w:spacing w:before="280" w:after="80"/>
      </w:pPr>
      <w:r>
        <w:t>Below is an illustrative procurement structure for one repeat source-and-plume campaign costing approximately $22 million and one cloud-response campaign costing approximately $48 million. These are representative campaign cost models and procurement packages that draw from the Area budgets; they are not additional to the $1 billion portfolio. “PO” is used broadly; government aircraft, university research and international partners may require reimbursable agreements, grants, cooperative agreements or subawards.</w:t>
      </w:r>
    </w:p>
    <w:p w14:paraId="3251E343" w14:textId="77777777" w:rsidR="003323F8" w:rsidRDefault="00000000">
      <w:pPr>
        <w:pStyle w:val="Heading2"/>
        <w:spacing w:before="280"/>
      </w:pPr>
      <w:r>
        <w:t>A. Source-and-plume campaign</w:t>
      </w:r>
    </w:p>
    <w:p w14:paraId="0A884AA0" w14:textId="77777777" w:rsidR="003323F8" w:rsidRDefault="00000000">
      <w:pPr>
        <w:pStyle w:val="Heading3"/>
        <w:spacing w:before="280" w:after="280"/>
      </w:pPr>
      <w:r>
        <w:t>Phase 1: Scientific design — $1.20M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2A3C54B5"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29A381F7" w14:textId="77777777" w:rsidR="003323F8" w:rsidRDefault="00000000">
            <w:pPr>
              <w:pStyle w:val="cTableHeader"/>
            </w:pPr>
            <w:r>
              <w:t>Procurement package</w:t>
            </w:r>
          </w:p>
        </w:tc>
        <w:tc>
          <w:tcPr>
            <w:tcW w:w="5993" w:type="dxa"/>
          </w:tcPr>
          <w:p w14:paraId="00BDB029" w14:textId="77777777" w:rsidR="003323F8" w:rsidRDefault="00000000">
            <w:pPr>
              <w:pStyle w:val="cTableHeader"/>
            </w:pPr>
            <w:r>
              <w:t>Deliverable</w:t>
            </w:r>
          </w:p>
        </w:tc>
        <w:tc>
          <w:tcPr>
            <w:tcW w:w="1437" w:type="dxa"/>
          </w:tcPr>
          <w:p w14:paraId="081BB6B1" w14:textId="77777777" w:rsidR="003323F8" w:rsidRDefault="00000000">
            <w:pPr>
              <w:pStyle w:val="cTableHeader"/>
            </w:pPr>
            <w:r>
              <w:t>Estimate</w:t>
            </w:r>
          </w:p>
        </w:tc>
      </w:tr>
      <w:tr w:rsidR="003323F8" w14:paraId="11C7323A" w14:textId="77777777" w:rsidTr="00DA4BD8">
        <w:tc>
          <w:tcPr>
            <w:tcW w:w="2434" w:type="dxa"/>
          </w:tcPr>
          <w:p w14:paraId="678A6FC4" w14:textId="77777777" w:rsidR="003323F8" w:rsidRDefault="00000000">
            <w:pPr>
              <w:pStyle w:val="cTableBody"/>
              <w:spacing w:before="0" w:after="0"/>
            </w:pPr>
            <w:r>
              <w:t>SP1-01 Integrated science-design subaward</w:t>
            </w:r>
          </w:p>
        </w:tc>
        <w:tc>
          <w:tcPr>
            <w:tcW w:w="5993" w:type="dxa"/>
          </w:tcPr>
          <w:p w14:paraId="44EEA9C0" w14:textId="77777777" w:rsidR="003323F8" w:rsidRDefault="00000000">
            <w:pPr>
              <w:pStyle w:val="cTableBody"/>
              <w:spacing w:before="0" w:after="0"/>
            </w:pPr>
            <w:r>
              <w:t>Hypotheses, release matrix, science traceability matrix and success criteria</w:t>
            </w:r>
          </w:p>
        </w:tc>
        <w:tc>
          <w:tcPr>
            <w:tcW w:w="1437" w:type="dxa"/>
          </w:tcPr>
          <w:p w14:paraId="12F3105B" w14:textId="77777777" w:rsidR="003323F8" w:rsidRDefault="00000000">
            <w:pPr>
              <w:pStyle w:val="cTableBody"/>
              <w:spacing w:before="0" w:after="0"/>
            </w:pPr>
            <w:r>
              <w:t>$500,000</w:t>
            </w:r>
          </w:p>
        </w:tc>
      </w:tr>
      <w:tr w:rsidR="003323F8" w14:paraId="3C0F211C" w14:textId="77777777" w:rsidTr="00DA4BD8">
        <w:tc>
          <w:tcPr>
            <w:tcW w:w="2434" w:type="dxa"/>
          </w:tcPr>
          <w:p w14:paraId="21DE9345" w14:textId="77777777" w:rsidR="003323F8" w:rsidRDefault="00000000">
            <w:pPr>
              <w:pStyle w:val="cTableBody"/>
              <w:spacing w:before="0" w:after="0"/>
            </w:pPr>
            <w:r>
              <w:t>SP1-02 Near-field and boundary-layer modeling</w:t>
            </w:r>
          </w:p>
        </w:tc>
        <w:tc>
          <w:tcPr>
            <w:tcW w:w="5993" w:type="dxa"/>
          </w:tcPr>
          <w:p w14:paraId="72C47A62" w14:textId="77777777" w:rsidR="003323F8" w:rsidRDefault="00000000">
            <w:pPr>
              <w:pStyle w:val="cTableBody"/>
              <w:spacing w:before="0" w:after="0"/>
            </w:pPr>
            <w:r>
              <w:t>Predictions of evaporation, crystallization, coagulation, plume rise and dispersion</w:t>
            </w:r>
          </w:p>
        </w:tc>
        <w:tc>
          <w:tcPr>
            <w:tcW w:w="1437" w:type="dxa"/>
          </w:tcPr>
          <w:p w14:paraId="7697E3E8" w14:textId="77777777" w:rsidR="003323F8" w:rsidRDefault="00000000">
            <w:pPr>
              <w:pStyle w:val="cTableBody"/>
              <w:spacing w:before="0" w:after="0"/>
            </w:pPr>
            <w:r>
              <w:t>$400,000</w:t>
            </w:r>
          </w:p>
        </w:tc>
      </w:tr>
      <w:tr w:rsidR="003323F8" w14:paraId="7D56F13F" w14:textId="77777777" w:rsidTr="00DA4BD8">
        <w:tc>
          <w:tcPr>
            <w:tcW w:w="2434" w:type="dxa"/>
          </w:tcPr>
          <w:p w14:paraId="2B760351" w14:textId="77777777" w:rsidR="003323F8" w:rsidRDefault="00000000">
            <w:pPr>
              <w:pStyle w:val="cTableBody"/>
              <w:spacing w:before="0" w:after="0"/>
            </w:pPr>
            <w:r>
              <w:t>SP1-03 Independent design review</w:t>
            </w:r>
          </w:p>
        </w:tc>
        <w:tc>
          <w:tcPr>
            <w:tcW w:w="5993" w:type="dxa"/>
          </w:tcPr>
          <w:p w14:paraId="696A1397" w14:textId="77777777" w:rsidR="003323F8" w:rsidRDefault="00000000">
            <w:pPr>
              <w:pStyle w:val="cTableBody"/>
              <w:spacing w:before="0" w:after="0"/>
            </w:pPr>
            <w:r>
              <w:t>Published review and authorization, revision or refusal to proceed</w:t>
            </w:r>
          </w:p>
        </w:tc>
        <w:tc>
          <w:tcPr>
            <w:tcW w:w="1437" w:type="dxa"/>
          </w:tcPr>
          <w:p w14:paraId="257E678A" w14:textId="77777777" w:rsidR="003323F8" w:rsidRDefault="00000000">
            <w:pPr>
              <w:pStyle w:val="cTableBody"/>
              <w:spacing w:before="0" w:after="0"/>
            </w:pPr>
            <w:r>
              <w:t>$300,000</w:t>
            </w:r>
          </w:p>
        </w:tc>
      </w:tr>
    </w:tbl>
    <w:p w14:paraId="0B71EF1B" w14:textId="77777777" w:rsidR="003323F8" w:rsidRDefault="00000000">
      <w:pPr>
        <w:pStyle w:val="Heading3"/>
        <w:spacing w:before="280" w:after="280"/>
      </w:pPr>
      <w:r>
        <w:t>Phase 2: Governance and environmental review — $1.10M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21A40EE2"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2CEEA3F8" w14:textId="77777777" w:rsidR="003323F8" w:rsidRDefault="00000000">
            <w:pPr>
              <w:pStyle w:val="cTableHeader"/>
            </w:pPr>
            <w:r>
              <w:t>Procurement package</w:t>
            </w:r>
          </w:p>
        </w:tc>
        <w:tc>
          <w:tcPr>
            <w:tcW w:w="5993" w:type="dxa"/>
          </w:tcPr>
          <w:p w14:paraId="5A152DAB" w14:textId="77777777" w:rsidR="003323F8" w:rsidRDefault="00000000">
            <w:pPr>
              <w:pStyle w:val="cTableHeader"/>
            </w:pPr>
            <w:r>
              <w:t>Deliverable</w:t>
            </w:r>
          </w:p>
        </w:tc>
        <w:tc>
          <w:tcPr>
            <w:tcW w:w="1437" w:type="dxa"/>
          </w:tcPr>
          <w:p w14:paraId="7985EB62" w14:textId="77777777" w:rsidR="003323F8" w:rsidRDefault="00000000">
            <w:pPr>
              <w:pStyle w:val="cTableHeader"/>
            </w:pPr>
            <w:r>
              <w:t>Estimate</w:t>
            </w:r>
          </w:p>
        </w:tc>
      </w:tr>
      <w:tr w:rsidR="003323F8" w14:paraId="309A1E3F" w14:textId="77777777" w:rsidTr="00DA4BD8">
        <w:tc>
          <w:tcPr>
            <w:tcW w:w="2434" w:type="dxa"/>
          </w:tcPr>
          <w:p w14:paraId="2DDBA661" w14:textId="77777777" w:rsidR="003323F8" w:rsidRDefault="00000000">
            <w:pPr>
              <w:pStyle w:val="cTableBody"/>
              <w:spacing w:before="0" w:after="0"/>
            </w:pPr>
            <w:r>
              <w:t>SP2-01 Regulatory and maritime legal services</w:t>
            </w:r>
          </w:p>
        </w:tc>
        <w:tc>
          <w:tcPr>
            <w:tcW w:w="5993" w:type="dxa"/>
          </w:tcPr>
          <w:p w14:paraId="5E8AAC81" w14:textId="77777777" w:rsidR="003323F8" w:rsidRDefault="00000000">
            <w:pPr>
              <w:pStyle w:val="cTableBody"/>
              <w:spacing w:before="0" w:after="0"/>
            </w:pPr>
            <w:r>
              <w:t>Permit map, maritime jurisdiction, airspace and liability analysis</w:t>
            </w:r>
          </w:p>
        </w:tc>
        <w:tc>
          <w:tcPr>
            <w:tcW w:w="1437" w:type="dxa"/>
          </w:tcPr>
          <w:p w14:paraId="0908C5D4" w14:textId="77777777" w:rsidR="003323F8" w:rsidRDefault="00000000">
            <w:pPr>
              <w:pStyle w:val="cTableBody"/>
              <w:spacing w:before="0" w:after="0"/>
            </w:pPr>
            <w:r>
              <w:t>$250,000</w:t>
            </w:r>
          </w:p>
        </w:tc>
      </w:tr>
      <w:tr w:rsidR="003323F8" w14:paraId="32B0C9C7" w14:textId="77777777" w:rsidTr="00DA4BD8">
        <w:tc>
          <w:tcPr>
            <w:tcW w:w="2434" w:type="dxa"/>
          </w:tcPr>
          <w:p w14:paraId="238734A0" w14:textId="77777777" w:rsidR="003323F8" w:rsidRDefault="00000000">
            <w:pPr>
              <w:pStyle w:val="cTableBody"/>
              <w:spacing w:before="0" w:after="0"/>
            </w:pPr>
            <w:r>
              <w:t>SP2-02 Environmental assessment</w:t>
            </w:r>
          </w:p>
        </w:tc>
        <w:tc>
          <w:tcPr>
            <w:tcW w:w="5993" w:type="dxa"/>
          </w:tcPr>
          <w:p w14:paraId="14FA9A85" w14:textId="77777777" w:rsidR="003323F8" w:rsidRDefault="00000000">
            <w:pPr>
              <w:pStyle w:val="cTableBody"/>
              <w:spacing w:before="0" w:after="0"/>
            </w:pPr>
            <w:r>
              <w:t>Salt deposition, exposure, alternatives and monitoring plan</w:t>
            </w:r>
          </w:p>
        </w:tc>
        <w:tc>
          <w:tcPr>
            <w:tcW w:w="1437" w:type="dxa"/>
          </w:tcPr>
          <w:p w14:paraId="6D06A33A" w14:textId="77777777" w:rsidR="003323F8" w:rsidRDefault="00000000">
            <w:pPr>
              <w:pStyle w:val="cTableBody"/>
              <w:spacing w:before="0" w:after="0"/>
            </w:pPr>
            <w:r>
              <w:t>$350,000</w:t>
            </w:r>
          </w:p>
        </w:tc>
      </w:tr>
      <w:tr w:rsidR="003323F8" w14:paraId="623FB2AA" w14:textId="77777777" w:rsidTr="00DA4BD8">
        <w:tc>
          <w:tcPr>
            <w:tcW w:w="2434" w:type="dxa"/>
          </w:tcPr>
          <w:p w14:paraId="4339ABBD" w14:textId="77777777" w:rsidR="003323F8" w:rsidRDefault="00000000">
            <w:pPr>
              <w:pStyle w:val="cTableBody"/>
              <w:spacing w:before="0" w:after="0"/>
            </w:pPr>
            <w:r>
              <w:t>SP2-03 Stakeholder and Indigenous engagement</w:t>
            </w:r>
          </w:p>
        </w:tc>
        <w:tc>
          <w:tcPr>
            <w:tcW w:w="5993" w:type="dxa"/>
          </w:tcPr>
          <w:p w14:paraId="167E4056" w14:textId="77777777" w:rsidR="003323F8" w:rsidRDefault="00000000">
            <w:pPr>
              <w:pStyle w:val="cTableBody"/>
              <w:spacing w:before="0" w:after="0"/>
            </w:pPr>
            <w:r>
              <w:t>Meetings, accessible materials, comment record and response document</w:t>
            </w:r>
          </w:p>
        </w:tc>
        <w:tc>
          <w:tcPr>
            <w:tcW w:w="1437" w:type="dxa"/>
          </w:tcPr>
          <w:p w14:paraId="0476F272" w14:textId="77777777" w:rsidR="003323F8" w:rsidRDefault="00000000">
            <w:pPr>
              <w:pStyle w:val="cTableBody"/>
              <w:spacing w:before="0" w:after="0"/>
            </w:pPr>
            <w:r>
              <w:t>$300,000</w:t>
            </w:r>
          </w:p>
        </w:tc>
      </w:tr>
      <w:tr w:rsidR="003323F8" w14:paraId="11EC90BC" w14:textId="77777777" w:rsidTr="00DA4BD8">
        <w:tc>
          <w:tcPr>
            <w:tcW w:w="2434" w:type="dxa"/>
          </w:tcPr>
          <w:p w14:paraId="40B606E3" w14:textId="77777777" w:rsidR="003323F8" w:rsidRDefault="00000000">
            <w:pPr>
              <w:pStyle w:val="cTableBody"/>
              <w:spacing w:before="0" w:after="0"/>
            </w:pPr>
            <w:r>
              <w:t>SP2-04 Independent governance panel</w:t>
            </w:r>
          </w:p>
        </w:tc>
        <w:tc>
          <w:tcPr>
            <w:tcW w:w="5993" w:type="dxa"/>
          </w:tcPr>
          <w:p w14:paraId="22331838" w14:textId="77777777" w:rsidR="003323F8" w:rsidRDefault="00000000">
            <w:pPr>
              <w:pStyle w:val="cTableBody"/>
              <w:spacing w:before="0" w:after="0"/>
            </w:pPr>
            <w:r>
              <w:t>Conflict disclosures, stop/go decision and conditions</w:t>
            </w:r>
          </w:p>
        </w:tc>
        <w:tc>
          <w:tcPr>
            <w:tcW w:w="1437" w:type="dxa"/>
          </w:tcPr>
          <w:p w14:paraId="1D34E973" w14:textId="77777777" w:rsidR="003323F8" w:rsidRDefault="00000000">
            <w:pPr>
              <w:pStyle w:val="cTableBody"/>
              <w:spacing w:before="0" w:after="0"/>
            </w:pPr>
            <w:r>
              <w:t>$200,000</w:t>
            </w:r>
          </w:p>
        </w:tc>
      </w:tr>
    </w:tbl>
    <w:p w14:paraId="3B79395D" w14:textId="77777777" w:rsidR="003323F8" w:rsidRDefault="00000000">
      <w:pPr>
        <w:pStyle w:val="Heading3"/>
        <w:spacing w:before="280" w:after="280"/>
      </w:pPr>
      <w:r>
        <w:t>Phase 3: Aerosol-source preparation — $2.50M</w:t>
      </w:r>
    </w:p>
    <w:tbl>
      <w:tblPr>
        <w:tblStyle w:val="gswTableStyle"/>
        <w:tblW w:w="9864" w:type="dxa"/>
        <w:tblLayout w:type="fixed"/>
        <w:tblLook w:val="04A0" w:firstRow="1" w:lastRow="0" w:firstColumn="1" w:lastColumn="0" w:noHBand="0" w:noVBand="1"/>
      </w:tblPr>
      <w:tblGrid>
        <w:gridCol w:w="2434"/>
        <w:gridCol w:w="5994"/>
        <w:gridCol w:w="1436"/>
      </w:tblGrid>
      <w:tr w:rsidR="003323F8" w14:paraId="2CA8A894"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349A800D" w14:textId="77777777" w:rsidR="003323F8" w:rsidRDefault="00000000">
            <w:pPr>
              <w:pStyle w:val="cTableHeader"/>
            </w:pPr>
            <w:r>
              <w:t>Procurement package</w:t>
            </w:r>
          </w:p>
        </w:tc>
        <w:tc>
          <w:tcPr>
            <w:tcW w:w="5994" w:type="dxa"/>
          </w:tcPr>
          <w:p w14:paraId="262F2F57" w14:textId="77777777" w:rsidR="003323F8" w:rsidRDefault="00000000">
            <w:pPr>
              <w:pStyle w:val="cTableHeader"/>
            </w:pPr>
            <w:r>
              <w:t>Deliverable</w:t>
            </w:r>
          </w:p>
        </w:tc>
        <w:tc>
          <w:tcPr>
            <w:tcW w:w="1436" w:type="dxa"/>
          </w:tcPr>
          <w:p w14:paraId="7B37F46B" w14:textId="77777777" w:rsidR="003323F8" w:rsidRDefault="00000000">
            <w:pPr>
              <w:pStyle w:val="cTableHeader"/>
            </w:pPr>
            <w:r>
              <w:t>Estimate</w:t>
            </w:r>
          </w:p>
        </w:tc>
      </w:tr>
      <w:tr w:rsidR="003323F8" w14:paraId="5D261645" w14:textId="77777777" w:rsidTr="00DA4BD8">
        <w:tc>
          <w:tcPr>
            <w:tcW w:w="2434" w:type="dxa"/>
          </w:tcPr>
          <w:p w14:paraId="5D580B68" w14:textId="77777777" w:rsidR="003323F8" w:rsidRDefault="00000000">
            <w:pPr>
              <w:pStyle w:val="cTableBody"/>
              <w:spacing w:before="0" w:after="0"/>
            </w:pPr>
            <w:r>
              <w:t>SP3-01 Seawater intake and filtration skid</w:t>
            </w:r>
          </w:p>
        </w:tc>
        <w:tc>
          <w:tcPr>
            <w:tcW w:w="5994" w:type="dxa"/>
          </w:tcPr>
          <w:p w14:paraId="15BA863A" w14:textId="77777777" w:rsidR="003323F8" w:rsidRDefault="00000000">
            <w:pPr>
              <w:pStyle w:val="cTableBody"/>
              <w:spacing w:before="0" w:after="0"/>
            </w:pPr>
            <w:r>
              <w:t>Corrosion-resistant intake, pumps, filters, sensors and cleaning system</w:t>
            </w:r>
          </w:p>
        </w:tc>
        <w:tc>
          <w:tcPr>
            <w:tcW w:w="1436" w:type="dxa"/>
          </w:tcPr>
          <w:p w14:paraId="2FBC12B2" w14:textId="77777777" w:rsidR="003323F8" w:rsidRDefault="00000000">
            <w:pPr>
              <w:pStyle w:val="cTableBody"/>
              <w:spacing w:before="0" w:after="0"/>
            </w:pPr>
            <w:r>
              <w:t>$450,000</w:t>
            </w:r>
          </w:p>
        </w:tc>
      </w:tr>
      <w:tr w:rsidR="003323F8" w14:paraId="640C766D" w14:textId="77777777" w:rsidTr="00DA4BD8">
        <w:tc>
          <w:tcPr>
            <w:tcW w:w="2434" w:type="dxa"/>
          </w:tcPr>
          <w:p w14:paraId="19314C94" w14:textId="77777777" w:rsidR="003323F8" w:rsidRDefault="00000000">
            <w:pPr>
              <w:pStyle w:val="cTableBody"/>
              <w:spacing w:before="0" w:after="0"/>
            </w:pPr>
            <w:r>
              <w:t>SP3-02 Aerosol generator modules</w:t>
            </w:r>
          </w:p>
        </w:tc>
        <w:tc>
          <w:tcPr>
            <w:tcW w:w="5994" w:type="dxa"/>
          </w:tcPr>
          <w:p w14:paraId="135398BE" w14:textId="77777777" w:rsidR="003323F8" w:rsidRDefault="00000000">
            <w:pPr>
              <w:pStyle w:val="cTableBody"/>
              <w:spacing w:before="0" w:after="0"/>
            </w:pPr>
            <w:r>
              <w:t>Interchangeable generator/nozzle assemblies with characterized output</w:t>
            </w:r>
          </w:p>
        </w:tc>
        <w:tc>
          <w:tcPr>
            <w:tcW w:w="1436" w:type="dxa"/>
          </w:tcPr>
          <w:p w14:paraId="091775BD" w14:textId="77777777" w:rsidR="003323F8" w:rsidRDefault="00000000">
            <w:pPr>
              <w:pStyle w:val="cTableBody"/>
              <w:spacing w:before="0" w:after="0"/>
            </w:pPr>
            <w:r>
              <w:t>$800,000</w:t>
            </w:r>
          </w:p>
        </w:tc>
      </w:tr>
      <w:tr w:rsidR="003323F8" w14:paraId="50B21BFC" w14:textId="77777777" w:rsidTr="00DA4BD8">
        <w:tc>
          <w:tcPr>
            <w:tcW w:w="2434" w:type="dxa"/>
          </w:tcPr>
          <w:p w14:paraId="4D28183A" w14:textId="77777777" w:rsidR="003323F8" w:rsidRDefault="00000000">
            <w:pPr>
              <w:pStyle w:val="cTableBody"/>
              <w:spacing w:before="0" w:after="0"/>
            </w:pPr>
            <w:r>
              <w:t>SP3-03 Flow, pressure and control system</w:t>
            </w:r>
          </w:p>
        </w:tc>
        <w:tc>
          <w:tcPr>
            <w:tcW w:w="5994" w:type="dxa"/>
          </w:tcPr>
          <w:p w14:paraId="163640BD" w14:textId="77777777" w:rsidR="003323F8" w:rsidRDefault="00000000">
            <w:pPr>
              <w:pStyle w:val="cTableBody"/>
              <w:spacing w:before="0" w:after="0"/>
            </w:pPr>
            <w:r>
              <w:t>Calibrated water/air metering, controls, logging and emergency shutdown</w:t>
            </w:r>
          </w:p>
        </w:tc>
        <w:tc>
          <w:tcPr>
            <w:tcW w:w="1436" w:type="dxa"/>
          </w:tcPr>
          <w:p w14:paraId="3A5E5A11" w14:textId="77777777" w:rsidR="003323F8" w:rsidRDefault="00000000">
            <w:pPr>
              <w:pStyle w:val="cTableBody"/>
              <w:spacing w:before="0" w:after="0"/>
            </w:pPr>
            <w:r>
              <w:t>$350,000</w:t>
            </w:r>
          </w:p>
        </w:tc>
      </w:tr>
      <w:tr w:rsidR="003323F8" w14:paraId="6B301C85" w14:textId="77777777" w:rsidTr="00DA4BD8">
        <w:tc>
          <w:tcPr>
            <w:tcW w:w="2434" w:type="dxa"/>
          </w:tcPr>
          <w:p w14:paraId="5BE87C45" w14:textId="77777777" w:rsidR="003323F8" w:rsidRDefault="00000000">
            <w:pPr>
              <w:pStyle w:val="cTableBody"/>
              <w:spacing w:before="0" w:after="0"/>
            </w:pPr>
            <w:r>
              <w:t>SP3-04 Ground plume test stand</w:t>
            </w:r>
          </w:p>
        </w:tc>
        <w:tc>
          <w:tcPr>
            <w:tcW w:w="5994" w:type="dxa"/>
          </w:tcPr>
          <w:p w14:paraId="00F44839" w14:textId="77777777" w:rsidR="003323F8" w:rsidRDefault="00000000">
            <w:pPr>
              <w:pStyle w:val="cTableBody"/>
              <w:spacing w:before="0" w:after="0"/>
            </w:pPr>
            <w:r>
              <w:t>Outdoor or chamber tests across the operating envelope</w:t>
            </w:r>
          </w:p>
        </w:tc>
        <w:tc>
          <w:tcPr>
            <w:tcW w:w="1436" w:type="dxa"/>
          </w:tcPr>
          <w:p w14:paraId="36836E6D" w14:textId="77777777" w:rsidR="003323F8" w:rsidRDefault="00000000">
            <w:pPr>
              <w:pStyle w:val="cTableBody"/>
              <w:spacing w:before="0" w:after="0"/>
            </w:pPr>
            <w:r>
              <w:t>$400,000</w:t>
            </w:r>
          </w:p>
        </w:tc>
      </w:tr>
      <w:tr w:rsidR="003323F8" w14:paraId="4B8AC13F" w14:textId="77777777" w:rsidTr="00DA4BD8">
        <w:tc>
          <w:tcPr>
            <w:tcW w:w="2434" w:type="dxa"/>
          </w:tcPr>
          <w:p w14:paraId="2FC30637" w14:textId="77777777" w:rsidR="003323F8" w:rsidRDefault="00000000">
            <w:pPr>
              <w:pStyle w:val="cTableBody"/>
              <w:spacing w:before="0" w:after="0"/>
            </w:pPr>
            <w:r>
              <w:t>SP3-05 Spares, materials and maintenance</w:t>
            </w:r>
          </w:p>
        </w:tc>
        <w:tc>
          <w:tcPr>
            <w:tcW w:w="5994" w:type="dxa"/>
          </w:tcPr>
          <w:p w14:paraId="67D23509" w14:textId="77777777" w:rsidR="003323F8" w:rsidRDefault="00000000">
            <w:pPr>
              <w:pStyle w:val="cTableBody"/>
              <w:spacing w:before="0" w:after="0"/>
            </w:pPr>
            <w:r>
              <w:t>Nozzles, pumps, corrosion components, filters and cleaning supplies</w:t>
            </w:r>
          </w:p>
        </w:tc>
        <w:tc>
          <w:tcPr>
            <w:tcW w:w="1436" w:type="dxa"/>
          </w:tcPr>
          <w:p w14:paraId="064977EF" w14:textId="77777777" w:rsidR="003323F8" w:rsidRDefault="00000000">
            <w:pPr>
              <w:pStyle w:val="cTableBody"/>
              <w:spacing w:before="0" w:after="0"/>
            </w:pPr>
            <w:r>
              <w:t>$250,000</w:t>
            </w:r>
          </w:p>
        </w:tc>
      </w:tr>
      <w:tr w:rsidR="003323F8" w14:paraId="14085728" w14:textId="77777777" w:rsidTr="00DA4BD8">
        <w:tc>
          <w:tcPr>
            <w:tcW w:w="2434" w:type="dxa"/>
          </w:tcPr>
          <w:p w14:paraId="25247B49" w14:textId="77777777" w:rsidR="003323F8" w:rsidRDefault="00000000">
            <w:pPr>
              <w:pStyle w:val="cTableBody"/>
              <w:spacing w:before="0" w:after="0"/>
            </w:pPr>
            <w:r>
              <w:t>SP3-06 Independent output calibration</w:t>
            </w:r>
          </w:p>
        </w:tc>
        <w:tc>
          <w:tcPr>
            <w:tcW w:w="5994" w:type="dxa"/>
          </w:tcPr>
          <w:p w14:paraId="039A5A7E" w14:textId="77777777" w:rsidR="003323F8" w:rsidRDefault="00000000">
            <w:pPr>
              <w:pStyle w:val="cTableBody"/>
              <w:spacing w:before="0" w:after="0"/>
            </w:pPr>
            <w:r>
              <w:t>Particle size, number, coarse-tail and energy verification</w:t>
            </w:r>
          </w:p>
        </w:tc>
        <w:tc>
          <w:tcPr>
            <w:tcW w:w="1436" w:type="dxa"/>
          </w:tcPr>
          <w:p w14:paraId="538E4560" w14:textId="77777777" w:rsidR="003323F8" w:rsidRDefault="00000000">
            <w:pPr>
              <w:pStyle w:val="cTableBody"/>
              <w:spacing w:before="0" w:after="0"/>
            </w:pPr>
            <w:r>
              <w:t>$250,000</w:t>
            </w:r>
          </w:p>
        </w:tc>
      </w:tr>
    </w:tbl>
    <w:p w14:paraId="1F0466DC" w14:textId="77777777" w:rsidR="003323F8" w:rsidRDefault="00000000">
      <w:pPr>
        <w:pStyle w:val="Heading3"/>
        <w:spacing w:before="280" w:after="280"/>
      </w:pPr>
      <w:r>
        <w:t>Phase 4: Instrument preparation — $3.00M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6DD539B5"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06EACAC9" w14:textId="77777777" w:rsidR="003323F8" w:rsidRDefault="00000000">
            <w:pPr>
              <w:pStyle w:val="cTableHeader"/>
            </w:pPr>
            <w:r>
              <w:t>Procurement package</w:t>
            </w:r>
          </w:p>
        </w:tc>
        <w:tc>
          <w:tcPr>
            <w:tcW w:w="5993" w:type="dxa"/>
          </w:tcPr>
          <w:p w14:paraId="787231B8" w14:textId="77777777" w:rsidR="003323F8" w:rsidRDefault="00000000">
            <w:pPr>
              <w:pStyle w:val="cTableHeader"/>
            </w:pPr>
            <w:r>
              <w:t>Deliverable</w:t>
            </w:r>
          </w:p>
        </w:tc>
        <w:tc>
          <w:tcPr>
            <w:tcW w:w="1437" w:type="dxa"/>
          </w:tcPr>
          <w:p w14:paraId="4FEA6298" w14:textId="77777777" w:rsidR="003323F8" w:rsidRDefault="00000000">
            <w:pPr>
              <w:pStyle w:val="cTableHeader"/>
            </w:pPr>
            <w:r>
              <w:t>Estimate</w:t>
            </w:r>
          </w:p>
        </w:tc>
      </w:tr>
      <w:tr w:rsidR="003323F8" w14:paraId="703D6A4D" w14:textId="77777777" w:rsidTr="00DA4BD8">
        <w:tc>
          <w:tcPr>
            <w:tcW w:w="2434" w:type="dxa"/>
          </w:tcPr>
          <w:p w14:paraId="2813C273" w14:textId="77777777" w:rsidR="003323F8" w:rsidRDefault="00000000">
            <w:pPr>
              <w:pStyle w:val="cTableBody"/>
              <w:spacing w:before="0" w:after="0"/>
            </w:pPr>
            <w:r>
              <w:t>SP4-01 Aerosol size-distribution package</w:t>
            </w:r>
          </w:p>
        </w:tc>
        <w:tc>
          <w:tcPr>
            <w:tcW w:w="5993" w:type="dxa"/>
          </w:tcPr>
          <w:p w14:paraId="19178C9F" w14:textId="77777777" w:rsidR="003323F8" w:rsidRDefault="00000000">
            <w:pPr>
              <w:pStyle w:val="cTableBody"/>
              <w:spacing w:before="0" w:after="0"/>
            </w:pPr>
            <w:r>
              <w:t>Nanometre-to-micrometre aerosol number and size measurements</w:t>
            </w:r>
          </w:p>
        </w:tc>
        <w:tc>
          <w:tcPr>
            <w:tcW w:w="1437" w:type="dxa"/>
          </w:tcPr>
          <w:p w14:paraId="377A773F" w14:textId="77777777" w:rsidR="003323F8" w:rsidRDefault="00000000">
            <w:pPr>
              <w:pStyle w:val="cTableBody"/>
              <w:spacing w:before="0" w:after="0"/>
            </w:pPr>
            <w:r>
              <w:t>$650,000</w:t>
            </w:r>
          </w:p>
        </w:tc>
      </w:tr>
      <w:tr w:rsidR="003323F8" w14:paraId="0DAB485F" w14:textId="77777777" w:rsidTr="00DA4BD8">
        <w:tc>
          <w:tcPr>
            <w:tcW w:w="2434" w:type="dxa"/>
          </w:tcPr>
          <w:p w14:paraId="7F23F192" w14:textId="77777777" w:rsidR="003323F8" w:rsidRDefault="00000000">
            <w:pPr>
              <w:pStyle w:val="cTableBody"/>
              <w:spacing w:before="0" w:after="0"/>
            </w:pPr>
            <w:r>
              <w:t>SP4-02 CCN and hygroscopicity package</w:t>
            </w:r>
          </w:p>
        </w:tc>
        <w:tc>
          <w:tcPr>
            <w:tcW w:w="5993" w:type="dxa"/>
          </w:tcPr>
          <w:p w14:paraId="20F779EF" w14:textId="77777777" w:rsidR="003323F8" w:rsidRDefault="00000000">
            <w:pPr>
              <w:pStyle w:val="cTableBody"/>
              <w:spacing w:before="0" w:after="0"/>
            </w:pPr>
            <w:r>
              <w:t>Activation spectra and particle water uptake</w:t>
            </w:r>
          </w:p>
        </w:tc>
        <w:tc>
          <w:tcPr>
            <w:tcW w:w="1437" w:type="dxa"/>
          </w:tcPr>
          <w:p w14:paraId="510D7E18" w14:textId="77777777" w:rsidR="003323F8" w:rsidRDefault="00000000">
            <w:pPr>
              <w:pStyle w:val="cTableBody"/>
              <w:spacing w:before="0" w:after="0"/>
            </w:pPr>
            <w:r>
              <w:t>$450,000</w:t>
            </w:r>
          </w:p>
        </w:tc>
      </w:tr>
      <w:tr w:rsidR="003323F8" w14:paraId="64D0874D" w14:textId="77777777" w:rsidTr="00DA4BD8">
        <w:tc>
          <w:tcPr>
            <w:tcW w:w="2434" w:type="dxa"/>
          </w:tcPr>
          <w:p w14:paraId="7F041C54" w14:textId="77777777" w:rsidR="003323F8" w:rsidRDefault="00000000">
            <w:pPr>
              <w:pStyle w:val="cTableBody"/>
              <w:spacing w:before="0" w:after="0"/>
            </w:pPr>
            <w:r>
              <w:t>SP4-03 Aerosol composition package</w:t>
            </w:r>
          </w:p>
        </w:tc>
        <w:tc>
          <w:tcPr>
            <w:tcW w:w="5993" w:type="dxa"/>
          </w:tcPr>
          <w:p w14:paraId="5BBFCF14" w14:textId="77777777" w:rsidR="003323F8" w:rsidRDefault="00000000">
            <w:pPr>
              <w:pStyle w:val="cTableBody"/>
              <w:spacing w:before="0" w:after="0"/>
            </w:pPr>
            <w:r>
              <w:t>Sea-salt composition, organics and contamination</w:t>
            </w:r>
          </w:p>
        </w:tc>
        <w:tc>
          <w:tcPr>
            <w:tcW w:w="1437" w:type="dxa"/>
          </w:tcPr>
          <w:p w14:paraId="6878292D" w14:textId="77777777" w:rsidR="003323F8" w:rsidRDefault="00000000">
            <w:pPr>
              <w:pStyle w:val="cTableBody"/>
              <w:spacing w:before="0" w:after="0"/>
            </w:pPr>
            <w:r>
              <w:t>$400,000</w:t>
            </w:r>
          </w:p>
        </w:tc>
      </w:tr>
      <w:tr w:rsidR="003323F8" w14:paraId="0DBA65B4" w14:textId="77777777" w:rsidTr="00DA4BD8">
        <w:tc>
          <w:tcPr>
            <w:tcW w:w="2434" w:type="dxa"/>
          </w:tcPr>
          <w:p w14:paraId="2EE37AA7" w14:textId="77777777" w:rsidR="003323F8" w:rsidRDefault="00000000">
            <w:pPr>
              <w:pStyle w:val="cTableBody"/>
              <w:spacing w:before="0" w:after="0"/>
            </w:pPr>
            <w:r>
              <w:t>SP4-04 Meteorology and turbulence package</w:t>
            </w:r>
          </w:p>
        </w:tc>
        <w:tc>
          <w:tcPr>
            <w:tcW w:w="5993" w:type="dxa"/>
          </w:tcPr>
          <w:p w14:paraId="67E51ECC" w14:textId="77777777" w:rsidR="003323F8" w:rsidRDefault="00000000">
            <w:pPr>
              <w:pStyle w:val="cTableBody"/>
              <w:spacing w:before="0" w:after="0"/>
            </w:pPr>
            <w:r>
              <w:t>Fast wind, temperature, humidity and flux measurements</w:t>
            </w:r>
          </w:p>
        </w:tc>
        <w:tc>
          <w:tcPr>
            <w:tcW w:w="1437" w:type="dxa"/>
          </w:tcPr>
          <w:p w14:paraId="5BDB78E9" w14:textId="77777777" w:rsidR="003323F8" w:rsidRDefault="00000000">
            <w:pPr>
              <w:pStyle w:val="cTableBody"/>
              <w:spacing w:before="0" w:after="0"/>
            </w:pPr>
            <w:r>
              <w:t>$350,000</w:t>
            </w:r>
          </w:p>
        </w:tc>
      </w:tr>
      <w:tr w:rsidR="003323F8" w14:paraId="6D772E51" w14:textId="77777777" w:rsidTr="00DA4BD8">
        <w:tc>
          <w:tcPr>
            <w:tcW w:w="2434" w:type="dxa"/>
          </w:tcPr>
          <w:p w14:paraId="42DC62D0" w14:textId="77777777" w:rsidR="003323F8" w:rsidRDefault="00000000">
            <w:pPr>
              <w:pStyle w:val="cTableBody"/>
              <w:spacing w:before="0" w:after="0"/>
            </w:pPr>
            <w:r>
              <w:t>SP4-05 Drone and balloon payloads</w:t>
            </w:r>
          </w:p>
        </w:tc>
        <w:tc>
          <w:tcPr>
            <w:tcW w:w="5993" w:type="dxa"/>
          </w:tcPr>
          <w:p w14:paraId="1BC796CA" w14:textId="77777777" w:rsidR="003323F8" w:rsidRDefault="00000000">
            <w:pPr>
              <w:pStyle w:val="cTableBody"/>
              <w:spacing w:before="0" w:after="0"/>
            </w:pPr>
            <w:r>
              <w:t>Vertical profiles of aerosol and meteorology</w:t>
            </w:r>
          </w:p>
        </w:tc>
        <w:tc>
          <w:tcPr>
            <w:tcW w:w="1437" w:type="dxa"/>
          </w:tcPr>
          <w:p w14:paraId="52F072F6" w14:textId="77777777" w:rsidR="003323F8" w:rsidRDefault="00000000">
            <w:pPr>
              <w:pStyle w:val="cTableBody"/>
              <w:spacing w:before="0" w:after="0"/>
            </w:pPr>
            <w:r>
              <w:t>$450,000</w:t>
            </w:r>
          </w:p>
        </w:tc>
      </w:tr>
      <w:tr w:rsidR="003323F8" w14:paraId="1C4C616F" w14:textId="77777777" w:rsidTr="00DA4BD8">
        <w:tc>
          <w:tcPr>
            <w:tcW w:w="2434" w:type="dxa"/>
          </w:tcPr>
          <w:p w14:paraId="1038C94C" w14:textId="77777777" w:rsidR="003323F8" w:rsidRDefault="00000000">
            <w:pPr>
              <w:pStyle w:val="cTableBody"/>
              <w:spacing w:before="0" w:after="0"/>
            </w:pPr>
            <w:r>
              <w:t>SP4-06 Lidar and optical plume mapping</w:t>
            </w:r>
          </w:p>
        </w:tc>
        <w:tc>
          <w:tcPr>
            <w:tcW w:w="5993" w:type="dxa"/>
          </w:tcPr>
          <w:p w14:paraId="6D8F236D" w14:textId="77777777" w:rsidR="003323F8" w:rsidRDefault="00000000">
            <w:pPr>
              <w:pStyle w:val="cTableBody"/>
              <w:spacing w:before="0" w:after="0"/>
            </w:pPr>
            <w:r>
              <w:t>Plume geometry and boundary-layer structure</w:t>
            </w:r>
          </w:p>
        </w:tc>
        <w:tc>
          <w:tcPr>
            <w:tcW w:w="1437" w:type="dxa"/>
          </w:tcPr>
          <w:p w14:paraId="274EFCFE" w14:textId="77777777" w:rsidR="003323F8" w:rsidRDefault="00000000">
            <w:pPr>
              <w:pStyle w:val="cTableBody"/>
              <w:spacing w:before="0" w:after="0"/>
            </w:pPr>
            <w:r>
              <w:t>$400,000</w:t>
            </w:r>
          </w:p>
        </w:tc>
      </w:tr>
      <w:tr w:rsidR="003323F8" w14:paraId="62FE3587" w14:textId="77777777" w:rsidTr="00DA4BD8">
        <w:tc>
          <w:tcPr>
            <w:tcW w:w="2434" w:type="dxa"/>
          </w:tcPr>
          <w:p w14:paraId="3942ABE7" w14:textId="77777777" w:rsidR="003323F8" w:rsidRDefault="00000000">
            <w:pPr>
              <w:pStyle w:val="cTableBody"/>
              <w:spacing w:before="0" w:after="0"/>
            </w:pPr>
            <w:r>
              <w:t>SP4-07 Calibration and data system</w:t>
            </w:r>
          </w:p>
        </w:tc>
        <w:tc>
          <w:tcPr>
            <w:tcW w:w="5993" w:type="dxa"/>
          </w:tcPr>
          <w:p w14:paraId="4DC988D2" w14:textId="77777777" w:rsidR="003323F8" w:rsidRDefault="00000000">
            <w:pPr>
              <w:pStyle w:val="cTableBody"/>
              <w:spacing w:before="0" w:after="0"/>
            </w:pPr>
            <w:r>
              <w:t>Traceable calibration, synchronization, telemetry and spares</w:t>
            </w:r>
          </w:p>
        </w:tc>
        <w:tc>
          <w:tcPr>
            <w:tcW w:w="1437" w:type="dxa"/>
          </w:tcPr>
          <w:p w14:paraId="4792BA34" w14:textId="77777777" w:rsidR="003323F8" w:rsidRDefault="00000000">
            <w:pPr>
              <w:pStyle w:val="cTableBody"/>
              <w:spacing w:before="0" w:after="0"/>
            </w:pPr>
            <w:r>
              <w:t>$300,000</w:t>
            </w:r>
          </w:p>
        </w:tc>
      </w:tr>
    </w:tbl>
    <w:p w14:paraId="4D5877AD" w14:textId="77777777" w:rsidR="003323F8" w:rsidRDefault="00000000">
      <w:pPr>
        <w:pStyle w:val="Heading3"/>
        <w:spacing w:before="280" w:after="280"/>
      </w:pPr>
      <w:r>
        <w:t>Phase 5: Vessel and platform integration — $2.00M</w:t>
      </w:r>
    </w:p>
    <w:tbl>
      <w:tblPr>
        <w:tblStyle w:val="gswTableStyle"/>
        <w:tblW w:w="9864" w:type="dxa"/>
        <w:tblLayout w:type="fixed"/>
        <w:tblLook w:val="04A0" w:firstRow="1" w:lastRow="0" w:firstColumn="1" w:lastColumn="0" w:noHBand="0" w:noVBand="1"/>
      </w:tblPr>
      <w:tblGrid>
        <w:gridCol w:w="2436"/>
        <w:gridCol w:w="5992"/>
        <w:gridCol w:w="1436"/>
      </w:tblGrid>
      <w:tr w:rsidR="003323F8" w14:paraId="5A9BC59F"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6" w:type="dxa"/>
          </w:tcPr>
          <w:p w14:paraId="55F3F672" w14:textId="77777777" w:rsidR="003323F8" w:rsidRDefault="00000000">
            <w:pPr>
              <w:pStyle w:val="cTableHeader"/>
            </w:pPr>
            <w:r>
              <w:t>Procurement package</w:t>
            </w:r>
          </w:p>
        </w:tc>
        <w:tc>
          <w:tcPr>
            <w:tcW w:w="5992" w:type="dxa"/>
          </w:tcPr>
          <w:p w14:paraId="0B426203" w14:textId="77777777" w:rsidR="003323F8" w:rsidRDefault="00000000">
            <w:pPr>
              <w:pStyle w:val="cTableHeader"/>
            </w:pPr>
            <w:r>
              <w:t>Deliverable</w:t>
            </w:r>
          </w:p>
        </w:tc>
        <w:tc>
          <w:tcPr>
            <w:tcW w:w="1436" w:type="dxa"/>
          </w:tcPr>
          <w:p w14:paraId="0CB6C477" w14:textId="77777777" w:rsidR="003323F8" w:rsidRDefault="00000000">
            <w:pPr>
              <w:pStyle w:val="cTableHeader"/>
            </w:pPr>
            <w:r>
              <w:t>Estimate</w:t>
            </w:r>
          </w:p>
        </w:tc>
      </w:tr>
      <w:tr w:rsidR="003323F8" w14:paraId="404A4E61" w14:textId="77777777" w:rsidTr="00DA4BD8">
        <w:tc>
          <w:tcPr>
            <w:tcW w:w="2436" w:type="dxa"/>
          </w:tcPr>
          <w:p w14:paraId="24F94E0A" w14:textId="77777777" w:rsidR="003323F8" w:rsidRDefault="00000000">
            <w:pPr>
              <w:pStyle w:val="cTableBody"/>
              <w:spacing w:before="0" w:after="0"/>
            </w:pPr>
            <w:r>
              <w:t>SP5-01 Generator-vessel integration</w:t>
            </w:r>
          </w:p>
        </w:tc>
        <w:tc>
          <w:tcPr>
            <w:tcW w:w="5992" w:type="dxa"/>
          </w:tcPr>
          <w:p w14:paraId="0B3390FB" w14:textId="77777777" w:rsidR="003323F8" w:rsidRDefault="00000000">
            <w:pPr>
              <w:pStyle w:val="cTableBody"/>
              <w:spacing w:before="0" w:after="0"/>
            </w:pPr>
            <w:r>
              <w:t>Deck mounts, power, seawater plumbing and release mast</w:t>
            </w:r>
          </w:p>
        </w:tc>
        <w:tc>
          <w:tcPr>
            <w:tcW w:w="1436" w:type="dxa"/>
          </w:tcPr>
          <w:p w14:paraId="544D9B43" w14:textId="77777777" w:rsidR="003323F8" w:rsidRDefault="00000000">
            <w:pPr>
              <w:pStyle w:val="cTableBody"/>
              <w:spacing w:before="0" w:after="0"/>
            </w:pPr>
            <w:r>
              <w:t>$650,000</w:t>
            </w:r>
          </w:p>
        </w:tc>
      </w:tr>
      <w:tr w:rsidR="003323F8" w14:paraId="2A50FC33" w14:textId="77777777" w:rsidTr="00DA4BD8">
        <w:tc>
          <w:tcPr>
            <w:tcW w:w="2436" w:type="dxa"/>
          </w:tcPr>
          <w:p w14:paraId="7DADAE6F" w14:textId="77777777" w:rsidR="003323F8" w:rsidRDefault="00000000">
            <w:pPr>
              <w:pStyle w:val="cTableBody"/>
              <w:spacing w:before="0" w:after="0"/>
            </w:pPr>
            <w:r>
              <w:t>SP5-02 Sampling-vessel integration</w:t>
            </w:r>
          </w:p>
        </w:tc>
        <w:tc>
          <w:tcPr>
            <w:tcW w:w="5992" w:type="dxa"/>
          </w:tcPr>
          <w:p w14:paraId="0B09D84E" w14:textId="77777777" w:rsidR="003323F8" w:rsidRDefault="00000000">
            <w:pPr>
              <w:pStyle w:val="cTableBody"/>
              <w:spacing w:before="0" w:after="0"/>
            </w:pPr>
            <w:r>
              <w:t>Instrument racks, inlets, drone operations and data links</w:t>
            </w:r>
          </w:p>
        </w:tc>
        <w:tc>
          <w:tcPr>
            <w:tcW w:w="1436" w:type="dxa"/>
          </w:tcPr>
          <w:p w14:paraId="13BBE51B" w14:textId="77777777" w:rsidR="003323F8" w:rsidRDefault="00000000">
            <w:pPr>
              <w:pStyle w:val="cTableBody"/>
              <w:spacing w:before="0" w:after="0"/>
            </w:pPr>
            <w:r>
              <w:t>$450,000</w:t>
            </w:r>
          </w:p>
        </w:tc>
      </w:tr>
      <w:tr w:rsidR="003323F8" w14:paraId="609B9CF7" w14:textId="77777777" w:rsidTr="00DA4BD8">
        <w:tc>
          <w:tcPr>
            <w:tcW w:w="2436" w:type="dxa"/>
          </w:tcPr>
          <w:p w14:paraId="7FE7FDA0" w14:textId="77777777" w:rsidR="003323F8" w:rsidRDefault="00000000">
            <w:pPr>
              <w:pStyle w:val="cTableBody"/>
              <w:spacing w:before="0" w:after="0"/>
            </w:pPr>
            <w:r>
              <w:t>SP5-03 Safety and marine engineering</w:t>
            </w:r>
          </w:p>
        </w:tc>
        <w:tc>
          <w:tcPr>
            <w:tcW w:w="5992" w:type="dxa"/>
          </w:tcPr>
          <w:p w14:paraId="01F9DFCF" w14:textId="77777777" w:rsidR="003323F8" w:rsidRDefault="00000000">
            <w:pPr>
              <w:pStyle w:val="cTableBody"/>
              <w:spacing w:before="0" w:after="0"/>
            </w:pPr>
            <w:r>
              <w:t>Structural, electrical, corrosion, stability and emergency review</w:t>
            </w:r>
          </w:p>
        </w:tc>
        <w:tc>
          <w:tcPr>
            <w:tcW w:w="1436" w:type="dxa"/>
          </w:tcPr>
          <w:p w14:paraId="6A0BC543" w14:textId="77777777" w:rsidR="003323F8" w:rsidRDefault="00000000">
            <w:pPr>
              <w:pStyle w:val="cTableBody"/>
              <w:spacing w:before="0" w:after="0"/>
            </w:pPr>
            <w:r>
              <w:t>$350,000</w:t>
            </w:r>
          </w:p>
        </w:tc>
      </w:tr>
      <w:tr w:rsidR="003323F8" w14:paraId="4C476270" w14:textId="77777777" w:rsidTr="00DA4BD8">
        <w:tc>
          <w:tcPr>
            <w:tcW w:w="2436" w:type="dxa"/>
          </w:tcPr>
          <w:p w14:paraId="4CE1A9B7" w14:textId="77777777" w:rsidR="003323F8" w:rsidRDefault="00000000">
            <w:pPr>
              <w:pStyle w:val="cTableBody"/>
              <w:spacing w:before="0" w:after="0"/>
            </w:pPr>
            <w:r>
              <w:t>SP5-04 Communications and mission systems</w:t>
            </w:r>
          </w:p>
        </w:tc>
        <w:tc>
          <w:tcPr>
            <w:tcW w:w="5992" w:type="dxa"/>
          </w:tcPr>
          <w:p w14:paraId="0838A03C" w14:textId="77777777" w:rsidR="003323F8" w:rsidRDefault="00000000">
            <w:pPr>
              <w:pStyle w:val="cTableBody"/>
              <w:spacing w:before="0" w:after="0"/>
            </w:pPr>
            <w:r>
              <w:t>Ship-to-ship, drone and shore communications</w:t>
            </w:r>
          </w:p>
        </w:tc>
        <w:tc>
          <w:tcPr>
            <w:tcW w:w="1436" w:type="dxa"/>
          </w:tcPr>
          <w:p w14:paraId="7F67CD99" w14:textId="77777777" w:rsidR="003323F8" w:rsidRDefault="00000000">
            <w:pPr>
              <w:pStyle w:val="cTableBody"/>
              <w:spacing w:before="0" w:after="0"/>
            </w:pPr>
            <w:r>
              <w:t>$250,000</w:t>
            </w:r>
          </w:p>
        </w:tc>
      </w:tr>
      <w:tr w:rsidR="003323F8" w14:paraId="39759C99" w14:textId="77777777" w:rsidTr="00DA4BD8">
        <w:tc>
          <w:tcPr>
            <w:tcW w:w="2436" w:type="dxa"/>
          </w:tcPr>
          <w:p w14:paraId="69984644" w14:textId="77777777" w:rsidR="003323F8" w:rsidRDefault="00000000">
            <w:pPr>
              <w:pStyle w:val="cTableBody"/>
              <w:spacing w:before="0" w:after="0"/>
            </w:pPr>
            <w:r>
              <w:t>SP5-05 Acceptance testing</w:t>
            </w:r>
          </w:p>
        </w:tc>
        <w:tc>
          <w:tcPr>
            <w:tcW w:w="5992" w:type="dxa"/>
          </w:tcPr>
          <w:p w14:paraId="11CC87E8" w14:textId="77777777" w:rsidR="003323F8" w:rsidRDefault="00000000">
            <w:pPr>
              <w:pStyle w:val="cTableBody"/>
              <w:spacing w:before="0" w:after="0"/>
            </w:pPr>
            <w:r>
              <w:t>Harbor tests, vibration, electromagnetic and operating checks</w:t>
            </w:r>
          </w:p>
        </w:tc>
        <w:tc>
          <w:tcPr>
            <w:tcW w:w="1436" w:type="dxa"/>
          </w:tcPr>
          <w:p w14:paraId="6E8683A7" w14:textId="77777777" w:rsidR="003323F8" w:rsidRDefault="00000000">
            <w:pPr>
              <w:pStyle w:val="cTableBody"/>
              <w:spacing w:before="0" w:after="0"/>
            </w:pPr>
            <w:r>
              <w:t>$300,000</w:t>
            </w:r>
          </w:p>
        </w:tc>
      </w:tr>
    </w:tbl>
    <w:p w14:paraId="70056808" w14:textId="77777777" w:rsidR="003323F8" w:rsidRDefault="00000000">
      <w:pPr>
        <w:pStyle w:val="Heading3"/>
        <w:spacing w:before="280" w:after="280"/>
      </w:pPr>
      <w:r>
        <w:t>Phase 6: Baseline and rehearsal — $1.20M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76C4F190"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1A74DB91" w14:textId="77777777" w:rsidR="003323F8" w:rsidRDefault="00000000">
            <w:pPr>
              <w:pStyle w:val="cTableHeader"/>
            </w:pPr>
            <w:r>
              <w:t>Procurement package</w:t>
            </w:r>
          </w:p>
        </w:tc>
        <w:tc>
          <w:tcPr>
            <w:tcW w:w="5993" w:type="dxa"/>
          </w:tcPr>
          <w:p w14:paraId="10180971" w14:textId="77777777" w:rsidR="003323F8" w:rsidRDefault="00000000">
            <w:pPr>
              <w:pStyle w:val="cTableHeader"/>
            </w:pPr>
            <w:r>
              <w:t>Deliverable</w:t>
            </w:r>
          </w:p>
        </w:tc>
        <w:tc>
          <w:tcPr>
            <w:tcW w:w="1437" w:type="dxa"/>
          </w:tcPr>
          <w:p w14:paraId="052EFDA2" w14:textId="77777777" w:rsidR="003323F8" w:rsidRDefault="00000000">
            <w:pPr>
              <w:pStyle w:val="cTableHeader"/>
            </w:pPr>
            <w:r>
              <w:t>Estimate</w:t>
            </w:r>
          </w:p>
        </w:tc>
      </w:tr>
      <w:tr w:rsidR="003323F8" w14:paraId="2E6B6A42" w14:textId="77777777" w:rsidTr="00DA4BD8">
        <w:tc>
          <w:tcPr>
            <w:tcW w:w="2434" w:type="dxa"/>
          </w:tcPr>
          <w:p w14:paraId="7C74069D" w14:textId="77777777" w:rsidR="003323F8" w:rsidRDefault="00000000">
            <w:pPr>
              <w:pStyle w:val="cTableBody"/>
              <w:spacing w:before="0" w:after="0"/>
            </w:pPr>
            <w:r>
              <w:t>SP6-01 Baseline cruise block</w:t>
            </w:r>
          </w:p>
        </w:tc>
        <w:tc>
          <w:tcPr>
            <w:tcW w:w="5993" w:type="dxa"/>
          </w:tcPr>
          <w:p w14:paraId="0A2EA50E" w14:textId="77777777" w:rsidR="003323F8" w:rsidRDefault="00000000">
            <w:pPr>
              <w:pStyle w:val="cTableBody"/>
              <w:spacing w:before="0" w:after="0"/>
            </w:pPr>
            <w:r>
              <w:t>Untreated aerosol, meteorology and deposition observations</w:t>
            </w:r>
          </w:p>
        </w:tc>
        <w:tc>
          <w:tcPr>
            <w:tcW w:w="1437" w:type="dxa"/>
          </w:tcPr>
          <w:p w14:paraId="3A7ED2D8" w14:textId="77777777" w:rsidR="003323F8" w:rsidRDefault="00000000">
            <w:pPr>
              <w:pStyle w:val="cTableBody"/>
              <w:spacing w:before="0" w:after="0"/>
            </w:pPr>
            <w:r>
              <w:t>$450,000</w:t>
            </w:r>
          </w:p>
        </w:tc>
      </w:tr>
      <w:tr w:rsidR="003323F8" w14:paraId="51396CBF" w14:textId="77777777" w:rsidTr="00DA4BD8">
        <w:tc>
          <w:tcPr>
            <w:tcW w:w="2434" w:type="dxa"/>
          </w:tcPr>
          <w:p w14:paraId="69D82BE2" w14:textId="77777777" w:rsidR="003323F8" w:rsidRDefault="00000000">
            <w:pPr>
              <w:pStyle w:val="cTableBody"/>
              <w:spacing w:before="0" w:after="0"/>
            </w:pPr>
            <w:r>
              <w:t>SP6-02 Forecasting and mission planning</w:t>
            </w:r>
          </w:p>
        </w:tc>
        <w:tc>
          <w:tcPr>
            <w:tcW w:w="5993" w:type="dxa"/>
          </w:tcPr>
          <w:p w14:paraId="25186900" w14:textId="77777777" w:rsidR="003323F8" w:rsidRDefault="00000000">
            <w:pPr>
              <w:pStyle w:val="cTableBody"/>
              <w:spacing w:before="0" w:after="0"/>
            </w:pPr>
            <w:r>
              <w:t>Boundary-layer forecasts, trajectories and daily operating plans</w:t>
            </w:r>
          </w:p>
        </w:tc>
        <w:tc>
          <w:tcPr>
            <w:tcW w:w="1437" w:type="dxa"/>
          </w:tcPr>
          <w:p w14:paraId="3480EE0E" w14:textId="77777777" w:rsidR="003323F8" w:rsidRDefault="00000000">
            <w:pPr>
              <w:pStyle w:val="cTableBody"/>
              <w:spacing w:before="0" w:after="0"/>
            </w:pPr>
            <w:r>
              <w:t>$200,000</w:t>
            </w:r>
          </w:p>
        </w:tc>
      </w:tr>
      <w:tr w:rsidR="003323F8" w14:paraId="27953B02" w14:textId="77777777" w:rsidTr="00DA4BD8">
        <w:tc>
          <w:tcPr>
            <w:tcW w:w="2434" w:type="dxa"/>
          </w:tcPr>
          <w:p w14:paraId="230DB72D" w14:textId="77777777" w:rsidR="003323F8" w:rsidRDefault="00000000">
            <w:pPr>
              <w:pStyle w:val="cTableBody"/>
              <w:spacing w:before="0" w:after="0"/>
            </w:pPr>
            <w:r>
              <w:t>SP6-03 Low-output rehearsal</w:t>
            </w:r>
          </w:p>
        </w:tc>
        <w:tc>
          <w:tcPr>
            <w:tcW w:w="5993" w:type="dxa"/>
          </w:tcPr>
          <w:p w14:paraId="60390061" w14:textId="77777777" w:rsidR="003323F8" w:rsidRDefault="00000000">
            <w:pPr>
              <w:pStyle w:val="cTableBody"/>
              <w:spacing w:before="0" w:after="0"/>
            </w:pPr>
            <w:r>
              <w:t>Detection test, vessel formation and drone interception practice</w:t>
            </w:r>
          </w:p>
        </w:tc>
        <w:tc>
          <w:tcPr>
            <w:tcW w:w="1437" w:type="dxa"/>
          </w:tcPr>
          <w:p w14:paraId="05D06A93" w14:textId="77777777" w:rsidR="003323F8" w:rsidRDefault="00000000">
            <w:pPr>
              <w:pStyle w:val="cTableBody"/>
              <w:spacing w:before="0" w:after="0"/>
            </w:pPr>
            <w:r>
              <w:t>$200,000</w:t>
            </w:r>
          </w:p>
        </w:tc>
      </w:tr>
      <w:tr w:rsidR="003323F8" w14:paraId="7B948129" w14:textId="77777777" w:rsidTr="00DA4BD8">
        <w:tc>
          <w:tcPr>
            <w:tcW w:w="2434" w:type="dxa"/>
          </w:tcPr>
          <w:p w14:paraId="230578A5" w14:textId="77777777" w:rsidR="003323F8" w:rsidRDefault="00000000">
            <w:pPr>
              <w:pStyle w:val="cTableBody"/>
              <w:spacing w:before="0" w:after="0"/>
            </w:pPr>
            <w:r>
              <w:t>SP6-04 Field logistics</w:t>
            </w:r>
          </w:p>
        </w:tc>
        <w:tc>
          <w:tcPr>
            <w:tcW w:w="5993" w:type="dxa"/>
          </w:tcPr>
          <w:p w14:paraId="23F21F45" w14:textId="77777777" w:rsidR="003323F8" w:rsidRDefault="00000000">
            <w:pPr>
              <w:pStyle w:val="cTableBody"/>
              <w:spacing w:before="0" w:after="0"/>
            </w:pPr>
            <w:r>
              <w:t>Port, shipping, lodging, vehicles and workspaces</w:t>
            </w:r>
          </w:p>
        </w:tc>
        <w:tc>
          <w:tcPr>
            <w:tcW w:w="1437" w:type="dxa"/>
          </w:tcPr>
          <w:p w14:paraId="1AA65EEE" w14:textId="77777777" w:rsidR="003323F8" w:rsidRDefault="00000000">
            <w:pPr>
              <w:pStyle w:val="cTableBody"/>
              <w:spacing w:before="0" w:after="0"/>
            </w:pPr>
            <w:r>
              <w:t>$250,000</w:t>
            </w:r>
          </w:p>
        </w:tc>
      </w:tr>
      <w:tr w:rsidR="003323F8" w14:paraId="34B0DEE0" w14:textId="77777777" w:rsidTr="00DA4BD8">
        <w:tc>
          <w:tcPr>
            <w:tcW w:w="2434" w:type="dxa"/>
          </w:tcPr>
          <w:p w14:paraId="0B2C04A6" w14:textId="77777777" w:rsidR="003323F8" w:rsidRDefault="00000000">
            <w:pPr>
              <w:pStyle w:val="cTableBody"/>
              <w:spacing w:before="0" w:after="0"/>
            </w:pPr>
            <w:r>
              <w:t>SP6-05 Airspace and maritime coordination</w:t>
            </w:r>
          </w:p>
        </w:tc>
        <w:tc>
          <w:tcPr>
            <w:tcW w:w="5993" w:type="dxa"/>
          </w:tcPr>
          <w:p w14:paraId="32BB066F" w14:textId="77777777" w:rsidR="003323F8" w:rsidRDefault="00000000">
            <w:pPr>
              <w:pStyle w:val="cTableBody"/>
              <w:spacing w:before="0" w:after="0"/>
            </w:pPr>
            <w:r>
              <w:t>Notices, permits and liaison support</w:t>
            </w:r>
          </w:p>
        </w:tc>
        <w:tc>
          <w:tcPr>
            <w:tcW w:w="1437" w:type="dxa"/>
          </w:tcPr>
          <w:p w14:paraId="4BF297A8" w14:textId="77777777" w:rsidR="003323F8" w:rsidRDefault="00000000">
            <w:pPr>
              <w:pStyle w:val="cTableBody"/>
              <w:spacing w:before="0" w:after="0"/>
            </w:pPr>
            <w:r>
              <w:t>$100,000</w:t>
            </w:r>
          </w:p>
        </w:tc>
      </w:tr>
    </w:tbl>
    <w:p w14:paraId="0062FEDC" w14:textId="77777777" w:rsidR="003323F8" w:rsidRDefault="00000000">
      <w:pPr>
        <w:pStyle w:val="Heading3"/>
        <w:spacing w:before="280" w:after="280"/>
      </w:pPr>
      <w:r>
        <w:t>Phase 7: Release operations — $3.00M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61BC475D"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70D7FC56" w14:textId="77777777" w:rsidR="003323F8" w:rsidRDefault="00000000">
            <w:pPr>
              <w:pStyle w:val="cTableHeader"/>
            </w:pPr>
            <w:r>
              <w:t>Procurement package</w:t>
            </w:r>
          </w:p>
        </w:tc>
        <w:tc>
          <w:tcPr>
            <w:tcW w:w="5993" w:type="dxa"/>
          </w:tcPr>
          <w:p w14:paraId="28F854D9" w14:textId="77777777" w:rsidR="003323F8" w:rsidRDefault="00000000">
            <w:pPr>
              <w:pStyle w:val="cTableHeader"/>
            </w:pPr>
            <w:r>
              <w:t>Deliverable</w:t>
            </w:r>
          </w:p>
        </w:tc>
        <w:tc>
          <w:tcPr>
            <w:tcW w:w="1437" w:type="dxa"/>
          </w:tcPr>
          <w:p w14:paraId="59DBD662" w14:textId="77777777" w:rsidR="003323F8" w:rsidRDefault="00000000">
            <w:pPr>
              <w:pStyle w:val="cTableHeader"/>
            </w:pPr>
            <w:r>
              <w:t>Estimate</w:t>
            </w:r>
          </w:p>
        </w:tc>
      </w:tr>
      <w:tr w:rsidR="003323F8" w14:paraId="63C84195" w14:textId="77777777" w:rsidTr="00DA4BD8">
        <w:tc>
          <w:tcPr>
            <w:tcW w:w="2434" w:type="dxa"/>
          </w:tcPr>
          <w:p w14:paraId="0F0AABDB" w14:textId="77777777" w:rsidR="003323F8" w:rsidRDefault="00000000">
            <w:pPr>
              <w:pStyle w:val="cTableBody"/>
              <w:spacing w:before="0" w:after="0"/>
            </w:pPr>
            <w:r>
              <w:t>SP7-01 Generator-vessel mission order</w:t>
            </w:r>
          </w:p>
        </w:tc>
        <w:tc>
          <w:tcPr>
            <w:tcW w:w="5993" w:type="dxa"/>
          </w:tcPr>
          <w:p w14:paraId="276FA7B5" w14:textId="77777777" w:rsidR="003323F8" w:rsidRDefault="00000000">
            <w:pPr>
              <w:pStyle w:val="cTableBody"/>
              <w:spacing w:before="0" w:after="0"/>
            </w:pPr>
            <w:r>
              <w:t xml:space="preserve">Vessel, crew and multiple release/control </w:t>
            </w:r>
            <w:proofErr w:type="gramStart"/>
            <w:r>
              <w:t>runs</w:t>
            </w:r>
            <w:proofErr w:type="gramEnd"/>
          </w:p>
        </w:tc>
        <w:tc>
          <w:tcPr>
            <w:tcW w:w="1437" w:type="dxa"/>
          </w:tcPr>
          <w:p w14:paraId="0181989C" w14:textId="77777777" w:rsidR="003323F8" w:rsidRDefault="00000000">
            <w:pPr>
              <w:pStyle w:val="cTableBody"/>
              <w:spacing w:before="0" w:after="0"/>
            </w:pPr>
            <w:r>
              <w:t>$950,000</w:t>
            </w:r>
          </w:p>
        </w:tc>
      </w:tr>
      <w:tr w:rsidR="003323F8" w14:paraId="16BC6DF8" w14:textId="77777777" w:rsidTr="00DA4BD8">
        <w:tc>
          <w:tcPr>
            <w:tcW w:w="2434" w:type="dxa"/>
          </w:tcPr>
          <w:p w14:paraId="1488D1B7" w14:textId="77777777" w:rsidR="003323F8" w:rsidRDefault="00000000">
            <w:pPr>
              <w:pStyle w:val="cTableBody"/>
              <w:spacing w:before="0" w:after="0"/>
            </w:pPr>
            <w:r>
              <w:t>SP7-02 Sampling-vessel mission order</w:t>
            </w:r>
          </w:p>
        </w:tc>
        <w:tc>
          <w:tcPr>
            <w:tcW w:w="5993" w:type="dxa"/>
          </w:tcPr>
          <w:p w14:paraId="5FE21D97" w14:textId="77777777" w:rsidR="003323F8" w:rsidRDefault="00000000">
            <w:pPr>
              <w:pStyle w:val="cTableBody"/>
              <w:spacing w:before="0" w:after="0"/>
            </w:pPr>
            <w:r>
              <w:t>Downwind aerosol transects and plume interception</w:t>
            </w:r>
          </w:p>
        </w:tc>
        <w:tc>
          <w:tcPr>
            <w:tcW w:w="1437" w:type="dxa"/>
          </w:tcPr>
          <w:p w14:paraId="009607F8" w14:textId="77777777" w:rsidR="003323F8" w:rsidRDefault="00000000">
            <w:pPr>
              <w:pStyle w:val="cTableBody"/>
              <w:spacing w:before="0" w:after="0"/>
            </w:pPr>
            <w:r>
              <w:t>$700,000</w:t>
            </w:r>
          </w:p>
        </w:tc>
      </w:tr>
      <w:tr w:rsidR="003323F8" w14:paraId="05EEEC9E" w14:textId="77777777" w:rsidTr="00DA4BD8">
        <w:tc>
          <w:tcPr>
            <w:tcW w:w="2434" w:type="dxa"/>
          </w:tcPr>
          <w:p w14:paraId="55D37166" w14:textId="77777777" w:rsidR="003323F8" w:rsidRDefault="00000000">
            <w:pPr>
              <w:pStyle w:val="cTableBody"/>
              <w:spacing w:before="0" w:after="0"/>
            </w:pPr>
            <w:r>
              <w:t>SP7-03 Drone operations</w:t>
            </w:r>
          </w:p>
        </w:tc>
        <w:tc>
          <w:tcPr>
            <w:tcW w:w="5993" w:type="dxa"/>
          </w:tcPr>
          <w:p w14:paraId="2BB24523" w14:textId="77777777" w:rsidR="003323F8" w:rsidRDefault="00000000">
            <w:pPr>
              <w:pStyle w:val="cTableBody"/>
              <w:spacing w:before="0" w:after="0"/>
            </w:pPr>
            <w:r>
              <w:t>Repeated horizontal and vertical plume mapping</w:t>
            </w:r>
          </w:p>
        </w:tc>
        <w:tc>
          <w:tcPr>
            <w:tcW w:w="1437" w:type="dxa"/>
          </w:tcPr>
          <w:p w14:paraId="7113213C" w14:textId="77777777" w:rsidR="003323F8" w:rsidRDefault="00000000">
            <w:pPr>
              <w:pStyle w:val="cTableBody"/>
              <w:spacing w:before="0" w:after="0"/>
            </w:pPr>
            <w:r>
              <w:t>$450,000</w:t>
            </w:r>
          </w:p>
        </w:tc>
      </w:tr>
      <w:tr w:rsidR="003323F8" w14:paraId="0A170322" w14:textId="77777777" w:rsidTr="00DA4BD8">
        <w:tc>
          <w:tcPr>
            <w:tcW w:w="2434" w:type="dxa"/>
          </w:tcPr>
          <w:p w14:paraId="39F81994" w14:textId="77777777" w:rsidR="003323F8" w:rsidRDefault="00000000">
            <w:pPr>
              <w:pStyle w:val="cTableBody"/>
              <w:spacing w:before="0" w:after="0"/>
            </w:pPr>
            <w:r>
              <w:t>SP7-04 Lidar and coastal observing</w:t>
            </w:r>
          </w:p>
        </w:tc>
        <w:tc>
          <w:tcPr>
            <w:tcW w:w="5993" w:type="dxa"/>
          </w:tcPr>
          <w:p w14:paraId="7DFA14BC" w14:textId="77777777" w:rsidR="003323F8" w:rsidRDefault="00000000">
            <w:pPr>
              <w:pStyle w:val="cTableBody"/>
              <w:spacing w:before="0" w:after="0"/>
            </w:pPr>
            <w:r>
              <w:t>Plume location, boundary-layer height and transport</w:t>
            </w:r>
          </w:p>
        </w:tc>
        <w:tc>
          <w:tcPr>
            <w:tcW w:w="1437" w:type="dxa"/>
          </w:tcPr>
          <w:p w14:paraId="7DFA658E" w14:textId="77777777" w:rsidR="003323F8" w:rsidRDefault="00000000">
            <w:pPr>
              <w:pStyle w:val="cTableBody"/>
              <w:spacing w:before="0" w:after="0"/>
            </w:pPr>
            <w:r>
              <w:t>$300,000</w:t>
            </w:r>
          </w:p>
        </w:tc>
      </w:tr>
      <w:tr w:rsidR="003323F8" w14:paraId="1F6F1ABD" w14:textId="77777777" w:rsidTr="00DA4BD8">
        <w:tc>
          <w:tcPr>
            <w:tcW w:w="2434" w:type="dxa"/>
          </w:tcPr>
          <w:p w14:paraId="2FDFDD49" w14:textId="77777777" w:rsidR="003323F8" w:rsidRDefault="00000000">
            <w:pPr>
              <w:pStyle w:val="cTableBody"/>
              <w:spacing w:before="0" w:after="0"/>
            </w:pPr>
            <w:r>
              <w:t>SP7-05 Mission control and meteorology</w:t>
            </w:r>
          </w:p>
        </w:tc>
        <w:tc>
          <w:tcPr>
            <w:tcW w:w="5993" w:type="dxa"/>
          </w:tcPr>
          <w:p w14:paraId="3A38FA42" w14:textId="77777777" w:rsidR="003323F8" w:rsidRDefault="00000000">
            <w:pPr>
              <w:pStyle w:val="cTableBody"/>
              <w:spacing w:before="0" w:after="0"/>
            </w:pPr>
            <w:r>
              <w:t>Real-time forecasts, guidance and data display</w:t>
            </w:r>
          </w:p>
        </w:tc>
        <w:tc>
          <w:tcPr>
            <w:tcW w:w="1437" w:type="dxa"/>
          </w:tcPr>
          <w:p w14:paraId="36E58D6B" w14:textId="77777777" w:rsidR="003323F8" w:rsidRDefault="00000000">
            <w:pPr>
              <w:pStyle w:val="cTableBody"/>
              <w:spacing w:before="0" w:after="0"/>
            </w:pPr>
            <w:r>
              <w:t>$250,000</w:t>
            </w:r>
          </w:p>
        </w:tc>
      </w:tr>
      <w:tr w:rsidR="003323F8" w14:paraId="09C5387E" w14:textId="77777777" w:rsidTr="00DA4BD8">
        <w:tc>
          <w:tcPr>
            <w:tcW w:w="2434" w:type="dxa"/>
          </w:tcPr>
          <w:p w14:paraId="04618879" w14:textId="77777777" w:rsidR="003323F8" w:rsidRDefault="00000000">
            <w:pPr>
              <w:pStyle w:val="cTableBody"/>
              <w:spacing w:before="0" w:after="0"/>
            </w:pPr>
            <w:r>
              <w:t>SP7-06 Standby and weather option</w:t>
            </w:r>
          </w:p>
        </w:tc>
        <w:tc>
          <w:tcPr>
            <w:tcW w:w="5993" w:type="dxa"/>
          </w:tcPr>
          <w:p w14:paraId="2CBD4C32" w14:textId="77777777" w:rsidR="003323F8" w:rsidRDefault="00000000">
            <w:pPr>
              <w:pStyle w:val="cTableBody"/>
              <w:spacing w:before="0" w:after="0"/>
            </w:pPr>
            <w:r>
              <w:t>Reserved vessel and personnel availability</w:t>
            </w:r>
          </w:p>
        </w:tc>
        <w:tc>
          <w:tcPr>
            <w:tcW w:w="1437" w:type="dxa"/>
          </w:tcPr>
          <w:p w14:paraId="7520E384" w14:textId="77777777" w:rsidR="003323F8" w:rsidRDefault="00000000">
            <w:pPr>
              <w:pStyle w:val="cTableBody"/>
              <w:spacing w:before="0" w:after="0"/>
            </w:pPr>
            <w:r>
              <w:t>$350,000</w:t>
            </w:r>
          </w:p>
        </w:tc>
      </w:tr>
    </w:tbl>
    <w:p w14:paraId="6E14DEDC" w14:textId="77777777" w:rsidR="003323F8" w:rsidRDefault="00000000">
      <w:pPr>
        <w:pStyle w:val="Heading3"/>
        <w:spacing w:before="280" w:after="280"/>
      </w:pPr>
      <w:r>
        <w:t>Phase 8: Plume tracking — $1.80M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16CA0CE3"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31B69AC1" w14:textId="77777777" w:rsidR="003323F8" w:rsidRDefault="00000000">
            <w:pPr>
              <w:pStyle w:val="cTableHeader"/>
            </w:pPr>
            <w:r>
              <w:t>Procurement package</w:t>
            </w:r>
          </w:p>
        </w:tc>
        <w:tc>
          <w:tcPr>
            <w:tcW w:w="5993" w:type="dxa"/>
          </w:tcPr>
          <w:p w14:paraId="455BA944" w14:textId="77777777" w:rsidR="003323F8" w:rsidRDefault="00000000">
            <w:pPr>
              <w:pStyle w:val="cTableHeader"/>
            </w:pPr>
            <w:r>
              <w:t>Deliverable</w:t>
            </w:r>
          </w:p>
        </w:tc>
        <w:tc>
          <w:tcPr>
            <w:tcW w:w="1437" w:type="dxa"/>
          </w:tcPr>
          <w:p w14:paraId="687976A8" w14:textId="77777777" w:rsidR="003323F8" w:rsidRDefault="00000000">
            <w:pPr>
              <w:pStyle w:val="cTableHeader"/>
            </w:pPr>
            <w:r>
              <w:t>Estimate</w:t>
            </w:r>
          </w:p>
        </w:tc>
      </w:tr>
      <w:tr w:rsidR="003323F8" w14:paraId="3D1F20F3" w14:textId="77777777" w:rsidTr="00DA4BD8">
        <w:tc>
          <w:tcPr>
            <w:tcW w:w="2434" w:type="dxa"/>
          </w:tcPr>
          <w:p w14:paraId="605D0B9F" w14:textId="77777777" w:rsidR="003323F8" w:rsidRDefault="00000000">
            <w:pPr>
              <w:pStyle w:val="cTableBody"/>
              <w:spacing w:before="0" w:after="0"/>
            </w:pPr>
            <w:r>
              <w:t>SP8-01 Extended downwind vessel block</w:t>
            </w:r>
          </w:p>
        </w:tc>
        <w:tc>
          <w:tcPr>
            <w:tcW w:w="5993" w:type="dxa"/>
          </w:tcPr>
          <w:p w14:paraId="6C93C493" w14:textId="77777777" w:rsidR="003323F8" w:rsidRDefault="00000000">
            <w:pPr>
              <w:pStyle w:val="cTableBody"/>
              <w:spacing w:before="0" w:after="0"/>
            </w:pPr>
            <w:r>
              <w:t>Longer-range plume searches and deposition sampling</w:t>
            </w:r>
          </w:p>
        </w:tc>
        <w:tc>
          <w:tcPr>
            <w:tcW w:w="1437" w:type="dxa"/>
          </w:tcPr>
          <w:p w14:paraId="7BE9383B" w14:textId="77777777" w:rsidR="003323F8" w:rsidRDefault="00000000">
            <w:pPr>
              <w:pStyle w:val="cTableBody"/>
              <w:spacing w:before="0" w:after="0"/>
            </w:pPr>
            <w:r>
              <w:t>$600,000</w:t>
            </w:r>
          </w:p>
        </w:tc>
      </w:tr>
      <w:tr w:rsidR="003323F8" w14:paraId="1101F365" w14:textId="77777777" w:rsidTr="00DA4BD8">
        <w:tc>
          <w:tcPr>
            <w:tcW w:w="2434" w:type="dxa"/>
          </w:tcPr>
          <w:p w14:paraId="6E3FEB4F" w14:textId="77777777" w:rsidR="003323F8" w:rsidRDefault="00000000">
            <w:pPr>
              <w:pStyle w:val="cTableBody"/>
              <w:spacing w:before="0" w:after="0"/>
            </w:pPr>
            <w:r>
              <w:t>SP8-02 Aircraft or long-range drone option</w:t>
            </w:r>
          </w:p>
        </w:tc>
        <w:tc>
          <w:tcPr>
            <w:tcW w:w="5993" w:type="dxa"/>
          </w:tcPr>
          <w:p w14:paraId="25331828" w14:textId="77777777" w:rsidR="003323F8" w:rsidRDefault="00000000">
            <w:pPr>
              <w:pStyle w:val="cTableBody"/>
              <w:spacing w:before="0" w:after="0"/>
            </w:pPr>
            <w:r>
              <w:t>Cloud-base-height and regional plume sampling</w:t>
            </w:r>
          </w:p>
        </w:tc>
        <w:tc>
          <w:tcPr>
            <w:tcW w:w="1437" w:type="dxa"/>
          </w:tcPr>
          <w:p w14:paraId="34328415" w14:textId="77777777" w:rsidR="003323F8" w:rsidRDefault="00000000">
            <w:pPr>
              <w:pStyle w:val="cTableBody"/>
              <w:spacing w:before="0" w:after="0"/>
            </w:pPr>
            <w:r>
              <w:t>$450,000</w:t>
            </w:r>
          </w:p>
        </w:tc>
      </w:tr>
      <w:tr w:rsidR="003323F8" w14:paraId="3040844D" w14:textId="77777777" w:rsidTr="00DA4BD8">
        <w:tc>
          <w:tcPr>
            <w:tcW w:w="2434" w:type="dxa"/>
          </w:tcPr>
          <w:p w14:paraId="12E33466" w14:textId="77777777" w:rsidR="003323F8" w:rsidRDefault="00000000">
            <w:pPr>
              <w:pStyle w:val="cTableBody"/>
              <w:spacing w:before="0" w:after="0"/>
            </w:pPr>
            <w:r>
              <w:t>SP8-03 Distributed balloon/drone profiles</w:t>
            </w:r>
          </w:p>
        </w:tc>
        <w:tc>
          <w:tcPr>
            <w:tcW w:w="5993" w:type="dxa"/>
          </w:tcPr>
          <w:p w14:paraId="315DE434" w14:textId="77777777" w:rsidR="003323F8" w:rsidRDefault="00000000">
            <w:pPr>
              <w:pStyle w:val="cTableBody"/>
              <w:spacing w:before="0" w:after="0"/>
            </w:pPr>
            <w:r>
              <w:t>Vertical transport and plume dilution</w:t>
            </w:r>
          </w:p>
        </w:tc>
        <w:tc>
          <w:tcPr>
            <w:tcW w:w="1437" w:type="dxa"/>
          </w:tcPr>
          <w:p w14:paraId="7A086CBD" w14:textId="77777777" w:rsidR="003323F8" w:rsidRDefault="00000000">
            <w:pPr>
              <w:pStyle w:val="cTableBody"/>
              <w:spacing w:before="0" w:after="0"/>
            </w:pPr>
            <w:r>
              <w:t>$250,000</w:t>
            </w:r>
          </w:p>
        </w:tc>
      </w:tr>
      <w:tr w:rsidR="003323F8" w14:paraId="60A5DD80" w14:textId="77777777" w:rsidTr="00DA4BD8">
        <w:tc>
          <w:tcPr>
            <w:tcW w:w="2434" w:type="dxa"/>
          </w:tcPr>
          <w:p w14:paraId="36203858" w14:textId="77777777" w:rsidR="003323F8" w:rsidRDefault="00000000">
            <w:pPr>
              <w:pStyle w:val="cTableBody"/>
              <w:spacing w:before="0" w:after="0"/>
            </w:pPr>
            <w:r>
              <w:t>SP8-04 Trajectory data assimilation</w:t>
            </w:r>
          </w:p>
        </w:tc>
        <w:tc>
          <w:tcPr>
            <w:tcW w:w="5993" w:type="dxa"/>
          </w:tcPr>
          <w:p w14:paraId="0D1E4E8E" w14:textId="77777777" w:rsidR="003323F8" w:rsidRDefault="00000000">
            <w:pPr>
              <w:pStyle w:val="cTableBody"/>
              <w:spacing w:before="0" w:after="0"/>
            </w:pPr>
            <w:r>
              <w:t>Updated plume location and uncertainty envelope</w:t>
            </w:r>
          </w:p>
        </w:tc>
        <w:tc>
          <w:tcPr>
            <w:tcW w:w="1437" w:type="dxa"/>
          </w:tcPr>
          <w:p w14:paraId="5EB8551B" w14:textId="77777777" w:rsidR="003323F8" w:rsidRDefault="00000000">
            <w:pPr>
              <w:pStyle w:val="cTableBody"/>
              <w:spacing w:before="0" w:after="0"/>
            </w:pPr>
            <w:r>
              <w:t>$300,000</w:t>
            </w:r>
          </w:p>
        </w:tc>
      </w:tr>
      <w:tr w:rsidR="003323F8" w14:paraId="57F8DDD7" w14:textId="77777777" w:rsidTr="00DA4BD8">
        <w:tc>
          <w:tcPr>
            <w:tcW w:w="2434" w:type="dxa"/>
          </w:tcPr>
          <w:p w14:paraId="562F5888" w14:textId="77777777" w:rsidR="003323F8" w:rsidRDefault="00000000">
            <w:pPr>
              <w:pStyle w:val="cTableBody"/>
              <w:spacing w:before="0" w:after="0"/>
            </w:pPr>
            <w:r>
              <w:t>SP8-05 Deposition network</w:t>
            </w:r>
          </w:p>
        </w:tc>
        <w:tc>
          <w:tcPr>
            <w:tcW w:w="5993" w:type="dxa"/>
          </w:tcPr>
          <w:p w14:paraId="71643BDC" w14:textId="77777777" w:rsidR="003323F8" w:rsidRDefault="00000000">
            <w:pPr>
              <w:pStyle w:val="cTableBody"/>
              <w:spacing w:before="0" w:after="0"/>
            </w:pPr>
            <w:r>
              <w:t>Ocean, vessel and coastal deposition measurements</w:t>
            </w:r>
          </w:p>
        </w:tc>
        <w:tc>
          <w:tcPr>
            <w:tcW w:w="1437" w:type="dxa"/>
          </w:tcPr>
          <w:p w14:paraId="2D595AB0" w14:textId="77777777" w:rsidR="003323F8" w:rsidRDefault="00000000">
            <w:pPr>
              <w:pStyle w:val="cTableBody"/>
              <w:spacing w:before="0" w:after="0"/>
            </w:pPr>
            <w:r>
              <w:t>$200,000</w:t>
            </w:r>
          </w:p>
        </w:tc>
      </w:tr>
    </w:tbl>
    <w:p w14:paraId="01635B06" w14:textId="77777777" w:rsidR="003323F8" w:rsidRDefault="00000000">
      <w:pPr>
        <w:pStyle w:val="Heading3"/>
        <w:spacing w:before="280" w:after="280"/>
      </w:pPr>
      <w:r>
        <w:t>Phase 9: Data and laboratory analysis — $3.10M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4BA18FDA"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5BA7A775" w14:textId="77777777" w:rsidR="003323F8" w:rsidRDefault="00000000">
            <w:pPr>
              <w:pStyle w:val="cTableHeader"/>
            </w:pPr>
            <w:r>
              <w:t>Procurement package</w:t>
            </w:r>
          </w:p>
        </w:tc>
        <w:tc>
          <w:tcPr>
            <w:tcW w:w="5993" w:type="dxa"/>
          </w:tcPr>
          <w:p w14:paraId="49D008C6" w14:textId="77777777" w:rsidR="003323F8" w:rsidRDefault="00000000">
            <w:pPr>
              <w:pStyle w:val="cTableHeader"/>
            </w:pPr>
            <w:r>
              <w:t>Deliverable</w:t>
            </w:r>
          </w:p>
        </w:tc>
        <w:tc>
          <w:tcPr>
            <w:tcW w:w="1437" w:type="dxa"/>
          </w:tcPr>
          <w:p w14:paraId="4CED6DFE" w14:textId="77777777" w:rsidR="003323F8" w:rsidRDefault="00000000">
            <w:pPr>
              <w:pStyle w:val="cTableHeader"/>
            </w:pPr>
            <w:r>
              <w:t>Estimate</w:t>
            </w:r>
          </w:p>
        </w:tc>
      </w:tr>
      <w:tr w:rsidR="003323F8" w14:paraId="6BE0091A" w14:textId="77777777" w:rsidTr="00DA4BD8">
        <w:tc>
          <w:tcPr>
            <w:tcW w:w="2434" w:type="dxa"/>
          </w:tcPr>
          <w:p w14:paraId="10186B3A" w14:textId="77777777" w:rsidR="003323F8" w:rsidRDefault="00000000">
            <w:pPr>
              <w:pStyle w:val="cTableBody"/>
              <w:spacing w:before="0" w:after="0"/>
            </w:pPr>
            <w:r>
              <w:t>SP9-01 Particle survival and activation analysis</w:t>
            </w:r>
          </w:p>
        </w:tc>
        <w:tc>
          <w:tcPr>
            <w:tcW w:w="5993" w:type="dxa"/>
          </w:tcPr>
          <w:p w14:paraId="13D6390F" w14:textId="77777777" w:rsidR="003323F8" w:rsidRDefault="00000000">
            <w:pPr>
              <w:pStyle w:val="cTableBody"/>
              <w:spacing w:before="0" w:after="0"/>
            </w:pPr>
            <w:r>
              <w:t>Useful particle number versus distance, height and time</w:t>
            </w:r>
          </w:p>
        </w:tc>
        <w:tc>
          <w:tcPr>
            <w:tcW w:w="1437" w:type="dxa"/>
          </w:tcPr>
          <w:p w14:paraId="1C57B5A4" w14:textId="77777777" w:rsidR="003323F8" w:rsidRDefault="00000000">
            <w:pPr>
              <w:pStyle w:val="cTableBody"/>
              <w:spacing w:before="0" w:after="0"/>
            </w:pPr>
            <w:r>
              <w:t>$600,000</w:t>
            </w:r>
          </w:p>
        </w:tc>
      </w:tr>
      <w:tr w:rsidR="003323F8" w14:paraId="0B044B4C" w14:textId="77777777" w:rsidTr="00DA4BD8">
        <w:tc>
          <w:tcPr>
            <w:tcW w:w="2434" w:type="dxa"/>
          </w:tcPr>
          <w:p w14:paraId="0CCA10F3" w14:textId="77777777" w:rsidR="003323F8" w:rsidRDefault="00000000">
            <w:pPr>
              <w:pStyle w:val="cTableBody"/>
              <w:spacing w:before="0" w:after="0"/>
            </w:pPr>
            <w:r>
              <w:t>SP9-02 Plume microphysics analysis</w:t>
            </w:r>
          </w:p>
        </w:tc>
        <w:tc>
          <w:tcPr>
            <w:tcW w:w="5993" w:type="dxa"/>
          </w:tcPr>
          <w:p w14:paraId="3EF90056" w14:textId="77777777" w:rsidR="003323F8" w:rsidRDefault="00000000">
            <w:pPr>
              <w:pStyle w:val="cTableBody"/>
              <w:spacing w:before="0" w:after="0"/>
            </w:pPr>
            <w:r>
              <w:t>Evaporation, crystallization, coagulation and entrainment</w:t>
            </w:r>
          </w:p>
        </w:tc>
        <w:tc>
          <w:tcPr>
            <w:tcW w:w="1437" w:type="dxa"/>
          </w:tcPr>
          <w:p w14:paraId="718EB6B6" w14:textId="77777777" w:rsidR="003323F8" w:rsidRDefault="00000000">
            <w:pPr>
              <w:pStyle w:val="cTableBody"/>
              <w:spacing w:before="0" w:after="0"/>
            </w:pPr>
            <w:r>
              <w:t>$600,000</w:t>
            </w:r>
          </w:p>
        </w:tc>
      </w:tr>
      <w:tr w:rsidR="003323F8" w14:paraId="23FA869A" w14:textId="77777777" w:rsidTr="00DA4BD8">
        <w:tc>
          <w:tcPr>
            <w:tcW w:w="2434" w:type="dxa"/>
          </w:tcPr>
          <w:p w14:paraId="3EC95ABB" w14:textId="77777777" w:rsidR="003323F8" w:rsidRDefault="00000000">
            <w:pPr>
              <w:pStyle w:val="cTableBody"/>
              <w:spacing w:before="0" w:after="0"/>
            </w:pPr>
            <w:r>
              <w:t>SP9-03 Vertical transport and source inversion</w:t>
            </w:r>
          </w:p>
        </w:tc>
        <w:tc>
          <w:tcPr>
            <w:tcW w:w="5993" w:type="dxa"/>
          </w:tcPr>
          <w:p w14:paraId="4DAA93A5" w14:textId="77777777" w:rsidR="003323F8" w:rsidRDefault="00000000">
            <w:pPr>
              <w:pStyle w:val="cTableBody"/>
              <w:spacing w:before="0" w:after="0"/>
            </w:pPr>
            <w:r>
              <w:t>Cloud-base delivery fraction and reconstructed source</w:t>
            </w:r>
          </w:p>
        </w:tc>
        <w:tc>
          <w:tcPr>
            <w:tcW w:w="1437" w:type="dxa"/>
          </w:tcPr>
          <w:p w14:paraId="23EF075F" w14:textId="77777777" w:rsidR="003323F8" w:rsidRDefault="00000000">
            <w:pPr>
              <w:pStyle w:val="cTableBody"/>
              <w:spacing w:before="0" w:after="0"/>
            </w:pPr>
            <w:r>
              <w:t>$500,000</w:t>
            </w:r>
          </w:p>
        </w:tc>
      </w:tr>
      <w:tr w:rsidR="003323F8" w14:paraId="60D0E884" w14:textId="77777777" w:rsidTr="00DA4BD8">
        <w:tc>
          <w:tcPr>
            <w:tcW w:w="2434" w:type="dxa"/>
          </w:tcPr>
          <w:p w14:paraId="5D0A9989" w14:textId="77777777" w:rsidR="003323F8" w:rsidRDefault="00000000">
            <w:pPr>
              <w:pStyle w:val="cTableBody"/>
              <w:spacing w:before="0" w:after="0"/>
            </w:pPr>
            <w:r>
              <w:t>SP9-04 Composition and deposition laboratory work</w:t>
            </w:r>
          </w:p>
        </w:tc>
        <w:tc>
          <w:tcPr>
            <w:tcW w:w="5993" w:type="dxa"/>
          </w:tcPr>
          <w:p w14:paraId="7AB10391" w14:textId="77777777" w:rsidR="003323F8" w:rsidRDefault="00000000">
            <w:pPr>
              <w:pStyle w:val="cTableBody"/>
              <w:spacing w:before="0" w:after="0"/>
            </w:pPr>
            <w:r>
              <w:t>Salt, organics, contamination and deposition</w:t>
            </w:r>
          </w:p>
        </w:tc>
        <w:tc>
          <w:tcPr>
            <w:tcW w:w="1437" w:type="dxa"/>
          </w:tcPr>
          <w:p w14:paraId="73E2D9F8" w14:textId="77777777" w:rsidR="003323F8" w:rsidRDefault="00000000">
            <w:pPr>
              <w:pStyle w:val="cTableBody"/>
              <w:spacing w:before="0" w:after="0"/>
            </w:pPr>
            <w:r>
              <w:t>$350,000</w:t>
            </w:r>
          </w:p>
        </w:tc>
      </w:tr>
      <w:tr w:rsidR="003323F8" w14:paraId="1578DFC7" w14:textId="77777777" w:rsidTr="00DA4BD8">
        <w:tc>
          <w:tcPr>
            <w:tcW w:w="2434" w:type="dxa"/>
          </w:tcPr>
          <w:p w14:paraId="4974FFAC" w14:textId="77777777" w:rsidR="003323F8" w:rsidRDefault="00000000">
            <w:pPr>
              <w:pStyle w:val="cTableBody"/>
              <w:spacing w:before="0" w:after="0"/>
            </w:pPr>
            <w:r>
              <w:t>SP9-05 University science subawards</w:t>
            </w:r>
          </w:p>
        </w:tc>
        <w:tc>
          <w:tcPr>
            <w:tcW w:w="5993" w:type="dxa"/>
          </w:tcPr>
          <w:p w14:paraId="28813CA8" w14:textId="77777777" w:rsidR="003323F8" w:rsidRDefault="00000000">
            <w:pPr>
              <w:pStyle w:val="cTableBody"/>
              <w:spacing w:before="0" w:after="0"/>
            </w:pPr>
            <w:r>
              <w:t>PI, postdoctoral and graduate analysis</w:t>
            </w:r>
          </w:p>
        </w:tc>
        <w:tc>
          <w:tcPr>
            <w:tcW w:w="1437" w:type="dxa"/>
          </w:tcPr>
          <w:p w14:paraId="0100C457" w14:textId="77777777" w:rsidR="003323F8" w:rsidRDefault="00000000">
            <w:pPr>
              <w:pStyle w:val="cTableBody"/>
              <w:spacing w:before="0" w:after="0"/>
            </w:pPr>
            <w:r>
              <w:t>$650,000</w:t>
            </w:r>
          </w:p>
        </w:tc>
      </w:tr>
      <w:tr w:rsidR="003323F8" w14:paraId="1A454BE3" w14:textId="77777777" w:rsidTr="00DA4BD8">
        <w:tc>
          <w:tcPr>
            <w:tcW w:w="2434" w:type="dxa"/>
          </w:tcPr>
          <w:p w14:paraId="592D822D" w14:textId="77777777" w:rsidR="003323F8" w:rsidRDefault="00000000">
            <w:pPr>
              <w:pStyle w:val="cTableBody"/>
              <w:spacing w:before="0" w:after="0"/>
            </w:pPr>
            <w:r>
              <w:t>SP9-06 Computing, archive and quality control</w:t>
            </w:r>
          </w:p>
        </w:tc>
        <w:tc>
          <w:tcPr>
            <w:tcW w:w="5993" w:type="dxa"/>
          </w:tcPr>
          <w:p w14:paraId="41E7D61F" w14:textId="77777777" w:rsidR="003323F8" w:rsidRDefault="00000000">
            <w:pPr>
              <w:pStyle w:val="cTableBody"/>
              <w:spacing w:before="0" w:after="0"/>
            </w:pPr>
            <w:r>
              <w:t>Processing, uncertainty, metadata and synchronized dataset</w:t>
            </w:r>
          </w:p>
        </w:tc>
        <w:tc>
          <w:tcPr>
            <w:tcW w:w="1437" w:type="dxa"/>
          </w:tcPr>
          <w:p w14:paraId="760E3647" w14:textId="77777777" w:rsidR="003323F8" w:rsidRDefault="00000000">
            <w:pPr>
              <w:pStyle w:val="cTableBody"/>
              <w:spacing w:before="0" w:after="0"/>
            </w:pPr>
            <w:r>
              <w:t>$400,000</w:t>
            </w:r>
          </w:p>
        </w:tc>
      </w:tr>
    </w:tbl>
    <w:p w14:paraId="6F7D144F" w14:textId="77777777" w:rsidR="003323F8" w:rsidRDefault="00000000">
      <w:pPr>
        <w:pStyle w:val="Heading3"/>
        <w:spacing w:before="100" w:after="100"/>
      </w:pPr>
      <w:r>
        <w:t>Phase 10: Independent evaluation — $0.70M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5E2B7D07"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2C811A87" w14:textId="77777777" w:rsidR="003323F8" w:rsidRDefault="00000000">
            <w:pPr>
              <w:pStyle w:val="cTableHeader"/>
              <w:keepNext/>
            </w:pPr>
            <w:r>
              <w:t>Procurement package</w:t>
            </w:r>
          </w:p>
        </w:tc>
        <w:tc>
          <w:tcPr>
            <w:tcW w:w="5993" w:type="dxa"/>
          </w:tcPr>
          <w:p w14:paraId="6FE38262" w14:textId="77777777" w:rsidR="003323F8" w:rsidRDefault="00000000">
            <w:pPr>
              <w:pStyle w:val="cTableHeader"/>
              <w:keepNext/>
            </w:pPr>
            <w:r>
              <w:t>Deliverable</w:t>
            </w:r>
          </w:p>
        </w:tc>
        <w:tc>
          <w:tcPr>
            <w:tcW w:w="1437" w:type="dxa"/>
          </w:tcPr>
          <w:p w14:paraId="060DE589" w14:textId="77777777" w:rsidR="003323F8" w:rsidRDefault="00000000">
            <w:pPr>
              <w:pStyle w:val="cTableHeader"/>
              <w:keepNext/>
            </w:pPr>
            <w:r>
              <w:t>Estimate</w:t>
            </w:r>
          </w:p>
        </w:tc>
      </w:tr>
      <w:tr w:rsidR="003323F8" w14:paraId="567179C9" w14:textId="77777777" w:rsidTr="00DA4BD8">
        <w:tc>
          <w:tcPr>
            <w:tcW w:w="2434" w:type="dxa"/>
          </w:tcPr>
          <w:p w14:paraId="45686197" w14:textId="77777777" w:rsidR="003323F8" w:rsidRDefault="00000000">
            <w:pPr>
              <w:pStyle w:val="cTableBody"/>
              <w:keepNext/>
              <w:spacing w:before="0" w:after="0"/>
            </w:pPr>
            <w:r>
              <w:t>SP10-01 Data-quality audit</w:t>
            </w:r>
          </w:p>
        </w:tc>
        <w:tc>
          <w:tcPr>
            <w:tcW w:w="5993" w:type="dxa"/>
          </w:tcPr>
          <w:p w14:paraId="5074B4D9" w14:textId="77777777" w:rsidR="003323F8" w:rsidRDefault="00000000">
            <w:pPr>
              <w:pStyle w:val="cTableBody"/>
              <w:keepNext/>
              <w:spacing w:before="0" w:after="0"/>
            </w:pPr>
            <w:r>
              <w:t>Calibration, completeness and exclusion audit</w:t>
            </w:r>
          </w:p>
        </w:tc>
        <w:tc>
          <w:tcPr>
            <w:tcW w:w="1437" w:type="dxa"/>
          </w:tcPr>
          <w:p w14:paraId="284ABE41" w14:textId="77777777" w:rsidR="003323F8" w:rsidRDefault="00000000">
            <w:pPr>
              <w:pStyle w:val="cTableBody"/>
              <w:keepNext/>
              <w:spacing w:before="0" w:after="0"/>
            </w:pPr>
            <w:r>
              <w:t>$200,000</w:t>
            </w:r>
          </w:p>
        </w:tc>
      </w:tr>
      <w:tr w:rsidR="003323F8" w14:paraId="5EDF12C2" w14:textId="77777777" w:rsidTr="00DA4BD8">
        <w:tc>
          <w:tcPr>
            <w:tcW w:w="2434" w:type="dxa"/>
          </w:tcPr>
          <w:p w14:paraId="5A59FA5F" w14:textId="77777777" w:rsidR="003323F8" w:rsidRDefault="00000000">
            <w:pPr>
              <w:pStyle w:val="cTableBody"/>
              <w:spacing w:before="0" w:after="0"/>
            </w:pPr>
            <w:r>
              <w:t>SP10-02 Blinded model challenge</w:t>
            </w:r>
          </w:p>
        </w:tc>
        <w:tc>
          <w:tcPr>
            <w:tcW w:w="5993" w:type="dxa"/>
          </w:tcPr>
          <w:p w14:paraId="48E6ECFF" w14:textId="77777777" w:rsidR="003323F8" w:rsidRDefault="00000000">
            <w:pPr>
              <w:pStyle w:val="cTableBody"/>
              <w:spacing w:before="0" w:after="0"/>
            </w:pPr>
            <w:r>
              <w:t>Predictions against withheld plume observations</w:t>
            </w:r>
          </w:p>
        </w:tc>
        <w:tc>
          <w:tcPr>
            <w:tcW w:w="1437" w:type="dxa"/>
          </w:tcPr>
          <w:p w14:paraId="5E1ECE59" w14:textId="77777777" w:rsidR="003323F8" w:rsidRDefault="00000000">
            <w:pPr>
              <w:pStyle w:val="cTableBody"/>
              <w:spacing w:before="0" w:after="0"/>
            </w:pPr>
            <w:r>
              <w:t>$250,000</w:t>
            </w:r>
          </w:p>
        </w:tc>
      </w:tr>
      <w:tr w:rsidR="003323F8" w14:paraId="24F1629D" w14:textId="77777777" w:rsidTr="00DA4BD8">
        <w:tc>
          <w:tcPr>
            <w:tcW w:w="2434" w:type="dxa"/>
          </w:tcPr>
          <w:p w14:paraId="2EDF81EE" w14:textId="77777777" w:rsidR="003323F8" w:rsidRDefault="00000000">
            <w:pPr>
              <w:pStyle w:val="cTableBody"/>
              <w:spacing w:before="0" w:after="0"/>
            </w:pPr>
            <w:r>
              <w:t>SP10-03 Public repository</w:t>
            </w:r>
          </w:p>
        </w:tc>
        <w:tc>
          <w:tcPr>
            <w:tcW w:w="5993" w:type="dxa"/>
          </w:tcPr>
          <w:p w14:paraId="4F885F0D" w14:textId="77777777" w:rsidR="003323F8" w:rsidRDefault="00000000">
            <w:pPr>
              <w:pStyle w:val="cTableBody"/>
              <w:spacing w:before="0" w:after="0"/>
            </w:pPr>
            <w:r>
              <w:t>Data, code, generator settings and documentation</w:t>
            </w:r>
          </w:p>
        </w:tc>
        <w:tc>
          <w:tcPr>
            <w:tcW w:w="1437" w:type="dxa"/>
          </w:tcPr>
          <w:p w14:paraId="3DB35C86" w14:textId="77777777" w:rsidR="003323F8" w:rsidRDefault="00000000">
            <w:pPr>
              <w:pStyle w:val="cTableBody"/>
              <w:spacing w:before="0" w:after="0"/>
            </w:pPr>
            <w:r>
              <w:t>$150,000</w:t>
            </w:r>
          </w:p>
        </w:tc>
      </w:tr>
      <w:tr w:rsidR="003323F8" w14:paraId="3BC59422" w14:textId="77777777" w:rsidTr="00DA4BD8">
        <w:tc>
          <w:tcPr>
            <w:tcW w:w="2434" w:type="dxa"/>
          </w:tcPr>
          <w:p w14:paraId="5B60E405" w14:textId="77777777" w:rsidR="003323F8" w:rsidRDefault="00000000">
            <w:pPr>
              <w:pStyle w:val="cTableBody"/>
              <w:spacing w:before="0" w:after="0"/>
            </w:pPr>
            <w:r>
              <w:t>SP10-04 Review workshop</w:t>
            </w:r>
          </w:p>
        </w:tc>
        <w:tc>
          <w:tcPr>
            <w:tcW w:w="5993" w:type="dxa"/>
          </w:tcPr>
          <w:p w14:paraId="2F187C7E" w14:textId="77777777" w:rsidR="003323F8" w:rsidRDefault="00000000">
            <w:pPr>
              <w:pStyle w:val="cTableBody"/>
              <w:spacing w:before="0" w:after="0"/>
            </w:pPr>
            <w:r>
              <w:t>External review and final campaign report</w:t>
            </w:r>
          </w:p>
        </w:tc>
        <w:tc>
          <w:tcPr>
            <w:tcW w:w="1437" w:type="dxa"/>
          </w:tcPr>
          <w:p w14:paraId="596CBE18" w14:textId="77777777" w:rsidR="003323F8" w:rsidRDefault="00000000">
            <w:pPr>
              <w:pStyle w:val="cTableBody"/>
              <w:spacing w:before="0" w:after="0"/>
            </w:pPr>
            <w:r>
              <w:t>$100,000</w:t>
            </w:r>
          </w:p>
        </w:tc>
      </w:tr>
    </w:tbl>
    <w:p w14:paraId="25D0A808" w14:textId="77777777" w:rsidR="003323F8" w:rsidRDefault="00000000">
      <w:pPr>
        <w:pStyle w:val="Heading3"/>
        <w:spacing w:before="280" w:after="280"/>
      </w:pPr>
      <w:r>
        <w:t>Phase 11: Prepriced campaign recovery options — $2.40M</w:t>
      </w:r>
    </w:p>
    <w:tbl>
      <w:tblPr>
        <w:tblStyle w:val="gswTableStyle"/>
        <w:tblW w:w="9864" w:type="dxa"/>
        <w:tblLayout w:type="fixed"/>
        <w:tblLook w:val="04A0" w:firstRow="1" w:lastRow="0" w:firstColumn="1" w:lastColumn="0" w:noHBand="0" w:noVBand="1"/>
      </w:tblPr>
      <w:tblGrid>
        <w:gridCol w:w="2434"/>
        <w:gridCol w:w="5992"/>
        <w:gridCol w:w="1438"/>
      </w:tblGrid>
      <w:tr w:rsidR="003323F8" w14:paraId="0AE7C2F7"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50CAFFEA" w14:textId="77777777" w:rsidR="003323F8" w:rsidRDefault="00000000">
            <w:pPr>
              <w:pStyle w:val="cTableHeader"/>
            </w:pPr>
            <w:r>
              <w:t>Procurement package</w:t>
            </w:r>
          </w:p>
        </w:tc>
        <w:tc>
          <w:tcPr>
            <w:tcW w:w="5992" w:type="dxa"/>
          </w:tcPr>
          <w:p w14:paraId="16C89904" w14:textId="77777777" w:rsidR="003323F8" w:rsidRDefault="00000000">
            <w:pPr>
              <w:pStyle w:val="cTableHeader"/>
            </w:pPr>
            <w:r>
              <w:t>Deliverable</w:t>
            </w:r>
          </w:p>
        </w:tc>
        <w:tc>
          <w:tcPr>
            <w:tcW w:w="1438" w:type="dxa"/>
          </w:tcPr>
          <w:p w14:paraId="28A2DC3C" w14:textId="77777777" w:rsidR="003323F8" w:rsidRDefault="00000000">
            <w:pPr>
              <w:pStyle w:val="cTableHeader"/>
            </w:pPr>
            <w:r>
              <w:t>Estimate</w:t>
            </w:r>
          </w:p>
        </w:tc>
      </w:tr>
      <w:tr w:rsidR="003323F8" w14:paraId="197A0974" w14:textId="77777777" w:rsidTr="00DA4BD8">
        <w:tc>
          <w:tcPr>
            <w:tcW w:w="2434" w:type="dxa"/>
          </w:tcPr>
          <w:p w14:paraId="782F370C" w14:textId="77777777" w:rsidR="003323F8" w:rsidRDefault="00000000">
            <w:pPr>
              <w:pStyle w:val="cTableBody"/>
              <w:spacing w:before="0" w:after="0"/>
            </w:pPr>
            <w:r>
              <w:t>SP11-01 Prepriced campaign recovery option</w:t>
            </w:r>
          </w:p>
        </w:tc>
        <w:tc>
          <w:tcPr>
            <w:tcW w:w="5992" w:type="dxa"/>
          </w:tcPr>
          <w:p w14:paraId="465FC5D7" w14:textId="77777777" w:rsidR="003323F8" w:rsidRDefault="00000000">
            <w:pPr>
              <w:pStyle w:val="cTableBody"/>
              <w:spacing w:before="0" w:after="0"/>
            </w:pPr>
            <w:r>
              <w:t>Approved technical or schedule recovery within the campaign ceiling</w:t>
            </w:r>
          </w:p>
        </w:tc>
        <w:tc>
          <w:tcPr>
            <w:tcW w:w="1438" w:type="dxa"/>
          </w:tcPr>
          <w:p w14:paraId="633593F5" w14:textId="77777777" w:rsidR="003323F8" w:rsidRDefault="00000000">
            <w:pPr>
              <w:pStyle w:val="cTableBody"/>
              <w:spacing w:before="0" w:after="0"/>
            </w:pPr>
            <w:r>
              <w:t>$1,000,000</w:t>
            </w:r>
          </w:p>
        </w:tc>
      </w:tr>
      <w:tr w:rsidR="003323F8" w14:paraId="3C4541C2" w14:textId="77777777" w:rsidTr="00DA4BD8">
        <w:tc>
          <w:tcPr>
            <w:tcW w:w="2434" w:type="dxa"/>
          </w:tcPr>
          <w:p w14:paraId="79C96CBF" w14:textId="77777777" w:rsidR="003323F8" w:rsidRDefault="00000000">
            <w:pPr>
              <w:pStyle w:val="cTableBody"/>
              <w:spacing w:before="0" w:after="0"/>
            </w:pPr>
            <w:r>
              <w:t>SP11-02 Replacement vessel or weather days</w:t>
            </w:r>
          </w:p>
        </w:tc>
        <w:tc>
          <w:tcPr>
            <w:tcW w:w="5992" w:type="dxa"/>
          </w:tcPr>
          <w:p w14:paraId="3F5DD1C6" w14:textId="77777777" w:rsidR="003323F8" w:rsidRDefault="00000000">
            <w:pPr>
              <w:pStyle w:val="cTableBody"/>
              <w:spacing w:before="0" w:after="0"/>
            </w:pPr>
            <w:r>
              <w:t>Missed plume, weather or mechanical downtime</w:t>
            </w:r>
          </w:p>
        </w:tc>
        <w:tc>
          <w:tcPr>
            <w:tcW w:w="1438" w:type="dxa"/>
          </w:tcPr>
          <w:p w14:paraId="0D457279" w14:textId="77777777" w:rsidR="003323F8" w:rsidRDefault="00000000">
            <w:pPr>
              <w:pStyle w:val="cTableBody"/>
              <w:spacing w:before="0" w:after="0"/>
            </w:pPr>
            <w:r>
              <w:t>$700,000</w:t>
            </w:r>
          </w:p>
        </w:tc>
      </w:tr>
      <w:tr w:rsidR="003323F8" w14:paraId="0C3CD5C3" w14:textId="77777777" w:rsidTr="00DA4BD8">
        <w:tc>
          <w:tcPr>
            <w:tcW w:w="2434" w:type="dxa"/>
          </w:tcPr>
          <w:p w14:paraId="47F872FD" w14:textId="77777777" w:rsidR="003323F8" w:rsidRDefault="00000000">
            <w:pPr>
              <w:pStyle w:val="cTableBody"/>
              <w:spacing w:before="0" w:after="0"/>
            </w:pPr>
            <w:r>
              <w:t>SP11-03 Generator and instrument repair options</w:t>
            </w:r>
          </w:p>
        </w:tc>
        <w:tc>
          <w:tcPr>
            <w:tcW w:w="5992" w:type="dxa"/>
          </w:tcPr>
          <w:p w14:paraId="216020A4" w14:textId="77777777" w:rsidR="003323F8" w:rsidRDefault="00000000">
            <w:pPr>
              <w:pStyle w:val="cTableBody"/>
              <w:spacing w:before="0" w:after="0"/>
            </w:pPr>
            <w:r>
              <w:t>Replacement nozzles, pumps, sensors and calibration</w:t>
            </w:r>
          </w:p>
        </w:tc>
        <w:tc>
          <w:tcPr>
            <w:tcW w:w="1438" w:type="dxa"/>
          </w:tcPr>
          <w:p w14:paraId="7FD0E70D" w14:textId="77777777" w:rsidR="003323F8" w:rsidRDefault="00000000">
            <w:pPr>
              <w:pStyle w:val="cTableBody"/>
              <w:spacing w:before="0" w:after="0"/>
            </w:pPr>
            <w:r>
              <w:t>$450,000</w:t>
            </w:r>
          </w:p>
        </w:tc>
      </w:tr>
      <w:tr w:rsidR="003323F8" w14:paraId="3B8CC55F" w14:textId="77777777" w:rsidTr="00DA4BD8">
        <w:tc>
          <w:tcPr>
            <w:tcW w:w="2434" w:type="dxa"/>
          </w:tcPr>
          <w:p w14:paraId="14E14D05" w14:textId="77777777" w:rsidR="003323F8" w:rsidRDefault="00000000">
            <w:pPr>
              <w:pStyle w:val="cTableBody"/>
              <w:spacing w:before="0" w:after="0"/>
            </w:pPr>
            <w:r>
              <w:t>SP11-04 Regulatory or schedule extension</w:t>
            </w:r>
          </w:p>
        </w:tc>
        <w:tc>
          <w:tcPr>
            <w:tcW w:w="5992" w:type="dxa"/>
          </w:tcPr>
          <w:p w14:paraId="22546E9E" w14:textId="77777777" w:rsidR="003323F8" w:rsidRDefault="00000000">
            <w:pPr>
              <w:pStyle w:val="cTableBody"/>
              <w:spacing w:before="0" w:after="0"/>
            </w:pPr>
            <w:r>
              <w:t>Additional consultation, storage or delayed deployment</w:t>
            </w:r>
          </w:p>
        </w:tc>
        <w:tc>
          <w:tcPr>
            <w:tcW w:w="1438" w:type="dxa"/>
          </w:tcPr>
          <w:p w14:paraId="1C2466E9" w14:textId="77777777" w:rsidR="003323F8" w:rsidRDefault="00000000">
            <w:pPr>
              <w:pStyle w:val="cTableBody"/>
              <w:spacing w:before="0" w:after="0"/>
            </w:pPr>
            <w:r>
              <w:t>$250,000</w:t>
            </w:r>
          </w:p>
        </w:tc>
      </w:tr>
    </w:tbl>
    <w:p w14:paraId="227CA75A" w14:textId="77777777" w:rsidR="003323F8" w:rsidRDefault="00000000">
      <w:pPr>
        <w:spacing w:before="280" w:after="80"/>
      </w:pPr>
      <w:r>
        <w:t>Source-and-plume campaign total: approximately $22.0M.</w:t>
      </w:r>
    </w:p>
    <w:p w14:paraId="232CF95F" w14:textId="77777777" w:rsidR="003323F8" w:rsidRDefault="00000000">
      <w:pPr>
        <w:pStyle w:val="Heading2"/>
        <w:spacing w:before="280"/>
      </w:pPr>
      <w:r>
        <w:t>B. Cloud-response campaign</w:t>
      </w:r>
    </w:p>
    <w:p w14:paraId="0F67648B" w14:textId="77777777" w:rsidR="003323F8" w:rsidRDefault="00000000">
      <w:pPr>
        <w:pStyle w:val="Heading3"/>
        <w:spacing w:before="280" w:after="280"/>
      </w:pPr>
      <w:r>
        <w:t>Phase 1: Scientific design — $1.80M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7BBA802E"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0C88D05D" w14:textId="77777777" w:rsidR="003323F8" w:rsidRDefault="00000000">
            <w:pPr>
              <w:pStyle w:val="cTableHeader"/>
            </w:pPr>
            <w:r>
              <w:t>Procurement package</w:t>
            </w:r>
          </w:p>
        </w:tc>
        <w:tc>
          <w:tcPr>
            <w:tcW w:w="5993" w:type="dxa"/>
          </w:tcPr>
          <w:p w14:paraId="77AE252C" w14:textId="77777777" w:rsidR="003323F8" w:rsidRDefault="00000000">
            <w:pPr>
              <w:pStyle w:val="cTableHeader"/>
            </w:pPr>
            <w:r>
              <w:t>Deliverable</w:t>
            </w:r>
          </w:p>
        </w:tc>
        <w:tc>
          <w:tcPr>
            <w:tcW w:w="1437" w:type="dxa"/>
          </w:tcPr>
          <w:p w14:paraId="6ED4FB53" w14:textId="77777777" w:rsidR="003323F8" w:rsidRDefault="00000000">
            <w:pPr>
              <w:pStyle w:val="cTableHeader"/>
            </w:pPr>
            <w:r>
              <w:t>Estimate</w:t>
            </w:r>
          </w:p>
        </w:tc>
      </w:tr>
      <w:tr w:rsidR="003323F8" w14:paraId="06E2C596" w14:textId="77777777" w:rsidTr="00DA4BD8">
        <w:tc>
          <w:tcPr>
            <w:tcW w:w="2434" w:type="dxa"/>
          </w:tcPr>
          <w:p w14:paraId="3CD46D9B" w14:textId="77777777" w:rsidR="003323F8" w:rsidRDefault="00000000">
            <w:pPr>
              <w:pStyle w:val="cTableBody"/>
              <w:spacing w:before="0" w:after="0"/>
            </w:pPr>
            <w:r>
              <w:t>CR1-01 Integrated experiment design</w:t>
            </w:r>
          </w:p>
        </w:tc>
        <w:tc>
          <w:tcPr>
            <w:tcW w:w="5993" w:type="dxa"/>
          </w:tcPr>
          <w:p w14:paraId="3C7DA7C1" w14:textId="77777777" w:rsidR="003323F8" w:rsidRDefault="00000000">
            <w:pPr>
              <w:pStyle w:val="cTableBody"/>
              <w:spacing w:before="0" w:after="0"/>
            </w:pPr>
            <w:r>
              <w:t>Cloud regime, release/control design, traceability matrix and uncertainty budget</w:t>
            </w:r>
          </w:p>
        </w:tc>
        <w:tc>
          <w:tcPr>
            <w:tcW w:w="1437" w:type="dxa"/>
          </w:tcPr>
          <w:p w14:paraId="3B9965CA" w14:textId="77777777" w:rsidR="003323F8" w:rsidRDefault="00000000">
            <w:pPr>
              <w:pStyle w:val="cTableBody"/>
              <w:spacing w:before="0" w:after="0"/>
            </w:pPr>
            <w:r>
              <w:t>$700,000</w:t>
            </w:r>
          </w:p>
        </w:tc>
      </w:tr>
      <w:tr w:rsidR="003323F8" w14:paraId="4FAFC5FC" w14:textId="77777777" w:rsidTr="00DA4BD8">
        <w:tc>
          <w:tcPr>
            <w:tcW w:w="2434" w:type="dxa"/>
          </w:tcPr>
          <w:p w14:paraId="44C2BEBE" w14:textId="77777777" w:rsidR="003323F8" w:rsidRDefault="00000000">
            <w:pPr>
              <w:pStyle w:val="cTableBody"/>
              <w:spacing w:before="0" w:after="0"/>
            </w:pPr>
            <w:r>
              <w:t>CR1-02 Large-eddy and cloud-process modeling</w:t>
            </w:r>
          </w:p>
        </w:tc>
        <w:tc>
          <w:tcPr>
            <w:tcW w:w="5993" w:type="dxa"/>
          </w:tcPr>
          <w:p w14:paraId="7E1C6226" w14:textId="77777777" w:rsidR="003323F8" w:rsidRDefault="00000000">
            <w:pPr>
              <w:pStyle w:val="cTableBody"/>
              <w:spacing w:before="0" w:after="0"/>
            </w:pPr>
            <w:r>
              <w:t>Preregistered predictions of activation, drizzle, optical depth and cloud fraction</w:t>
            </w:r>
          </w:p>
        </w:tc>
        <w:tc>
          <w:tcPr>
            <w:tcW w:w="1437" w:type="dxa"/>
          </w:tcPr>
          <w:p w14:paraId="21EE57EC" w14:textId="77777777" w:rsidR="003323F8" w:rsidRDefault="00000000">
            <w:pPr>
              <w:pStyle w:val="cTableBody"/>
              <w:spacing w:before="0" w:after="0"/>
            </w:pPr>
            <w:r>
              <w:t>$600,000</w:t>
            </w:r>
          </w:p>
        </w:tc>
      </w:tr>
      <w:tr w:rsidR="003323F8" w14:paraId="76EB07B7" w14:textId="77777777" w:rsidTr="00DA4BD8">
        <w:tc>
          <w:tcPr>
            <w:tcW w:w="2434" w:type="dxa"/>
          </w:tcPr>
          <w:p w14:paraId="254B38CE" w14:textId="77777777" w:rsidR="003323F8" w:rsidRDefault="00000000">
            <w:pPr>
              <w:pStyle w:val="cTableBody"/>
              <w:spacing w:before="0" w:after="0"/>
            </w:pPr>
            <w:r>
              <w:t>CR1-03 Statistical and causal design</w:t>
            </w:r>
          </w:p>
        </w:tc>
        <w:tc>
          <w:tcPr>
            <w:tcW w:w="5993" w:type="dxa"/>
          </w:tcPr>
          <w:p w14:paraId="51CEEBA9" w14:textId="77777777" w:rsidR="003323F8" w:rsidRDefault="00000000">
            <w:pPr>
              <w:pStyle w:val="cTableBody"/>
              <w:spacing w:before="0" w:after="0"/>
            </w:pPr>
            <w:r>
              <w:t>Randomization, controls, detectable effect and analysis plan</w:t>
            </w:r>
          </w:p>
        </w:tc>
        <w:tc>
          <w:tcPr>
            <w:tcW w:w="1437" w:type="dxa"/>
          </w:tcPr>
          <w:p w14:paraId="0A338E69" w14:textId="77777777" w:rsidR="003323F8" w:rsidRDefault="00000000">
            <w:pPr>
              <w:pStyle w:val="cTableBody"/>
              <w:spacing w:before="0" w:after="0"/>
            </w:pPr>
            <w:r>
              <w:t>$250,000</w:t>
            </w:r>
          </w:p>
        </w:tc>
      </w:tr>
      <w:tr w:rsidR="003323F8" w14:paraId="46FB409F" w14:textId="77777777" w:rsidTr="00DA4BD8">
        <w:tc>
          <w:tcPr>
            <w:tcW w:w="2434" w:type="dxa"/>
          </w:tcPr>
          <w:p w14:paraId="3193F2D0" w14:textId="77777777" w:rsidR="003323F8" w:rsidRDefault="00000000">
            <w:pPr>
              <w:pStyle w:val="cTableBody"/>
              <w:spacing w:before="0" w:after="0"/>
            </w:pPr>
            <w:r>
              <w:t>CR1-04 Independent design review</w:t>
            </w:r>
          </w:p>
        </w:tc>
        <w:tc>
          <w:tcPr>
            <w:tcW w:w="5993" w:type="dxa"/>
          </w:tcPr>
          <w:p w14:paraId="13D6EECE" w14:textId="77777777" w:rsidR="003323F8" w:rsidRDefault="00000000">
            <w:pPr>
              <w:pStyle w:val="cTableBody"/>
              <w:spacing w:before="0" w:after="0"/>
            </w:pPr>
            <w:r>
              <w:t>Observability, environmental limits and stop/go decision</w:t>
            </w:r>
          </w:p>
        </w:tc>
        <w:tc>
          <w:tcPr>
            <w:tcW w:w="1437" w:type="dxa"/>
          </w:tcPr>
          <w:p w14:paraId="37941520" w14:textId="77777777" w:rsidR="003323F8" w:rsidRDefault="00000000">
            <w:pPr>
              <w:pStyle w:val="cTableBody"/>
              <w:spacing w:before="0" w:after="0"/>
            </w:pPr>
            <w:r>
              <w:t>$250,000</w:t>
            </w:r>
          </w:p>
        </w:tc>
      </w:tr>
    </w:tbl>
    <w:p w14:paraId="2FEADEFE" w14:textId="77777777" w:rsidR="003323F8" w:rsidRDefault="00000000">
      <w:pPr>
        <w:pStyle w:val="Heading3"/>
        <w:spacing w:before="280" w:after="280"/>
      </w:pPr>
      <w:r>
        <w:t>Phase 2: Governance and environmental review — $1.80M</w:t>
      </w:r>
    </w:p>
    <w:tbl>
      <w:tblPr>
        <w:tblStyle w:val="gswTableStyle"/>
        <w:tblW w:w="9864" w:type="dxa"/>
        <w:tblLayout w:type="fixed"/>
        <w:tblLook w:val="04A0" w:firstRow="1" w:lastRow="0" w:firstColumn="1" w:lastColumn="0" w:noHBand="0" w:noVBand="1"/>
      </w:tblPr>
      <w:tblGrid>
        <w:gridCol w:w="2546"/>
        <w:gridCol w:w="5891"/>
        <w:gridCol w:w="1427"/>
      </w:tblGrid>
      <w:tr w:rsidR="003323F8" w14:paraId="28753279"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546" w:type="dxa"/>
          </w:tcPr>
          <w:p w14:paraId="607977D6" w14:textId="77777777" w:rsidR="003323F8" w:rsidRDefault="00000000">
            <w:pPr>
              <w:pStyle w:val="cTableHeader"/>
            </w:pPr>
            <w:r>
              <w:t>Procurement package</w:t>
            </w:r>
          </w:p>
        </w:tc>
        <w:tc>
          <w:tcPr>
            <w:tcW w:w="5891" w:type="dxa"/>
          </w:tcPr>
          <w:p w14:paraId="2EF7241C" w14:textId="77777777" w:rsidR="003323F8" w:rsidRDefault="00000000">
            <w:pPr>
              <w:pStyle w:val="cTableHeader"/>
            </w:pPr>
            <w:r>
              <w:t>Deliverable</w:t>
            </w:r>
          </w:p>
        </w:tc>
        <w:tc>
          <w:tcPr>
            <w:tcW w:w="1427" w:type="dxa"/>
          </w:tcPr>
          <w:p w14:paraId="5A311811" w14:textId="77777777" w:rsidR="003323F8" w:rsidRDefault="00000000">
            <w:pPr>
              <w:pStyle w:val="cTableHeader"/>
            </w:pPr>
            <w:r>
              <w:t>Estimate</w:t>
            </w:r>
          </w:p>
        </w:tc>
      </w:tr>
      <w:tr w:rsidR="003323F8" w14:paraId="7B0B17B2" w14:textId="77777777" w:rsidTr="00DA4BD8">
        <w:tc>
          <w:tcPr>
            <w:tcW w:w="2546" w:type="dxa"/>
          </w:tcPr>
          <w:p w14:paraId="331E0DD2" w14:textId="77777777" w:rsidR="003323F8" w:rsidRDefault="00000000">
            <w:pPr>
              <w:pStyle w:val="cTableBody"/>
              <w:spacing w:before="0" w:after="0"/>
            </w:pPr>
            <w:r>
              <w:t>CR2-01 Regulatory and legal services</w:t>
            </w:r>
          </w:p>
        </w:tc>
        <w:tc>
          <w:tcPr>
            <w:tcW w:w="5891" w:type="dxa"/>
          </w:tcPr>
          <w:p w14:paraId="2304FE2B" w14:textId="77777777" w:rsidR="003323F8" w:rsidRDefault="00000000">
            <w:pPr>
              <w:pStyle w:val="cTableBody"/>
              <w:spacing w:before="0" w:after="0"/>
            </w:pPr>
            <w:r>
              <w:t>Maritime, aviation, environmental and liability requirements</w:t>
            </w:r>
          </w:p>
        </w:tc>
        <w:tc>
          <w:tcPr>
            <w:tcW w:w="1427" w:type="dxa"/>
          </w:tcPr>
          <w:p w14:paraId="11977909" w14:textId="77777777" w:rsidR="003323F8" w:rsidRDefault="00000000">
            <w:pPr>
              <w:pStyle w:val="cTableBody"/>
              <w:spacing w:before="0" w:after="0"/>
            </w:pPr>
            <w:r>
              <w:t>$350,000</w:t>
            </w:r>
          </w:p>
        </w:tc>
      </w:tr>
      <w:tr w:rsidR="003323F8" w14:paraId="05C45D83" w14:textId="77777777" w:rsidTr="00DA4BD8">
        <w:tc>
          <w:tcPr>
            <w:tcW w:w="2546" w:type="dxa"/>
          </w:tcPr>
          <w:p w14:paraId="7399082A" w14:textId="77777777" w:rsidR="003323F8" w:rsidRDefault="00000000">
            <w:pPr>
              <w:pStyle w:val="cTableBody"/>
              <w:spacing w:before="0" w:after="0"/>
            </w:pPr>
            <w:r>
              <w:t>CR2-02 Environmental assessment</w:t>
            </w:r>
          </w:p>
        </w:tc>
        <w:tc>
          <w:tcPr>
            <w:tcW w:w="5891" w:type="dxa"/>
          </w:tcPr>
          <w:p w14:paraId="50DB20E1" w14:textId="77777777" w:rsidR="003323F8" w:rsidRDefault="00000000">
            <w:pPr>
              <w:pStyle w:val="cTableBody"/>
              <w:spacing w:before="0" w:after="0"/>
            </w:pPr>
            <w:r>
              <w:t>Exposure, deposition, alternatives and cumulative-impact analysis</w:t>
            </w:r>
          </w:p>
        </w:tc>
        <w:tc>
          <w:tcPr>
            <w:tcW w:w="1427" w:type="dxa"/>
          </w:tcPr>
          <w:p w14:paraId="018927B1" w14:textId="77777777" w:rsidR="003323F8" w:rsidRDefault="00000000">
            <w:pPr>
              <w:pStyle w:val="cTableBody"/>
              <w:spacing w:before="0" w:after="0"/>
            </w:pPr>
            <w:r>
              <w:t>$450,000</w:t>
            </w:r>
          </w:p>
        </w:tc>
      </w:tr>
      <w:tr w:rsidR="003323F8" w14:paraId="13FA08EE" w14:textId="77777777" w:rsidTr="00DA4BD8">
        <w:tc>
          <w:tcPr>
            <w:tcW w:w="2546" w:type="dxa"/>
          </w:tcPr>
          <w:p w14:paraId="59442482" w14:textId="77777777" w:rsidR="003323F8" w:rsidRDefault="00000000">
            <w:pPr>
              <w:pStyle w:val="cTableBody"/>
              <w:spacing w:before="0" w:after="0"/>
            </w:pPr>
            <w:r>
              <w:t>CR2-03 Public, Indigenous and jurisdictional engagement</w:t>
            </w:r>
          </w:p>
        </w:tc>
        <w:tc>
          <w:tcPr>
            <w:tcW w:w="5891" w:type="dxa"/>
          </w:tcPr>
          <w:p w14:paraId="26398439" w14:textId="77777777" w:rsidR="003323F8" w:rsidRDefault="00000000">
            <w:pPr>
              <w:pStyle w:val="cTableBody"/>
              <w:spacing w:before="0" w:after="0"/>
            </w:pPr>
            <w:r>
              <w:t>Meetings, accessible materials and response record</w:t>
            </w:r>
          </w:p>
        </w:tc>
        <w:tc>
          <w:tcPr>
            <w:tcW w:w="1427" w:type="dxa"/>
          </w:tcPr>
          <w:p w14:paraId="07925601" w14:textId="77777777" w:rsidR="003323F8" w:rsidRDefault="00000000">
            <w:pPr>
              <w:pStyle w:val="cTableBody"/>
              <w:spacing w:before="0" w:after="0"/>
            </w:pPr>
            <w:r>
              <w:t>$500,000</w:t>
            </w:r>
          </w:p>
        </w:tc>
      </w:tr>
      <w:tr w:rsidR="003323F8" w14:paraId="76779B9C" w14:textId="77777777" w:rsidTr="00DA4BD8">
        <w:tc>
          <w:tcPr>
            <w:tcW w:w="2546" w:type="dxa"/>
          </w:tcPr>
          <w:p w14:paraId="7A355E83" w14:textId="77777777" w:rsidR="003323F8" w:rsidRDefault="00000000">
            <w:pPr>
              <w:pStyle w:val="cTableBody"/>
              <w:spacing w:before="0" w:after="0"/>
            </w:pPr>
            <w:r>
              <w:t>CR2-04 Independent governance panel</w:t>
            </w:r>
          </w:p>
        </w:tc>
        <w:tc>
          <w:tcPr>
            <w:tcW w:w="5891" w:type="dxa"/>
          </w:tcPr>
          <w:p w14:paraId="6C77AF70" w14:textId="77777777" w:rsidR="003323F8" w:rsidRDefault="00000000">
            <w:pPr>
              <w:pStyle w:val="cTableBody"/>
              <w:spacing w:before="0" w:after="0"/>
            </w:pPr>
            <w:r>
              <w:t>Published conditions and authorization decision</w:t>
            </w:r>
          </w:p>
        </w:tc>
        <w:tc>
          <w:tcPr>
            <w:tcW w:w="1427" w:type="dxa"/>
          </w:tcPr>
          <w:p w14:paraId="46925299" w14:textId="77777777" w:rsidR="003323F8" w:rsidRDefault="00000000">
            <w:pPr>
              <w:pStyle w:val="cTableBody"/>
              <w:spacing w:before="0" w:after="0"/>
            </w:pPr>
            <w:r>
              <w:t>$250,000</w:t>
            </w:r>
          </w:p>
        </w:tc>
      </w:tr>
      <w:tr w:rsidR="003323F8" w14:paraId="58F3B9D5" w14:textId="77777777" w:rsidTr="00DA4BD8">
        <w:tc>
          <w:tcPr>
            <w:tcW w:w="2546" w:type="dxa"/>
          </w:tcPr>
          <w:p w14:paraId="65999C51" w14:textId="77777777" w:rsidR="003323F8" w:rsidRDefault="00000000">
            <w:pPr>
              <w:pStyle w:val="cTableBody"/>
              <w:spacing w:before="0" w:after="0"/>
            </w:pPr>
            <w:r>
              <w:t>CR2-05 International</w:t>
            </w:r>
            <w:r w:rsidR="00DA4BD8">
              <w:t xml:space="preserve"> </w:t>
            </w:r>
            <w:r>
              <w:t>/</w:t>
            </w:r>
            <w:r w:rsidR="00DA4BD8">
              <w:t xml:space="preserve"> </w:t>
            </w:r>
            <w:r>
              <w:t>transboundary consultation</w:t>
            </w:r>
          </w:p>
        </w:tc>
        <w:tc>
          <w:tcPr>
            <w:tcW w:w="5891" w:type="dxa"/>
          </w:tcPr>
          <w:p w14:paraId="510EB7F3" w14:textId="77777777" w:rsidR="003323F8" w:rsidRDefault="00000000">
            <w:pPr>
              <w:pStyle w:val="cTableBody"/>
              <w:spacing w:before="0" w:after="0"/>
            </w:pPr>
            <w:r>
              <w:t>Notification and consultation plan</w:t>
            </w:r>
          </w:p>
        </w:tc>
        <w:tc>
          <w:tcPr>
            <w:tcW w:w="1427" w:type="dxa"/>
          </w:tcPr>
          <w:p w14:paraId="3CB3CE07" w14:textId="77777777" w:rsidR="003323F8" w:rsidRDefault="00000000">
            <w:pPr>
              <w:pStyle w:val="cTableBody"/>
              <w:spacing w:before="0" w:after="0"/>
            </w:pPr>
            <w:r>
              <w:t>$250,000</w:t>
            </w:r>
          </w:p>
        </w:tc>
      </w:tr>
    </w:tbl>
    <w:p w14:paraId="192D11AC" w14:textId="77777777" w:rsidR="003323F8" w:rsidRDefault="00000000">
      <w:pPr>
        <w:pStyle w:val="Heading3"/>
        <w:spacing w:before="280" w:after="280"/>
      </w:pPr>
      <w:r>
        <w:t>Phase 3: Generator and source validation — $2.80M</w:t>
      </w:r>
    </w:p>
    <w:tbl>
      <w:tblPr>
        <w:tblStyle w:val="gswTableStyle"/>
        <w:tblW w:w="9864" w:type="dxa"/>
        <w:tblLayout w:type="fixed"/>
        <w:tblLook w:val="04A0" w:firstRow="1" w:lastRow="0" w:firstColumn="1" w:lastColumn="0" w:noHBand="0" w:noVBand="1"/>
      </w:tblPr>
      <w:tblGrid>
        <w:gridCol w:w="2433"/>
        <w:gridCol w:w="5993"/>
        <w:gridCol w:w="1438"/>
      </w:tblGrid>
      <w:tr w:rsidR="003323F8" w14:paraId="046630A8"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3" w:type="dxa"/>
          </w:tcPr>
          <w:p w14:paraId="710BBF89" w14:textId="77777777" w:rsidR="003323F8" w:rsidRDefault="00000000">
            <w:pPr>
              <w:pStyle w:val="cTableHeader"/>
            </w:pPr>
            <w:r>
              <w:t>Procurement package</w:t>
            </w:r>
          </w:p>
        </w:tc>
        <w:tc>
          <w:tcPr>
            <w:tcW w:w="5993" w:type="dxa"/>
          </w:tcPr>
          <w:p w14:paraId="6ABFD29E" w14:textId="77777777" w:rsidR="003323F8" w:rsidRDefault="00000000">
            <w:pPr>
              <w:pStyle w:val="cTableHeader"/>
            </w:pPr>
            <w:r>
              <w:t>Deliverable</w:t>
            </w:r>
          </w:p>
        </w:tc>
        <w:tc>
          <w:tcPr>
            <w:tcW w:w="1438" w:type="dxa"/>
          </w:tcPr>
          <w:p w14:paraId="5BFFEE4F" w14:textId="77777777" w:rsidR="003323F8" w:rsidRDefault="00000000">
            <w:pPr>
              <w:pStyle w:val="cTableHeader"/>
            </w:pPr>
            <w:r>
              <w:t>Estimate</w:t>
            </w:r>
          </w:p>
        </w:tc>
      </w:tr>
      <w:tr w:rsidR="003323F8" w14:paraId="564CDE2D" w14:textId="77777777" w:rsidTr="00DA4BD8">
        <w:tc>
          <w:tcPr>
            <w:tcW w:w="2433" w:type="dxa"/>
          </w:tcPr>
          <w:p w14:paraId="5F655C58" w14:textId="77777777" w:rsidR="003323F8" w:rsidRDefault="00000000">
            <w:pPr>
              <w:pStyle w:val="cTableBody"/>
              <w:spacing w:before="0" w:after="0"/>
            </w:pPr>
            <w:r>
              <w:t>CR3-01 Flight</w:t>
            </w:r>
            <w:r w:rsidR="00DA4BD8">
              <w:t xml:space="preserve"> </w:t>
            </w:r>
            <w:r>
              <w:t>/</w:t>
            </w:r>
            <w:r w:rsidR="00DA4BD8">
              <w:t xml:space="preserve"> </w:t>
            </w:r>
            <w:r>
              <w:t>ship-ready generator system</w:t>
            </w:r>
          </w:p>
        </w:tc>
        <w:tc>
          <w:tcPr>
            <w:tcW w:w="5993" w:type="dxa"/>
          </w:tcPr>
          <w:p w14:paraId="4E948877" w14:textId="77777777" w:rsidR="003323F8" w:rsidRDefault="00000000">
            <w:pPr>
              <w:pStyle w:val="cTableBody"/>
              <w:spacing w:before="0" w:after="0"/>
            </w:pPr>
            <w:r>
              <w:t>Validated modular source with known particle output</w:t>
            </w:r>
          </w:p>
        </w:tc>
        <w:tc>
          <w:tcPr>
            <w:tcW w:w="1438" w:type="dxa"/>
          </w:tcPr>
          <w:p w14:paraId="334417AC" w14:textId="77777777" w:rsidR="003323F8" w:rsidRDefault="00000000">
            <w:pPr>
              <w:pStyle w:val="cTableBody"/>
              <w:spacing w:before="0" w:after="0"/>
            </w:pPr>
            <w:r>
              <w:t>$1,000,000</w:t>
            </w:r>
          </w:p>
        </w:tc>
      </w:tr>
      <w:tr w:rsidR="003323F8" w14:paraId="57C49FFE" w14:textId="77777777" w:rsidTr="00DA4BD8">
        <w:tc>
          <w:tcPr>
            <w:tcW w:w="2433" w:type="dxa"/>
          </w:tcPr>
          <w:p w14:paraId="5DF44321" w14:textId="77777777" w:rsidR="003323F8" w:rsidRDefault="00000000">
            <w:pPr>
              <w:pStyle w:val="cTableBody"/>
              <w:spacing w:before="0" w:after="0"/>
            </w:pPr>
            <w:r>
              <w:t>CR3-02 Seawater conditioning and controls</w:t>
            </w:r>
          </w:p>
        </w:tc>
        <w:tc>
          <w:tcPr>
            <w:tcW w:w="5993" w:type="dxa"/>
          </w:tcPr>
          <w:p w14:paraId="7EC04092" w14:textId="77777777" w:rsidR="003323F8" w:rsidRDefault="00000000">
            <w:pPr>
              <w:pStyle w:val="cTableBody"/>
              <w:spacing w:before="0" w:after="0"/>
            </w:pPr>
            <w:r>
              <w:t>Intake, filtration, salinity/temperature sensing and data logging</w:t>
            </w:r>
          </w:p>
        </w:tc>
        <w:tc>
          <w:tcPr>
            <w:tcW w:w="1438" w:type="dxa"/>
          </w:tcPr>
          <w:p w14:paraId="307A1D59" w14:textId="77777777" w:rsidR="003323F8" w:rsidRDefault="00000000">
            <w:pPr>
              <w:pStyle w:val="cTableBody"/>
              <w:spacing w:before="0" w:after="0"/>
            </w:pPr>
            <w:r>
              <w:t>$400,000</w:t>
            </w:r>
          </w:p>
        </w:tc>
      </w:tr>
      <w:tr w:rsidR="003323F8" w14:paraId="16D583A4" w14:textId="77777777" w:rsidTr="00DA4BD8">
        <w:tc>
          <w:tcPr>
            <w:tcW w:w="2433" w:type="dxa"/>
          </w:tcPr>
          <w:p w14:paraId="2D3ACA1C" w14:textId="77777777" w:rsidR="003323F8" w:rsidRDefault="00000000">
            <w:pPr>
              <w:pStyle w:val="cTableBody"/>
              <w:spacing w:before="0" w:after="0"/>
            </w:pPr>
            <w:r>
              <w:t>CR3-03 Release mast and plume-placement system</w:t>
            </w:r>
          </w:p>
        </w:tc>
        <w:tc>
          <w:tcPr>
            <w:tcW w:w="5993" w:type="dxa"/>
          </w:tcPr>
          <w:p w14:paraId="43687128" w14:textId="77777777" w:rsidR="003323F8" w:rsidRDefault="00000000">
            <w:pPr>
              <w:pStyle w:val="cTableBody"/>
              <w:spacing w:before="0" w:after="0"/>
            </w:pPr>
            <w:r>
              <w:t>Adjustable release height and direction</w:t>
            </w:r>
          </w:p>
        </w:tc>
        <w:tc>
          <w:tcPr>
            <w:tcW w:w="1438" w:type="dxa"/>
          </w:tcPr>
          <w:p w14:paraId="18C9F555" w14:textId="77777777" w:rsidR="003323F8" w:rsidRDefault="00000000">
            <w:pPr>
              <w:pStyle w:val="cTableBody"/>
              <w:spacing w:before="0" w:after="0"/>
            </w:pPr>
            <w:r>
              <w:t>$350,000</w:t>
            </w:r>
          </w:p>
        </w:tc>
      </w:tr>
      <w:tr w:rsidR="003323F8" w14:paraId="575EBD06" w14:textId="77777777" w:rsidTr="00DA4BD8">
        <w:tc>
          <w:tcPr>
            <w:tcW w:w="2433" w:type="dxa"/>
          </w:tcPr>
          <w:p w14:paraId="1827E22D" w14:textId="77777777" w:rsidR="003323F8" w:rsidRDefault="00000000">
            <w:pPr>
              <w:pStyle w:val="cTableBody"/>
              <w:spacing w:before="0" w:after="0"/>
            </w:pPr>
            <w:r>
              <w:t>CR3-04 Ground and harbor validation</w:t>
            </w:r>
          </w:p>
        </w:tc>
        <w:tc>
          <w:tcPr>
            <w:tcW w:w="5993" w:type="dxa"/>
          </w:tcPr>
          <w:p w14:paraId="4D1CA9A5" w14:textId="77777777" w:rsidR="003323F8" w:rsidRDefault="00000000">
            <w:pPr>
              <w:pStyle w:val="cTableBody"/>
              <w:spacing w:before="0" w:after="0"/>
            </w:pPr>
            <w:r>
              <w:t>Operating-envelope, failure and endurance tests</w:t>
            </w:r>
          </w:p>
        </w:tc>
        <w:tc>
          <w:tcPr>
            <w:tcW w:w="1438" w:type="dxa"/>
          </w:tcPr>
          <w:p w14:paraId="5FA4FBDA" w14:textId="77777777" w:rsidR="003323F8" w:rsidRDefault="00000000">
            <w:pPr>
              <w:pStyle w:val="cTableBody"/>
              <w:spacing w:before="0" w:after="0"/>
            </w:pPr>
            <w:r>
              <w:t>$450,000</w:t>
            </w:r>
          </w:p>
        </w:tc>
      </w:tr>
      <w:tr w:rsidR="003323F8" w14:paraId="0819DD54" w14:textId="77777777" w:rsidTr="00DA4BD8">
        <w:tc>
          <w:tcPr>
            <w:tcW w:w="2433" w:type="dxa"/>
          </w:tcPr>
          <w:p w14:paraId="68867F6C" w14:textId="77777777" w:rsidR="003323F8" w:rsidRDefault="00000000">
            <w:pPr>
              <w:pStyle w:val="cTableBody"/>
              <w:spacing w:before="0" w:after="0"/>
            </w:pPr>
            <w:r>
              <w:t>CR3-05 Independent particle-output verification</w:t>
            </w:r>
          </w:p>
        </w:tc>
        <w:tc>
          <w:tcPr>
            <w:tcW w:w="5993" w:type="dxa"/>
          </w:tcPr>
          <w:p w14:paraId="0AD32FD3" w14:textId="77777777" w:rsidR="003323F8" w:rsidRDefault="00000000">
            <w:pPr>
              <w:pStyle w:val="cTableBody"/>
              <w:spacing w:before="0" w:after="0"/>
            </w:pPr>
            <w:r>
              <w:t>Size, number, coarse-tail, composition and energy audit</w:t>
            </w:r>
          </w:p>
        </w:tc>
        <w:tc>
          <w:tcPr>
            <w:tcW w:w="1438" w:type="dxa"/>
          </w:tcPr>
          <w:p w14:paraId="62DE601B" w14:textId="77777777" w:rsidR="003323F8" w:rsidRDefault="00000000">
            <w:pPr>
              <w:pStyle w:val="cTableBody"/>
              <w:spacing w:before="0" w:after="0"/>
            </w:pPr>
            <w:r>
              <w:t>$300,000</w:t>
            </w:r>
          </w:p>
        </w:tc>
      </w:tr>
      <w:tr w:rsidR="003323F8" w14:paraId="622E4DD2" w14:textId="77777777" w:rsidTr="00DA4BD8">
        <w:tc>
          <w:tcPr>
            <w:tcW w:w="2433" w:type="dxa"/>
          </w:tcPr>
          <w:p w14:paraId="634C9A1C" w14:textId="77777777" w:rsidR="003323F8" w:rsidRDefault="00000000">
            <w:pPr>
              <w:pStyle w:val="cTableBody"/>
              <w:spacing w:before="0" w:after="0"/>
            </w:pPr>
            <w:r>
              <w:t>CR3-06 Spares and consumables</w:t>
            </w:r>
          </w:p>
        </w:tc>
        <w:tc>
          <w:tcPr>
            <w:tcW w:w="5993" w:type="dxa"/>
          </w:tcPr>
          <w:p w14:paraId="0CC0FFAA" w14:textId="77777777" w:rsidR="003323F8" w:rsidRDefault="00000000">
            <w:pPr>
              <w:pStyle w:val="cTableBody"/>
              <w:spacing w:before="0" w:after="0"/>
            </w:pPr>
            <w:r>
              <w:t>Critical generators, filters, pumps and corrosion components</w:t>
            </w:r>
          </w:p>
        </w:tc>
        <w:tc>
          <w:tcPr>
            <w:tcW w:w="1438" w:type="dxa"/>
          </w:tcPr>
          <w:p w14:paraId="631CC7EA" w14:textId="77777777" w:rsidR="003323F8" w:rsidRDefault="00000000">
            <w:pPr>
              <w:pStyle w:val="cTableBody"/>
              <w:spacing w:before="0" w:after="0"/>
            </w:pPr>
            <w:r>
              <w:t>$300,000</w:t>
            </w:r>
          </w:p>
        </w:tc>
      </w:tr>
    </w:tbl>
    <w:p w14:paraId="256C6E1F" w14:textId="77777777" w:rsidR="003323F8" w:rsidRDefault="00000000">
      <w:pPr>
        <w:pStyle w:val="Heading3"/>
        <w:spacing w:before="280" w:after="280"/>
      </w:pPr>
      <w:r>
        <w:t>Phase 4: Cloud and aerosol instruments — $6.00M</w:t>
      </w:r>
    </w:p>
    <w:tbl>
      <w:tblPr>
        <w:tblStyle w:val="gswTableStyle"/>
        <w:tblW w:w="9864" w:type="dxa"/>
        <w:tblLayout w:type="fixed"/>
        <w:tblLook w:val="04A0" w:firstRow="1" w:lastRow="0" w:firstColumn="1" w:lastColumn="0" w:noHBand="0" w:noVBand="1"/>
      </w:tblPr>
      <w:tblGrid>
        <w:gridCol w:w="2435"/>
        <w:gridCol w:w="5991"/>
        <w:gridCol w:w="1438"/>
      </w:tblGrid>
      <w:tr w:rsidR="003323F8" w14:paraId="6400CCF5"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5" w:type="dxa"/>
          </w:tcPr>
          <w:p w14:paraId="4BC96644" w14:textId="77777777" w:rsidR="003323F8" w:rsidRDefault="00000000">
            <w:pPr>
              <w:pStyle w:val="cTableHeader"/>
              <w:keepNext/>
            </w:pPr>
            <w:r>
              <w:t>Procurement package</w:t>
            </w:r>
          </w:p>
        </w:tc>
        <w:tc>
          <w:tcPr>
            <w:tcW w:w="5991" w:type="dxa"/>
          </w:tcPr>
          <w:p w14:paraId="086511BA" w14:textId="77777777" w:rsidR="003323F8" w:rsidRDefault="00000000">
            <w:pPr>
              <w:pStyle w:val="cTableHeader"/>
              <w:keepNext/>
            </w:pPr>
            <w:r>
              <w:t>Deliverable</w:t>
            </w:r>
          </w:p>
        </w:tc>
        <w:tc>
          <w:tcPr>
            <w:tcW w:w="1438" w:type="dxa"/>
          </w:tcPr>
          <w:p w14:paraId="2865C9F0" w14:textId="77777777" w:rsidR="003323F8" w:rsidRDefault="00000000">
            <w:pPr>
              <w:pStyle w:val="cTableHeader"/>
              <w:keepNext/>
            </w:pPr>
            <w:r>
              <w:t>Estimate</w:t>
            </w:r>
          </w:p>
        </w:tc>
      </w:tr>
      <w:tr w:rsidR="003323F8" w14:paraId="657A0FC3" w14:textId="77777777" w:rsidTr="00DA4BD8">
        <w:tc>
          <w:tcPr>
            <w:tcW w:w="2435" w:type="dxa"/>
          </w:tcPr>
          <w:p w14:paraId="0DC3CBDE" w14:textId="77777777" w:rsidR="003323F8" w:rsidRDefault="00000000">
            <w:pPr>
              <w:pStyle w:val="cTableBody"/>
              <w:keepNext/>
              <w:spacing w:before="0" w:after="0"/>
            </w:pPr>
            <w:r>
              <w:t>CR4-01 Aerosol and CCN package</w:t>
            </w:r>
          </w:p>
        </w:tc>
        <w:tc>
          <w:tcPr>
            <w:tcW w:w="5991" w:type="dxa"/>
          </w:tcPr>
          <w:p w14:paraId="2B70B69A" w14:textId="77777777" w:rsidR="003323F8" w:rsidRDefault="00000000">
            <w:pPr>
              <w:pStyle w:val="cTableBody"/>
              <w:keepNext/>
              <w:spacing w:before="0" w:after="0"/>
            </w:pPr>
            <w:r>
              <w:t>Aerosol size, composition, hygroscopicity and cloud-base activation</w:t>
            </w:r>
          </w:p>
        </w:tc>
        <w:tc>
          <w:tcPr>
            <w:tcW w:w="1438" w:type="dxa"/>
          </w:tcPr>
          <w:p w14:paraId="1E19F934" w14:textId="77777777" w:rsidR="003323F8" w:rsidRDefault="00000000">
            <w:pPr>
              <w:pStyle w:val="cTableBody"/>
              <w:keepNext/>
              <w:spacing w:before="0" w:after="0"/>
            </w:pPr>
            <w:r>
              <w:t>$900,000</w:t>
            </w:r>
          </w:p>
        </w:tc>
      </w:tr>
      <w:tr w:rsidR="003323F8" w14:paraId="44ADA94A" w14:textId="77777777" w:rsidTr="00DA4BD8">
        <w:tc>
          <w:tcPr>
            <w:tcW w:w="2435" w:type="dxa"/>
          </w:tcPr>
          <w:p w14:paraId="16BB9DCF" w14:textId="77777777" w:rsidR="003323F8" w:rsidRDefault="00000000">
            <w:pPr>
              <w:pStyle w:val="cTableBody"/>
              <w:keepNext/>
              <w:spacing w:before="0" w:after="0"/>
            </w:pPr>
            <w:r>
              <w:t>CR4-02 Cloud-droplet and precipitation probes</w:t>
            </w:r>
          </w:p>
        </w:tc>
        <w:tc>
          <w:tcPr>
            <w:tcW w:w="5991" w:type="dxa"/>
          </w:tcPr>
          <w:p w14:paraId="36A1CC3E" w14:textId="77777777" w:rsidR="003323F8" w:rsidRDefault="00000000">
            <w:pPr>
              <w:pStyle w:val="cTableBody"/>
              <w:keepNext/>
              <w:spacing w:before="0" w:after="0"/>
            </w:pPr>
            <w:r>
              <w:t>Droplet spectra, liquid water, drizzle and precipitation</w:t>
            </w:r>
          </w:p>
        </w:tc>
        <w:tc>
          <w:tcPr>
            <w:tcW w:w="1438" w:type="dxa"/>
          </w:tcPr>
          <w:p w14:paraId="78252948" w14:textId="77777777" w:rsidR="003323F8" w:rsidRDefault="00000000">
            <w:pPr>
              <w:pStyle w:val="cTableBody"/>
              <w:keepNext/>
              <w:spacing w:before="0" w:after="0"/>
            </w:pPr>
            <w:r>
              <w:t>$1,100,000</w:t>
            </w:r>
          </w:p>
        </w:tc>
      </w:tr>
      <w:tr w:rsidR="003323F8" w14:paraId="3AE2F853" w14:textId="77777777" w:rsidTr="00DA4BD8">
        <w:tc>
          <w:tcPr>
            <w:tcW w:w="2435" w:type="dxa"/>
          </w:tcPr>
          <w:p w14:paraId="554458B8" w14:textId="77777777" w:rsidR="003323F8" w:rsidRDefault="00000000">
            <w:pPr>
              <w:pStyle w:val="cTableBody"/>
              <w:spacing w:before="0" w:after="0"/>
            </w:pPr>
            <w:r>
              <w:t>CR4-03 Cloud radar and lidar package</w:t>
            </w:r>
          </w:p>
        </w:tc>
        <w:tc>
          <w:tcPr>
            <w:tcW w:w="5991" w:type="dxa"/>
          </w:tcPr>
          <w:p w14:paraId="3A0C66B5" w14:textId="77777777" w:rsidR="003323F8" w:rsidRDefault="00000000">
            <w:pPr>
              <w:pStyle w:val="cTableBody"/>
              <w:spacing w:before="0" w:after="0"/>
            </w:pPr>
            <w:r>
              <w:t>Cloud boundaries, drizzle, vertical velocity and plume structure</w:t>
            </w:r>
          </w:p>
        </w:tc>
        <w:tc>
          <w:tcPr>
            <w:tcW w:w="1438" w:type="dxa"/>
          </w:tcPr>
          <w:p w14:paraId="08CCFBC2" w14:textId="77777777" w:rsidR="003323F8" w:rsidRDefault="00000000">
            <w:pPr>
              <w:pStyle w:val="cTableBody"/>
              <w:spacing w:before="0" w:after="0"/>
            </w:pPr>
            <w:r>
              <w:t>$900,000</w:t>
            </w:r>
          </w:p>
        </w:tc>
      </w:tr>
      <w:tr w:rsidR="003323F8" w14:paraId="26F25182" w14:textId="77777777" w:rsidTr="00DA4BD8">
        <w:tc>
          <w:tcPr>
            <w:tcW w:w="2435" w:type="dxa"/>
          </w:tcPr>
          <w:p w14:paraId="305D607E" w14:textId="77777777" w:rsidR="003323F8" w:rsidRDefault="00000000">
            <w:pPr>
              <w:pStyle w:val="cTableBody"/>
              <w:spacing w:before="0" w:after="0"/>
            </w:pPr>
            <w:r>
              <w:t>CR4-04 Radiometer and spectral optical package</w:t>
            </w:r>
          </w:p>
        </w:tc>
        <w:tc>
          <w:tcPr>
            <w:tcW w:w="5991" w:type="dxa"/>
          </w:tcPr>
          <w:p w14:paraId="094BA189" w14:textId="77777777" w:rsidR="003323F8" w:rsidRDefault="00000000">
            <w:pPr>
              <w:pStyle w:val="cTableBody"/>
              <w:spacing w:before="0" w:after="0"/>
            </w:pPr>
            <w:r>
              <w:t>Surface, aircraft and cloud-top shortwave measurements</w:t>
            </w:r>
          </w:p>
        </w:tc>
        <w:tc>
          <w:tcPr>
            <w:tcW w:w="1438" w:type="dxa"/>
          </w:tcPr>
          <w:p w14:paraId="3580BD7E" w14:textId="77777777" w:rsidR="003323F8" w:rsidRDefault="00000000">
            <w:pPr>
              <w:pStyle w:val="cTableBody"/>
              <w:spacing w:before="0" w:after="0"/>
            </w:pPr>
            <w:r>
              <w:t>$700,000</w:t>
            </w:r>
          </w:p>
        </w:tc>
      </w:tr>
      <w:tr w:rsidR="003323F8" w14:paraId="729D16C7" w14:textId="77777777" w:rsidTr="00DA4BD8">
        <w:tc>
          <w:tcPr>
            <w:tcW w:w="2435" w:type="dxa"/>
          </w:tcPr>
          <w:p w14:paraId="392DADB0" w14:textId="77777777" w:rsidR="003323F8" w:rsidRDefault="00000000">
            <w:pPr>
              <w:pStyle w:val="cTableBody"/>
              <w:spacing w:before="0" w:after="0"/>
            </w:pPr>
            <w:r>
              <w:t>CR4-05 Aircraft inlets and data acquisition</w:t>
            </w:r>
          </w:p>
        </w:tc>
        <w:tc>
          <w:tcPr>
            <w:tcW w:w="5991" w:type="dxa"/>
          </w:tcPr>
          <w:p w14:paraId="286CFB07" w14:textId="77777777" w:rsidR="003323F8" w:rsidRDefault="00000000">
            <w:pPr>
              <w:pStyle w:val="cTableBody"/>
              <w:spacing w:before="0" w:after="0"/>
            </w:pPr>
            <w:r>
              <w:t>Characterized inlets, synchronization, telemetry and quick-look displays</w:t>
            </w:r>
          </w:p>
        </w:tc>
        <w:tc>
          <w:tcPr>
            <w:tcW w:w="1438" w:type="dxa"/>
          </w:tcPr>
          <w:p w14:paraId="77E6F6F5" w14:textId="77777777" w:rsidR="003323F8" w:rsidRDefault="00000000">
            <w:pPr>
              <w:pStyle w:val="cTableBody"/>
              <w:spacing w:before="0" w:after="0"/>
            </w:pPr>
            <w:r>
              <w:t>$750,000</w:t>
            </w:r>
          </w:p>
        </w:tc>
      </w:tr>
      <w:tr w:rsidR="003323F8" w14:paraId="18B3069C" w14:textId="77777777" w:rsidTr="00DA4BD8">
        <w:tc>
          <w:tcPr>
            <w:tcW w:w="2435" w:type="dxa"/>
          </w:tcPr>
          <w:p w14:paraId="0F7FC137" w14:textId="77777777" w:rsidR="003323F8" w:rsidRDefault="00000000">
            <w:pPr>
              <w:pStyle w:val="cTableBody"/>
              <w:spacing w:before="0" w:after="0"/>
            </w:pPr>
            <w:r>
              <w:t>CR4-06 Satellite data and rapid processing</w:t>
            </w:r>
          </w:p>
        </w:tc>
        <w:tc>
          <w:tcPr>
            <w:tcW w:w="5991" w:type="dxa"/>
          </w:tcPr>
          <w:p w14:paraId="33240444" w14:textId="77777777" w:rsidR="003323F8" w:rsidRDefault="00000000">
            <w:pPr>
              <w:pStyle w:val="cTableBody"/>
              <w:spacing w:before="0" w:after="0"/>
            </w:pPr>
            <w:r>
              <w:t>Cloud optical depth, effective radius, albedo and cloud fraction</w:t>
            </w:r>
          </w:p>
        </w:tc>
        <w:tc>
          <w:tcPr>
            <w:tcW w:w="1438" w:type="dxa"/>
          </w:tcPr>
          <w:p w14:paraId="07C481C5" w14:textId="77777777" w:rsidR="003323F8" w:rsidRDefault="00000000">
            <w:pPr>
              <w:pStyle w:val="cTableBody"/>
              <w:spacing w:before="0" w:after="0"/>
            </w:pPr>
            <w:r>
              <w:t>$350,000</w:t>
            </w:r>
          </w:p>
        </w:tc>
      </w:tr>
      <w:tr w:rsidR="003323F8" w14:paraId="51DA6CAA" w14:textId="77777777" w:rsidTr="00DA4BD8">
        <w:tc>
          <w:tcPr>
            <w:tcW w:w="2435" w:type="dxa"/>
          </w:tcPr>
          <w:p w14:paraId="27115050" w14:textId="77777777" w:rsidR="003323F8" w:rsidRDefault="00000000">
            <w:pPr>
              <w:pStyle w:val="cTableBody"/>
              <w:spacing w:before="0" w:after="0"/>
            </w:pPr>
            <w:r>
              <w:t>CR4-07 Calibration and intercomparison</w:t>
            </w:r>
          </w:p>
        </w:tc>
        <w:tc>
          <w:tcPr>
            <w:tcW w:w="5991" w:type="dxa"/>
          </w:tcPr>
          <w:p w14:paraId="5E42C508" w14:textId="77777777" w:rsidR="003323F8" w:rsidRDefault="00000000">
            <w:pPr>
              <w:pStyle w:val="cTableBody"/>
              <w:spacing w:before="0" w:after="0"/>
            </w:pPr>
            <w:r>
              <w:t>Traceable calibration and instrument comparison campaign</w:t>
            </w:r>
          </w:p>
        </w:tc>
        <w:tc>
          <w:tcPr>
            <w:tcW w:w="1438" w:type="dxa"/>
          </w:tcPr>
          <w:p w14:paraId="428DB80C" w14:textId="77777777" w:rsidR="003323F8" w:rsidRDefault="00000000">
            <w:pPr>
              <w:pStyle w:val="cTableBody"/>
              <w:spacing w:before="0" w:after="0"/>
            </w:pPr>
            <w:r>
              <w:t>$700,000</w:t>
            </w:r>
          </w:p>
        </w:tc>
      </w:tr>
      <w:tr w:rsidR="003323F8" w14:paraId="7556FEFD" w14:textId="77777777" w:rsidTr="00DA4BD8">
        <w:tc>
          <w:tcPr>
            <w:tcW w:w="2435" w:type="dxa"/>
          </w:tcPr>
          <w:p w14:paraId="43879A76" w14:textId="77777777" w:rsidR="003323F8" w:rsidRDefault="00000000">
            <w:pPr>
              <w:pStyle w:val="cTableBody"/>
              <w:spacing w:before="0" w:after="0"/>
            </w:pPr>
            <w:r>
              <w:t>CR4-08 Spares and consumables</w:t>
            </w:r>
          </w:p>
        </w:tc>
        <w:tc>
          <w:tcPr>
            <w:tcW w:w="5991" w:type="dxa"/>
          </w:tcPr>
          <w:p w14:paraId="443D7F80" w14:textId="77777777" w:rsidR="003323F8" w:rsidRDefault="00000000">
            <w:pPr>
              <w:pStyle w:val="cTableBody"/>
              <w:spacing w:before="0" w:after="0"/>
            </w:pPr>
            <w:r>
              <w:t>Replacement probes, pumps, lasers and calibration standards</w:t>
            </w:r>
          </w:p>
        </w:tc>
        <w:tc>
          <w:tcPr>
            <w:tcW w:w="1438" w:type="dxa"/>
          </w:tcPr>
          <w:p w14:paraId="06513B27" w14:textId="77777777" w:rsidR="003323F8" w:rsidRDefault="00000000">
            <w:pPr>
              <w:pStyle w:val="cTableBody"/>
              <w:spacing w:before="0" w:after="0"/>
            </w:pPr>
            <w:r>
              <w:t>$600,000</w:t>
            </w:r>
          </w:p>
        </w:tc>
      </w:tr>
    </w:tbl>
    <w:p w14:paraId="2581161D" w14:textId="77777777" w:rsidR="003323F8" w:rsidRDefault="00000000">
      <w:pPr>
        <w:pStyle w:val="Heading3"/>
        <w:spacing w:before="280" w:after="280"/>
      </w:pPr>
      <w:r>
        <w:t>Phase 5: Aircraft and vessel integration — $4.20M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07445456"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643A2715" w14:textId="77777777" w:rsidR="003323F8" w:rsidRDefault="00000000">
            <w:pPr>
              <w:pStyle w:val="cTableHeader"/>
            </w:pPr>
            <w:r>
              <w:t>Procurement package</w:t>
            </w:r>
          </w:p>
        </w:tc>
        <w:tc>
          <w:tcPr>
            <w:tcW w:w="5993" w:type="dxa"/>
          </w:tcPr>
          <w:p w14:paraId="25FA3496" w14:textId="77777777" w:rsidR="003323F8" w:rsidRDefault="00000000">
            <w:pPr>
              <w:pStyle w:val="cTableHeader"/>
            </w:pPr>
            <w:r>
              <w:t>Deliverable</w:t>
            </w:r>
          </w:p>
        </w:tc>
        <w:tc>
          <w:tcPr>
            <w:tcW w:w="1437" w:type="dxa"/>
          </w:tcPr>
          <w:p w14:paraId="0AC01DCF" w14:textId="77777777" w:rsidR="003323F8" w:rsidRDefault="00000000">
            <w:pPr>
              <w:pStyle w:val="cTableHeader"/>
            </w:pPr>
            <w:r>
              <w:t>Estimate</w:t>
            </w:r>
          </w:p>
        </w:tc>
      </w:tr>
      <w:tr w:rsidR="003323F8" w14:paraId="3C0C02D1" w14:textId="77777777" w:rsidTr="00DA4BD8">
        <w:tc>
          <w:tcPr>
            <w:tcW w:w="2434" w:type="dxa"/>
          </w:tcPr>
          <w:p w14:paraId="63641B51" w14:textId="77777777" w:rsidR="003323F8" w:rsidRDefault="00000000">
            <w:pPr>
              <w:pStyle w:val="cTableBody"/>
              <w:spacing w:before="0" w:after="0"/>
            </w:pPr>
            <w:r>
              <w:t>CR5-01 Release-vessel integration</w:t>
            </w:r>
          </w:p>
        </w:tc>
        <w:tc>
          <w:tcPr>
            <w:tcW w:w="5993" w:type="dxa"/>
          </w:tcPr>
          <w:p w14:paraId="1278D57C" w14:textId="77777777" w:rsidR="003323F8" w:rsidRDefault="00000000">
            <w:pPr>
              <w:pStyle w:val="cTableBody"/>
              <w:spacing w:before="0" w:after="0"/>
            </w:pPr>
            <w:r>
              <w:t>Generator, mast, power, controls and seawater system</w:t>
            </w:r>
          </w:p>
        </w:tc>
        <w:tc>
          <w:tcPr>
            <w:tcW w:w="1437" w:type="dxa"/>
          </w:tcPr>
          <w:p w14:paraId="40A2AE78" w14:textId="77777777" w:rsidR="003323F8" w:rsidRDefault="00000000">
            <w:pPr>
              <w:pStyle w:val="cTableBody"/>
              <w:spacing w:before="0" w:after="0"/>
            </w:pPr>
            <w:r>
              <w:t>$700,000</w:t>
            </w:r>
          </w:p>
        </w:tc>
      </w:tr>
      <w:tr w:rsidR="003323F8" w14:paraId="11E28DE3" w14:textId="77777777" w:rsidTr="00DA4BD8">
        <w:tc>
          <w:tcPr>
            <w:tcW w:w="2434" w:type="dxa"/>
          </w:tcPr>
          <w:p w14:paraId="33D4E1DF" w14:textId="77777777" w:rsidR="003323F8" w:rsidRDefault="00000000">
            <w:pPr>
              <w:pStyle w:val="cTableBody"/>
              <w:spacing w:before="0" w:after="0"/>
            </w:pPr>
            <w:r>
              <w:t>CR5-02 Primary research-aircraft integration</w:t>
            </w:r>
          </w:p>
        </w:tc>
        <w:tc>
          <w:tcPr>
            <w:tcW w:w="5993" w:type="dxa"/>
          </w:tcPr>
          <w:p w14:paraId="08E9E89B" w14:textId="77777777" w:rsidR="003323F8" w:rsidRDefault="00000000">
            <w:pPr>
              <w:pStyle w:val="cTableBody"/>
              <w:spacing w:before="0" w:after="0"/>
            </w:pPr>
            <w:r>
              <w:t>Aerosol, cloud and radiation payload installation</w:t>
            </w:r>
          </w:p>
        </w:tc>
        <w:tc>
          <w:tcPr>
            <w:tcW w:w="1437" w:type="dxa"/>
          </w:tcPr>
          <w:p w14:paraId="108D2574" w14:textId="77777777" w:rsidR="003323F8" w:rsidRDefault="00000000">
            <w:pPr>
              <w:pStyle w:val="cTableBody"/>
              <w:spacing w:before="0" w:after="0"/>
            </w:pPr>
            <w:r>
              <w:t>$1,300,000</w:t>
            </w:r>
          </w:p>
        </w:tc>
      </w:tr>
      <w:tr w:rsidR="003323F8" w14:paraId="541F628E" w14:textId="77777777" w:rsidTr="00DA4BD8">
        <w:tc>
          <w:tcPr>
            <w:tcW w:w="2434" w:type="dxa"/>
          </w:tcPr>
          <w:p w14:paraId="3B6A0087" w14:textId="77777777" w:rsidR="003323F8" w:rsidRDefault="00000000">
            <w:pPr>
              <w:pStyle w:val="cTableBody"/>
              <w:spacing w:before="0" w:after="0"/>
            </w:pPr>
            <w:r>
              <w:t>CR5-03 Remote-sensing aircraft or ground site</w:t>
            </w:r>
          </w:p>
        </w:tc>
        <w:tc>
          <w:tcPr>
            <w:tcW w:w="5993" w:type="dxa"/>
          </w:tcPr>
          <w:p w14:paraId="6CA30452" w14:textId="77777777" w:rsidR="003323F8" w:rsidRDefault="00000000">
            <w:pPr>
              <w:pStyle w:val="cTableBody"/>
              <w:spacing w:before="0" w:after="0"/>
            </w:pPr>
            <w:r>
              <w:t>Radar/lidar/radiometer integration</w:t>
            </w:r>
          </w:p>
        </w:tc>
        <w:tc>
          <w:tcPr>
            <w:tcW w:w="1437" w:type="dxa"/>
          </w:tcPr>
          <w:p w14:paraId="44E9B05B" w14:textId="77777777" w:rsidR="003323F8" w:rsidRDefault="00000000">
            <w:pPr>
              <w:pStyle w:val="cTableBody"/>
              <w:spacing w:before="0" w:after="0"/>
            </w:pPr>
            <w:r>
              <w:t>$650,000</w:t>
            </w:r>
          </w:p>
        </w:tc>
      </w:tr>
      <w:tr w:rsidR="003323F8" w14:paraId="7FD8A78C" w14:textId="77777777" w:rsidTr="00DA4BD8">
        <w:tc>
          <w:tcPr>
            <w:tcW w:w="2434" w:type="dxa"/>
          </w:tcPr>
          <w:p w14:paraId="5314D713" w14:textId="77777777" w:rsidR="003323F8" w:rsidRDefault="00000000">
            <w:pPr>
              <w:pStyle w:val="cTableBody"/>
              <w:spacing w:before="0" w:after="0"/>
            </w:pPr>
            <w:r>
              <w:t>CR5-04 Drone and autonomous-platform integration</w:t>
            </w:r>
          </w:p>
        </w:tc>
        <w:tc>
          <w:tcPr>
            <w:tcW w:w="5993" w:type="dxa"/>
          </w:tcPr>
          <w:p w14:paraId="618BC68C" w14:textId="77777777" w:rsidR="003323F8" w:rsidRDefault="00000000">
            <w:pPr>
              <w:pStyle w:val="cTableBody"/>
              <w:spacing w:before="0" w:after="0"/>
            </w:pPr>
            <w:r>
              <w:t>Payloads, timing, communications and recovery</w:t>
            </w:r>
          </w:p>
        </w:tc>
        <w:tc>
          <w:tcPr>
            <w:tcW w:w="1437" w:type="dxa"/>
          </w:tcPr>
          <w:p w14:paraId="4A4CD01C" w14:textId="77777777" w:rsidR="003323F8" w:rsidRDefault="00000000">
            <w:pPr>
              <w:pStyle w:val="cTableBody"/>
              <w:spacing w:before="0" w:after="0"/>
            </w:pPr>
            <w:r>
              <w:t>$400,000</w:t>
            </w:r>
          </w:p>
        </w:tc>
      </w:tr>
      <w:tr w:rsidR="003323F8" w14:paraId="6D92711F" w14:textId="77777777" w:rsidTr="00DA4BD8">
        <w:tc>
          <w:tcPr>
            <w:tcW w:w="2434" w:type="dxa"/>
          </w:tcPr>
          <w:p w14:paraId="35A09CD9" w14:textId="77777777" w:rsidR="003323F8" w:rsidRDefault="00000000">
            <w:pPr>
              <w:pStyle w:val="cTableBody"/>
              <w:spacing w:before="0" w:after="0"/>
            </w:pPr>
            <w:r>
              <w:t>CR5-05 Safety, airworthiness and marine certification</w:t>
            </w:r>
          </w:p>
        </w:tc>
        <w:tc>
          <w:tcPr>
            <w:tcW w:w="5993" w:type="dxa"/>
          </w:tcPr>
          <w:p w14:paraId="6DADF564" w14:textId="77777777" w:rsidR="003323F8" w:rsidRDefault="00000000">
            <w:pPr>
              <w:pStyle w:val="cTableBody"/>
              <w:spacing w:before="0" w:after="0"/>
            </w:pPr>
            <w:r>
              <w:t>Hazard analyses, tests and approvals</w:t>
            </w:r>
          </w:p>
        </w:tc>
        <w:tc>
          <w:tcPr>
            <w:tcW w:w="1437" w:type="dxa"/>
          </w:tcPr>
          <w:p w14:paraId="45ABDEE2" w14:textId="77777777" w:rsidR="003323F8" w:rsidRDefault="00000000">
            <w:pPr>
              <w:pStyle w:val="cTableBody"/>
              <w:spacing w:before="0" w:after="0"/>
            </w:pPr>
            <w:r>
              <w:t>$750,000</w:t>
            </w:r>
          </w:p>
        </w:tc>
      </w:tr>
      <w:tr w:rsidR="003323F8" w14:paraId="44A329D9" w14:textId="77777777" w:rsidTr="00DA4BD8">
        <w:tc>
          <w:tcPr>
            <w:tcW w:w="2434" w:type="dxa"/>
          </w:tcPr>
          <w:p w14:paraId="260A971E" w14:textId="77777777" w:rsidR="003323F8" w:rsidRDefault="00000000">
            <w:pPr>
              <w:pStyle w:val="cTableBody"/>
              <w:spacing w:before="0" w:after="0"/>
            </w:pPr>
            <w:r>
              <w:t>CR5-06 Mission communications</w:t>
            </w:r>
          </w:p>
        </w:tc>
        <w:tc>
          <w:tcPr>
            <w:tcW w:w="5993" w:type="dxa"/>
          </w:tcPr>
          <w:p w14:paraId="7F542041" w14:textId="77777777" w:rsidR="003323F8" w:rsidRDefault="00000000">
            <w:pPr>
              <w:pStyle w:val="cTableBody"/>
              <w:spacing w:before="0" w:after="0"/>
            </w:pPr>
            <w:r>
              <w:t>Aircraft-vessel-ground data links</w:t>
            </w:r>
          </w:p>
        </w:tc>
        <w:tc>
          <w:tcPr>
            <w:tcW w:w="1437" w:type="dxa"/>
          </w:tcPr>
          <w:p w14:paraId="59664CF5" w14:textId="77777777" w:rsidR="003323F8" w:rsidRDefault="00000000">
            <w:pPr>
              <w:pStyle w:val="cTableBody"/>
              <w:spacing w:before="0" w:after="0"/>
            </w:pPr>
            <w:r>
              <w:t>$400,000</w:t>
            </w:r>
          </w:p>
        </w:tc>
      </w:tr>
    </w:tbl>
    <w:p w14:paraId="42893150" w14:textId="77777777" w:rsidR="003323F8" w:rsidRDefault="00000000">
      <w:pPr>
        <w:pStyle w:val="Heading3"/>
        <w:spacing w:before="280" w:after="280"/>
      </w:pPr>
      <w:r>
        <w:t>Phase 6: Baseline characterization — $2.80M</w:t>
      </w:r>
    </w:p>
    <w:tbl>
      <w:tblPr>
        <w:tblStyle w:val="gswTableStyle"/>
        <w:tblW w:w="9864" w:type="dxa"/>
        <w:tblLayout w:type="fixed"/>
        <w:tblLook w:val="04A0" w:firstRow="1" w:lastRow="0" w:firstColumn="1" w:lastColumn="0" w:noHBand="0" w:noVBand="1"/>
      </w:tblPr>
      <w:tblGrid>
        <w:gridCol w:w="2433"/>
        <w:gridCol w:w="5993"/>
        <w:gridCol w:w="1438"/>
      </w:tblGrid>
      <w:tr w:rsidR="003323F8" w14:paraId="4030A4B7"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3" w:type="dxa"/>
          </w:tcPr>
          <w:p w14:paraId="2435AED8" w14:textId="77777777" w:rsidR="003323F8" w:rsidRDefault="00000000">
            <w:pPr>
              <w:pStyle w:val="cTableHeader"/>
            </w:pPr>
            <w:r>
              <w:t>Procurement package</w:t>
            </w:r>
          </w:p>
        </w:tc>
        <w:tc>
          <w:tcPr>
            <w:tcW w:w="5993" w:type="dxa"/>
          </w:tcPr>
          <w:p w14:paraId="3A8153B5" w14:textId="77777777" w:rsidR="003323F8" w:rsidRDefault="00000000">
            <w:pPr>
              <w:pStyle w:val="cTableHeader"/>
            </w:pPr>
            <w:r>
              <w:t>Deliverable</w:t>
            </w:r>
          </w:p>
        </w:tc>
        <w:tc>
          <w:tcPr>
            <w:tcW w:w="1438" w:type="dxa"/>
          </w:tcPr>
          <w:p w14:paraId="0E752C49" w14:textId="77777777" w:rsidR="003323F8" w:rsidRDefault="00000000">
            <w:pPr>
              <w:pStyle w:val="cTableHeader"/>
            </w:pPr>
            <w:r>
              <w:t>Estimate</w:t>
            </w:r>
          </w:p>
        </w:tc>
      </w:tr>
      <w:tr w:rsidR="003323F8" w14:paraId="215B8721" w14:textId="77777777" w:rsidTr="00DA4BD8">
        <w:tc>
          <w:tcPr>
            <w:tcW w:w="2433" w:type="dxa"/>
          </w:tcPr>
          <w:p w14:paraId="252BE32A" w14:textId="77777777" w:rsidR="003323F8" w:rsidRDefault="00000000">
            <w:pPr>
              <w:pStyle w:val="cTableBody"/>
              <w:spacing w:before="0" w:after="0"/>
            </w:pPr>
            <w:r>
              <w:t>CR6-01 Untreated cloud flight series</w:t>
            </w:r>
          </w:p>
        </w:tc>
        <w:tc>
          <w:tcPr>
            <w:tcW w:w="5993" w:type="dxa"/>
          </w:tcPr>
          <w:p w14:paraId="1FB67E34" w14:textId="77777777" w:rsidR="003323F8" w:rsidRDefault="00000000">
            <w:pPr>
              <w:pStyle w:val="cTableBody"/>
              <w:spacing w:before="0" w:after="0"/>
            </w:pPr>
            <w:r>
              <w:t>Cloud, aerosol, radiation and meteorology baseline</w:t>
            </w:r>
          </w:p>
        </w:tc>
        <w:tc>
          <w:tcPr>
            <w:tcW w:w="1438" w:type="dxa"/>
          </w:tcPr>
          <w:p w14:paraId="3714505B" w14:textId="77777777" w:rsidR="003323F8" w:rsidRDefault="00000000">
            <w:pPr>
              <w:pStyle w:val="cTableBody"/>
              <w:spacing w:before="0" w:after="0"/>
            </w:pPr>
            <w:r>
              <w:t>$1,100,000</w:t>
            </w:r>
          </w:p>
        </w:tc>
      </w:tr>
      <w:tr w:rsidR="003323F8" w14:paraId="5322190F" w14:textId="77777777" w:rsidTr="00DA4BD8">
        <w:tc>
          <w:tcPr>
            <w:tcW w:w="2433" w:type="dxa"/>
          </w:tcPr>
          <w:p w14:paraId="4F5BCF2F" w14:textId="77777777" w:rsidR="003323F8" w:rsidRDefault="00000000">
            <w:pPr>
              <w:pStyle w:val="cTableBody"/>
              <w:spacing w:before="0" w:after="0"/>
            </w:pPr>
            <w:r>
              <w:t>CR6-02 Baseline vessel and remote sensing</w:t>
            </w:r>
          </w:p>
        </w:tc>
        <w:tc>
          <w:tcPr>
            <w:tcW w:w="5993" w:type="dxa"/>
          </w:tcPr>
          <w:p w14:paraId="102821E2" w14:textId="77777777" w:rsidR="003323F8" w:rsidRDefault="00000000">
            <w:pPr>
              <w:pStyle w:val="cTableBody"/>
              <w:spacing w:before="0" w:after="0"/>
            </w:pPr>
            <w:r>
              <w:t>Boundary-layer and cloud observations</w:t>
            </w:r>
          </w:p>
        </w:tc>
        <w:tc>
          <w:tcPr>
            <w:tcW w:w="1438" w:type="dxa"/>
          </w:tcPr>
          <w:p w14:paraId="6EA88C7A" w14:textId="77777777" w:rsidR="003323F8" w:rsidRDefault="00000000">
            <w:pPr>
              <w:pStyle w:val="cTableBody"/>
              <w:spacing w:before="0" w:after="0"/>
            </w:pPr>
            <w:r>
              <w:t>$500,000</w:t>
            </w:r>
          </w:p>
        </w:tc>
      </w:tr>
      <w:tr w:rsidR="003323F8" w14:paraId="301DF30C" w14:textId="77777777" w:rsidTr="00DA4BD8">
        <w:tc>
          <w:tcPr>
            <w:tcW w:w="2433" w:type="dxa"/>
          </w:tcPr>
          <w:p w14:paraId="5E282E49" w14:textId="77777777" w:rsidR="003323F8" w:rsidRDefault="00000000">
            <w:pPr>
              <w:pStyle w:val="cTableBody"/>
              <w:spacing w:before="0" w:after="0"/>
            </w:pPr>
            <w:r>
              <w:t>CR6-03 Forecast-system setup</w:t>
            </w:r>
          </w:p>
        </w:tc>
        <w:tc>
          <w:tcPr>
            <w:tcW w:w="5993" w:type="dxa"/>
          </w:tcPr>
          <w:p w14:paraId="46849E8E" w14:textId="77777777" w:rsidR="003323F8" w:rsidRDefault="00000000">
            <w:pPr>
              <w:pStyle w:val="cTableBody"/>
              <w:spacing w:before="0" w:after="0"/>
            </w:pPr>
            <w:r>
              <w:t>Cloud-regime and plume-placement forecasts</w:t>
            </w:r>
          </w:p>
        </w:tc>
        <w:tc>
          <w:tcPr>
            <w:tcW w:w="1438" w:type="dxa"/>
          </w:tcPr>
          <w:p w14:paraId="68C386F9" w14:textId="77777777" w:rsidR="003323F8" w:rsidRDefault="00000000">
            <w:pPr>
              <w:pStyle w:val="cTableBody"/>
              <w:spacing w:before="0" w:after="0"/>
            </w:pPr>
            <w:r>
              <w:t>$350,000</w:t>
            </w:r>
          </w:p>
        </w:tc>
      </w:tr>
      <w:tr w:rsidR="003323F8" w14:paraId="7884CF79" w14:textId="77777777" w:rsidTr="00DA4BD8">
        <w:tc>
          <w:tcPr>
            <w:tcW w:w="2433" w:type="dxa"/>
          </w:tcPr>
          <w:p w14:paraId="0801DF1E" w14:textId="77777777" w:rsidR="003323F8" w:rsidRDefault="00000000">
            <w:pPr>
              <w:pStyle w:val="cTableBody"/>
              <w:spacing w:before="0" w:after="0"/>
            </w:pPr>
            <w:r>
              <w:t>CR6-04 Satellite and control-region baseline</w:t>
            </w:r>
          </w:p>
        </w:tc>
        <w:tc>
          <w:tcPr>
            <w:tcW w:w="5993" w:type="dxa"/>
          </w:tcPr>
          <w:p w14:paraId="4AD92783" w14:textId="77777777" w:rsidR="003323F8" w:rsidRDefault="00000000">
            <w:pPr>
              <w:pStyle w:val="cTableBody"/>
              <w:spacing w:before="0" w:after="0"/>
            </w:pPr>
            <w:r>
              <w:t>Matched treated/control region dataset</w:t>
            </w:r>
          </w:p>
        </w:tc>
        <w:tc>
          <w:tcPr>
            <w:tcW w:w="1438" w:type="dxa"/>
          </w:tcPr>
          <w:p w14:paraId="07CDAD7A" w14:textId="77777777" w:rsidR="003323F8" w:rsidRDefault="00000000">
            <w:pPr>
              <w:pStyle w:val="cTableBody"/>
              <w:spacing w:before="0" w:after="0"/>
            </w:pPr>
            <w:r>
              <w:t>$250,000</w:t>
            </w:r>
          </w:p>
        </w:tc>
      </w:tr>
      <w:tr w:rsidR="003323F8" w14:paraId="2D8ECBF0" w14:textId="77777777" w:rsidTr="00DA4BD8">
        <w:tc>
          <w:tcPr>
            <w:tcW w:w="2433" w:type="dxa"/>
          </w:tcPr>
          <w:p w14:paraId="1A1850F7" w14:textId="77777777" w:rsidR="003323F8" w:rsidRDefault="00000000">
            <w:pPr>
              <w:pStyle w:val="cTableBody"/>
              <w:spacing w:before="0" w:after="0"/>
            </w:pPr>
            <w:r>
              <w:t>CR6-05 Field operations center and logistics</w:t>
            </w:r>
          </w:p>
        </w:tc>
        <w:tc>
          <w:tcPr>
            <w:tcW w:w="5993" w:type="dxa"/>
          </w:tcPr>
          <w:p w14:paraId="31E6DEE2" w14:textId="77777777" w:rsidR="003323F8" w:rsidRDefault="00000000">
            <w:pPr>
              <w:pStyle w:val="cTableBody"/>
              <w:spacing w:before="0" w:after="0"/>
            </w:pPr>
            <w:r>
              <w:t>Facilities, communications, shipping and personnel</w:t>
            </w:r>
          </w:p>
        </w:tc>
        <w:tc>
          <w:tcPr>
            <w:tcW w:w="1438" w:type="dxa"/>
          </w:tcPr>
          <w:p w14:paraId="01016510" w14:textId="77777777" w:rsidR="003323F8" w:rsidRDefault="00000000">
            <w:pPr>
              <w:pStyle w:val="cTableBody"/>
              <w:spacing w:before="0" w:after="0"/>
            </w:pPr>
            <w:r>
              <w:t>$600,000</w:t>
            </w:r>
          </w:p>
        </w:tc>
      </w:tr>
    </w:tbl>
    <w:p w14:paraId="5A3287B6" w14:textId="77777777" w:rsidR="003323F8" w:rsidRDefault="00000000">
      <w:pPr>
        <w:pStyle w:val="Heading3"/>
        <w:spacing w:before="280" w:after="280"/>
      </w:pPr>
      <w:r>
        <w:t>Phase 7: Release-day operations — $4.20M</w:t>
      </w:r>
    </w:p>
    <w:tbl>
      <w:tblPr>
        <w:tblStyle w:val="gswTableStyle"/>
        <w:tblW w:w="9864" w:type="dxa"/>
        <w:tblLayout w:type="fixed"/>
        <w:tblLook w:val="04A0" w:firstRow="1" w:lastRow="0" w:firstColumn="1" w:lastColumn="0" w:noHBand="0" w:noVBand="1"/>
      </w:tblPr>
      <w:tblGrid>
        <w:gridCol w:w="2433"/>
        <w:gridCol w:w="5993"/>
        <w:gridCol w:w="1438"/>
      </w:tblGrid>
      <w:tr w:rsidR="003323F8" w14:paraId="59969F86"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3" w:type="dxa"/>
          </w:tcPr>
          <w:p w14:paraId="5F8D2812" w14:textId="77777777" w:rsidR="003323F8" w:rsidRDefault="00000000">
            <w:pPr>
              <w:pStyle w:val="cTableHeader"/>
            </w:pPr>
            <w:r>
              <w:t>Procurement package</w:t>
            </w:r>
          </w:p>
        </w:tc>
        <w:tc>
          <w:tcPr>
            <w:tcW w:w="5993" w:type="dxa"/>
          </w:tcPr>
          <w:p w14:paraId="45471FB1" w14:textId="77777777" w:rsidR="003323F8" w:rsidRDefault="00000000">
            <w:pPr>
              <w:pStyle w:val="cTableHeader"/>
            </w:pPr>
            <w:r>
              <w:t>Deliverable</w:t>
            </w:r>
          </w:p>
        </w:tc>
        <w:tc>
          <w:tcPr>
            <w:tcW w:w="1438" w:type="dxa"/>
          </w:tcPr>
          <w:p w14:paraId="5497AB62" w14:textId="77777777" w:rsidR="003323F8" w:rsidRDefault="00000000">
            <w:pPr>
              <w:pStyle w:val="cTableHeader"/>
            </w:pPr>
            <w:r>
              <w:t>Estimate</w:t>
            </w:r>
          </w:p>
        </w:tc>
      </w:tr>
      <w:tr w:rsidR="003323F8" w14:paraId="2BF54409" w14:textId="77777777" w:rsidTr="00DA4BD8">
        <w:tc>
          <w:tcPr>
            <w:tcW w:w="2433" w:type="dxa"/>
          </w:tcPr>
          <w:p w14:paraId="0272B81E" w14:textId="77777777" w:rsidR="003323F8" w:rsidRDefault="00000000">
            <w:pPr>
              <w:pStyle w:val="cTableBody"/>
              <w:spacing w:before="0" w:after="0"/>
            </w:pPr>
            <w:r>
              <w:t>CR7-01 Release-vessel task order</w:t>
            </w:r>
          </w:p>
        </w:tc>
        <w:tc>
          <w:tcPr>
            <w:tcW w:w="5993" w:type="dxa"/>
          </w:tcPr>
          <w:p w14:paraId="060E019D" w14:textId="77777777" w:rsidR="003323F8" w:rsidRDefault="00000000">
            <w:pPr>
              <w:pStyle w:val="cTableBody"/>
              <w:spacing w:before="0" w:after="0"/>
            </w:pPr>
            <w:r>
              <w:t>Release/control patterns and certified emission record</w:t>
            </w:r>
          </w:p>
        </w:tc>
        <w:tc>
          <w:tcPr>
            <w:tcW w:w="1438" w:type="dxa"/>
          </w:tcPr>
          <w:p w14:paraId="626085AE" w14:textId="77777777" w:rsidR="003323F8" w:rsidRDefault="00000000">
            <w:pPr>
              <w:pStyle w:val="cTableBody"/>
              <w:spacing w:before="0" w:after="0"/>
            </w:pPr>
            <w:r>
              <w:t>$1,100,000</w:t>
            </w:r>
          </w:p>
        </w:tc>
      </w:tr>
      <w:tr w:rsidR="003323F8" w14:paraId="6FD8A6B4" w14:textId="77777777" w:rsidTr="00DA4BD8">
        <w:tc>
          <w:tcPr>
            <w:tcW w:w="2433" w:type="dxa"/>
          </w:tcPr>
          <w:p w14:paraId="7B3FE409" w14:textId="77777777" w:rsidR="003323F8" w:rsidRDefault="00000000">
            <w:pPr>
              <w:pStyle w:val="cTableBody"/>
              <w:spacing w:before="0" w:after="0"/>
            </w:pPr>
            <w:r>
              <w:t>CR7-02 Primary cloud-sampling aircraft</w:t>
            </w:r>
          </w:p>
        </w:tc>
        <w:tc>
          <w:tcPr>
            <w:tcW w:w="5993" w:type="dxa"/>
          </w:tcPr>
          <w:p w14:paraId="5D1C1425" w14:textId="77777777" w:rsidR="003323F8" w:rsidRDefault="00000000">
            <w:pPr>
              <w:pStyle w:val="cTableBody"/>
              <w:spacing w:before="0" w:after="0"/>
            </w:pPr>
            <w:r>
              <w:t>Repeated below-cloud, in-cloud and above-cloud transects</w:t>
            </w:r>
          </w:p>
        </w:tc>
        <w:tc>
          <w:tcPr>
            <w:tcW w:w="1438" w:type="dxa"/>
          </w:tcPr>
          <w:p w14:paraId="193DB86B" w14:textId="77777777" w:rsidR="003323F8" w:rsidRDefault="00000000">
            <w:pPr>
              <w:pStyle w:val="cTableBody"/>
              <w:spacing w:before="0" w:after="0"/>
            </w:pPr>
            <w:r>
              <w:t>$1,300,000</w:t>
            </w:r>
          </w:p>
        </w:tc>
      </w:tr>
      <w:tr w:rsidR="003323F8" w14:paraId="69A9C1A7" w14:textId="77777777" w:rsidTr="00DA4BD8">
        <w:tc>
          <w:tcPr>
            <w:tcW w:w="2433" w:type="dxa"/>
          </w:tcPr>
          <w:p w14:paraId="65802C51" w14:textId="77777777" w:rsidR="003323F8" w:rsidRDefault="00000000">
            <w:pPr>
              <w:pStyle w:val="cTableBody"/>
              <w:spacing w:before="0" w:after="0"/>
            </w:pPr>
            <w:r>
              <w:t>CR7-03 Remote-sensing aircraft or ground network</w:t>
            </w:r>
          </w:p>
        </w:tc>
        <w:tc>
          <w:tcPr>
            <w:tcW w:w="5993" w:type="dxa"/>
          </w:tcPr>
          <w:p w14:paraId="0131130B" w14:textId="77777777" w:rsidR="003323F8" w:rsidRDefault="00000000">
            <w:pPr>
              <w:pStyle w:val="cTableBody"/>
              <w:spacing w:before="0" w:after="0"/>
            </w:pPr>
            <w:r>
              <w:t>Cloud radar, lidar and radiative mapping</w:t>
            </w:r>
          </w:p>
        </w:tc>
        <w:tc>
          <w:tcPr>
            <w:tcW w:w="1438" w:type="dxa"/>
          </w:tcPr>
          <w:p w14:paraId="52B44AE3" w14:textId="77777777" w:rsidR="003323F8" w:rsidRDefault="00000000">
            <w:pPr>
              <w:pStyle w:val="cTableBody"/>
              <w:spacing w:before="0" w:after="0"/>
            </w:pPr>
            <w:r>
              <w:t>$600,000</w:t>
            </w:r>
          </w:p>
        </w:tc>
      </w:tr>
      <w:tr w:rsidR="003323F8" w14:paraId="20F4C40B" w14:textId="77777777" w:rsidTr="00DA4BD8">
        <w:tc>
          <w:tcPr>
            <w:tcW w:w="2433" w:type="dxa"/>
          </w:tcPr>
          <w:p w14:paraId="30770B25" w14:textId="77777777" w:rsidR="003323F8" w:rsidRDefault="00000000">
            <w:pPr>
              <w:pStyle w:val="cTableBody"/>
              <w:spacing w:before="0" w:after="0"/>
            </w:pPr>
            <w:r>
              <w:t>CR7-04 Drone and balloon operations</w:t>
            </w:r>
          </w:p>
        </w:tc>
        <w:tc>
          <w:tcPr>
            <w:tcW w:w="5993" w:type="dxa"/>
          </w:tcPr>
          <w:p w14:paraId="61F35E5C" w14:textId="77777777" w:rsidR="003323F8" w:rsidRDefault="00000000">
            <w:pPr>
              <w:pStyle w:val="cTableBody"/>
              <w:spacing w:before="0" w:after="0"/>
            </w:pPr>
            <w:r>
              <w:t>Plume-to-cloud vertical profiles</w:t>
            </w:r>
          </w:p>
        </w:tc>
        <w:tc>
          <w:tcPr>
            <w:tcW w:w="1438" w:type="dxa"/>
          </w:tcPr>
          <w:p w14:paraId="5077DA0B" w14:textId="77777777" w:rsidR="003323F8" w:rsidRDefault="00000000">
            <w:pPr>
              <w:pStyle w:val="cTableBody"/>
              <w:spacing w:before="0" w:after="0"/>
            </w:pPr>
            <w:r>
              <w:t>$350,000</w:t>
            </w:r>
          </w:p>
        </w:tc>
      </w:tr>
      <w:tr w:rsidR="003323F8" w14:paraId="7C130712" w14:textId="77777777" w:rsidTr="00DA4BD8">
        <w:tc>
          <w:tcPr>
            <w:tcW w:w="2433" w:type="dxa"/>
          </w:tcPr>
          <w:p w14:paraId="6911B0FC" w14:textId="77777777" w:rsidR="003323F8" w:rsidRDefault="00000000">
            <w:pPr>
              <w:pStyle w:val="cTableBody"/>
              <w:spacing w:before="0" w:after="0"/>
            </w:pPr>
            <w:r>
              <w:t>CR7-05 Mission-control center</w:t>
            </w:r>
          </w:p>
        </w:tc>
        <w:tc>
          <w:tcPr>
            <w:tcW w:w="5993" w:type="dxa"/>
          </w:tcPr>
          <w:p w14:paraId="66BFAF54" w14:textId="77777777" w:rsidR="003323F8" w:rsidRDefault="00000000">
            <w:pPr>
              <w:pStyle w:val="cTableBody"/>
              <w:spacing w:before="0" w:after="0"/>
            </w:pPr>
            <w:r>
              <w:t>Real-time forecasts, guidance and data display</w:t>
            </w:r>
          </w:p>
        </w:tc>
        <w:tc>
          <w:tcPr>
            <w:tcW w:w="1438" w:type="dxa"/>
          </w:tcPr>
          <w:p w14:paraId="62B6060D" w14:textId="77777777" w:rsidR="003323F8" w:rsidRDefault="00000000">
            <w:pPr>
              <w:pStyle w:val="cTableBody"/>
              <w:spacing w:before="0" w:after="0"/>
            </w:pPr>
            <w:r>
              <w:t>$350,000</w:t>
            </w:r>
          </w:p>
        </w:tc>
      </w:tr>
      <w:tr w:rsidR="003323F8" w14:paraId="69D5C24F" w14:textId="77777777" w:rsidTr="00DA4BD8">
        <w:tc>
          <w:tcPr>
            <w:tcW w:w="2433" w:type="dxa"/>
          </w:tcPr>
          <w:p w14:paraId="01034264" w14:textId="77777777" w:rsidR="003323F8" w:rsidRDefault="00000000">
            <w:pPr>
              <w:pStyle w:val="cTableBody"/>
              <w:spacing w:before="0" w:after="0"/>
            </w:pPr>
            <w:r>
              <w:t>CR7-06 Standby and weather option</w:t>
            </w:r>
          </w:p>
        </w:tc>
        <w:tc>
          <w:tcPr>
            <w:tcW w:w="5993" w:type="dxa"/>
          </w:tcPr>
          <w:p w14:paraId="7516ABC0" w14:textId="77777777" w:rsidR="003323F8" w:rsidRDefault="00000000">
            <w:pPr>
              <w:pStyle w:val="cTableBody"/>
              <w:spacing w:before="0" w:after="0"/>
            </w:pPr>
            <w:r>
              <w:t>Reserved platforms and crews</w:t>
            </w:r>
          </w:p>
        </w:tc>
        <w:tc>
          <w:tcPr>
            <w:tcW w:w="1438" w:type="dxa"/>
          </w:tcPr>
          <w:p w14:paraId="01C7D227" w14:textId="77777777" w:rsidR="003323F8" w:rsidRDefault="00000000">
            <w:pPr>
              <w:pStyle w:val="cTableBody"/>
              <w:spacing w:before="0" w:after="0"/>
            </w:pPr>
            <w:r>
              <w:t>$500,000</w:t>
            </w:r>
          </w:p>
        </w:tc>
      </w:tr>
    </w:tbl>
    <w:p w14:paraId="488C4DFB" w14:textId="77777777" w:rsidR="003323F8" w:rsidRDefault="00000000">
      <w:pPr>
        <w:pStyle w:val="Heading3"/>
        <w:spacing w:before="280" w:after="280"/>
      </w:pPr>
      <w:r>
        <w:t>Phase 8: Repeated cloud sampling — $10.00M</w:t>
      </w:r>
    </w:p>
    <w:tbl>
      <w:tblPr>
        <w:tblStyle w:val="gswTableStyle"/>
        <w:tblW w:w="9864" w:type="dxa"/>
        <w:tblLayout w:type="fixed"/>
        <w:tblLook w:val="04A0" w:firstRow="1" w:lastRow="0" w:firstColumn="1" w:lastColumn="0" w:noHBand="0" w:noVBand="1"/>
      </w:tblPr>
      <w:tblGrid>
        <w:gridCol w:w="2440"/>
        <w:gridCol w:w="5987"/>
        <w:gridCol w:w="1437"/>
      </w:tblGrid>
      <w:tr w:rsidR="003323F8" w14:paraId="79D2AB25"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40" w:type="dxa"/>
          </w:tcPr>
          <w:p w14:paraId="49987BA3" w14:textId="77777777" w:rsidR="003323F8" w:rsidRDefault="00000000">
            <w:pPr>
              <w:pStyle w:val="cTableHeader"/>
            </w:pPr>
            <w:r>
              <w:t>Procurement package</w:t>
            </w:r>
          </w:p>
        </w:tc>
        <w:tc>
          <w:tcPr>
            <w:tcW w:w="5987" w:type="dxa"/>
          </w:tcPr>
          <w:p w14:paraId="79CBF3CE" w14:textId="77777777" w:rsidR="003323F8" w:rsidRDefault="00000000">
            <w:pPr>
              <w:pStyle w:val="cTableHeader"/>
            </w:pPr>
            <w:r>
              <w:t>Deliverable</w:t>
            </w:r>
          </w:p>
        </w:tc>
        <w:tc>
          <w:tcPr>
            <w:tcW w:w="1437" w:type="dxa"/>
          </w:tcPr>
          <w:p w14:paraId="20550CA4" w14:textId="77777777" w:rsidR="003323F8" w:rsidRDefault="00000000">
            <w:pPr>
              <w:pStyle w:val="cTableHeader"/>
            </w:pPr>
            <w:r>
              <w:t>Estimate</w:t>
            </w:r>
          </w:p>
        </w:tc>
      </w:tr>
      <w:tr w:rsidR="003323F8" w14:paraId="360DBEE9" w14:textId="77777777" w:rsidTr="00DA4BD8">
        <w:tc>
          <w:tcPr>
            <w:tcW w:w="2440" w:type="dxa"/>
          </w:tcPr>
          <w:p w14:paraId="21FC93CB" w14:textId="77777777" w:rsidR="003323F8" w:rsidRDefault="00000000">
            <w:pPr>
              <w:pStyle w:val="cTableBody"/>
              <w:spacing w:before="0" w:after="0"/>
            </w:pPr>
            <w:r>
              <w:t>CR8-01 Primary aircraft block</w:t>
            </w:r>
          </w:p>
        </w:tc>
        <w:tc>
          <w:tcPr>
            <w:tcW w:w="5987" w:type="dxa"/>
          </w:tcPr>
          <w:p w14:paraId="71BE9534" w14:textId="77777777" w:rsidR="003323F8" w:rsidRDefault="00000000">
            <w:pPr>
              <w:pStyle w:val="cTableBody"/>
              <w:spacing w:before="0" w:after="0"/>
            </w:pPr>
            <w:r>
              <w:t>Multiple release and control sorties</w:t>
            </w:r>
          </w:p>
        </w:tc>
        <w:tc>
          <w:tcPr>
            <w:tcW w:w="1437" w:type="dxa"/>
          </w:tcPr>
          <w:p w14:paraId="376EF084" w14:textId="77777777" w:rsidR="003323F8" w:rsidRDefault="00000000">
            <w:pPr>
              <w:pStyle w:val="cTableBody"/>
              <w:spacing w:before="0" w:after="0"/>
            </w:pPr>
            <w:r>
              <w:t>$3,600,000</w:t>
            </w:r>
          </w:p>
        </w:tc>
      </w:tr>
      <w:tr w:rsidR="003323F8" w14:paraId="71914170" w14:textId="77777777" w:rsidTr="00DA4BD8">
        <w:tc>
          <w:tcPr>
            <w:tcW w:w="2440" w:type="dxa"/>
          </w:tcPr>
          <w:p w14:paraId="4861CB02" w14:textId="77777777" w:rsidR="003323F8" w:rsidRDefault="00000000">
            <w:pPr>
              <w:pStyle w:val="cTableBody"/>
              <w:spacing w:before="0" w:after="0"/>
            </w:pPr>
            <w:r>
              <w:t>CR8-02 Second aircraft or complementary platform</w:t>
            </w:r>
          </w:p>
        </w:tc>
        <w:tc>
          <w:tcPr>
            <w:tcW w:w="5987" w:type="dxa"/>
          </w:tcPr>
          <w:p w14:paraId="6AB5E7D0" w14:textId="77777777" w:rsidR="003323F8" w:rsidRDefault="00000000">
            <w:pPr>
              <w:pStyle w:val="cTableBody"/>
              <w:spacing w:before="0" w:after="0"/>
            </w:pPr>
            <w:r>
              <w:t>Cloud-top remote sensing or wider-area sampling</w:t>
            </w:r>
          </w:p>
        </w:tc>
        <w:tc>
          <w:tcPr>
            <w:tcW w:w="1437" w:type="dxa"/>
          </w:tcPr>
          <w:p w14:paraId="5F8AF977" w14:textId="77777777" w:rsidR="003323F8" w:rsidRDefault="00000000">
            <w:pPr>
              <w:pStyle w:val="cTableBody"/>
              <w:spacing w:before="0" w:after="0"/>
            </w:pPr>
            <w:r>
              <w:t>$1,600,000</w:t>
            </w:r>
          </w:p>
        </w:tc>
      </w:tr>
      <w:tr w:rsidR="003323F8" w14:paraId="7B6F7BB0" w14:textId="77777777" w:rsidTr="00DA4BD8">
        <w:tc>
          <w:tcPr>
            <w:tcW w:w="2440" w:type="dxa"/>
          </w:tcPr>
          <w:p w14:paraId="6C886583" w14:textId="77777777" w:rsidR="003323F8" w:rsidRDefault="00000000">
            <w:pPr>
              <w:pStyle w:val="cTableBody"/>
              <w:spacing w:before="0" w:after="0"/>
            </w:pPr>
            <w:r>
              <w:t>CR8-03 Release-vessel operating block</w:t>
            </w:r>
          </w:p>
        </w:tc>
        <w:tc>
          <w:tcPr>
            <w:tcW w:w="5987" w:type="dxa"/>
          </w:tcPr>
          <w:p w14:paraId="47AB4E4C" w14:textId="77777777" w:rsidR="003323F8" w:rsidRDefault="00000000">
            <w:pPr>
              <w:pStyle w:val="cTableBody"/>
              <w:spacing w:before="0" w:after="0"/>
            </w:pPr>
            <w:r>
              <w:t>Repeated source operation and control periods</w:t>
            </w:r>
          </w:p>
        </w:tc>
        <w:tc>
          <w:tcPr>
            <w:tcW w:w="1437" w:type="dxa"/>
          </w:tcPr>
          <w:p w14:paraId="11E78F41" w14:textId="77777777" w:rsidR="003323F8" w:rsidRDefault="00000000">
            <w:pPr>
              <w:pStyle w:val="cTableBody"/>
              <w:spacing w:before="0" w:after="0"/>
            </w:pPr>
            <w:r>
              <w:t>$1,500,000</w:t>
            </w:r>
          </w:p>
        </w:tc>
      </w:tr>
      <w:tr w:rsidR="003323F8" w14:paraId="041C9179" w14:textId="77777777" w:rsidTr="00DA4BD8">
        <w:tc>
          <w:tcPr>
            <w:tcW w:w="2440" w:type="dxa"/>
          </w:tcPr>
          <w:p w14:paraId="7EE90F49" w14:textId="77777777" w:rsidR="003323F8" w:rsidRDefault="00000000">
            <w:pPr>
              <w:pStyle w:val="cTableBody"/>
              <w:spacing w:before="0" w:after="0"/>
            </w:pPr>
            <w:r>
              <w:t>CR8-04 Radar/lidar/radiometer network</w:t>
            </w:r>
          </w:p>
        </w:tc>
        <w:tc>
          <w:tcPr>
            <w:tcW w:w="5987" w:type="dxa"/>
          </w:tcPr>
          <w:p w14:paraId="4DFC6991" w14:textId="77777777" w:rsidR="003323F8" w:rsidRDefault="00000000">
            <w:pPr>
              <w:pStyle w:val="cTableBody"/>
              <w:spacing w:before="0" w:after="0"/>
            </w:pPr>
            <w:r>
              <w:t>Continuous cloud and radiation observations</w:t>
            </w:r>
          </w:p>
        </w:tc>
        <w:tc>
          <w:tcPr>
            <w:tcW w:w="1437" w:type="dxa"/>
          </w:tcPr>
          <w:p w14:paraId="676AB7DD" w14:textId="77777777" w:rsidR="003323F8" w:rsidRDefault="00000000">
            <w:pPr>
              <w:pStyle w:val="cTableBody"/>
              <w:spacing w:before="0" w:after="0"/>
            </w:pPr>
            <w:r>
              <w:t>$800,000</w:t>
            </w:r>
          </w:p>
        </w:tc>
      </w:tr>
      <w:tr w:rsidR="003323F8" w14:paraId="5E54E444" w14:textId="77777777" w:rsidTr="00DA4BD8">
        <w:tc>
          <w:tcPr>
            <w:tcW w:w="2440" w:type="dxa"/>
          </w:tcPr>
          <w:p w14:paraId="57058FEB" w14:textId="77777777" w:rsidR="003323F8" w:rsidRDefault="00000000">
            <w:pPr>
              <w:pStyle w:val="cTableBody"/>
              <w:spacing w:before="0" w:after="0"/>
            </w:pPr>
            <w:r>
              <w:t>CR8-05 Satellite rapid-response processing</w:t>
            </w:r>
          </w:p>
        </w:tc>
        <w:tc>
          <w:tcPr>
            <w:tcW w:w="5987" w:type="dxa"/>
          </w:tcPr>
          <w:p w14:paraId="0B6F16B9" w14:textId="77777777" w:rsidR="003323F8" w:rsidRDefault="00000000">
            <w:pPr>
              <w:pStyle w:val="cTableBody"/>
              <w:spacing w:before="0" w:after="0"/>
            </w:pPr>
            <w:r>
              <w:t>Daily treated/control products</w:t>
            </w:r>
          </w:p>
        </w:tc>
        <w:tc>
          <w:tcPr>
            <w:tcW w:w="1437" w:type="dxa"/>
          </w:tcPr>
          <w:p w14:paraId="3FC75D59" w14:textId="77777777" w:rsidR="003323F8" w:rsidRDefault="00000000">
            <w:pPr>
              <w:pStyle w:val="cTableBody"/>
              <w:spacing w:before="0" w:after="0"/>
            </w:pPr>
            <w:r>
              <w:t>$300,000</w:t>
            </w:r>
          </w:p>
        </w:tc>
      </w:tr>
      <w:tr w:rsidR="003323F8" w14:paraId="762F7769" w14:textId="77777777" w:rsidTr="00DA4BD8">
        <w:tc>
          <w:tcPr>
            <w:tcW w:w="2440" w:type="dxa"/>
          </w:tcPr>
          <w:p w14:paraId="79C5E2BC" w14:textId="77777777" w:rsidR="003323F8" w:rsidRDefault="00000000">
            <w:pPr>
              <w:pStyle w:val="cTableBody"/>
              <w:spacing w:before="0" w:after="0"/>
            </w:pPr>
            <w:r>
              <w:t>CR8-06 Forecast and data assimilation center</w:t>
            </w:r>
          </w:p>
        </w:tc>
        <w:tc>
          <w:tcPr>
            <w:tcW w:w="5987" w:type="dxa"/>
          </w:tcPr>
          <w:p w14:paraId="379844ED" w14:textId="77777777" w:rsidR="003323F8" w:rsidRDefault="00000000">
            <w:pPr>
              <w:pStyle w:val="cTableBody"/>
              <w:spacing w:before="0" w:after="0"/>
            </w:pPr>
            <w:r>
              <w:t>Twice-daily mission targeting and nowcasts</w:t>
            </w:r>
          </w:p>
        </w:tc>
        <w:tc>
          <w:tcPr>
            <w:tcW w:w="1437" w:type="dxa"/>
          </w:tcPr>
          <w:p w14:paraId="67991109" w14:textId="77777777" w:rsidR="003323F8" w:rsidRDefault="00000000">
            <w:pPr>
              <w:pStyle w:val="cTableBody"/>
              <w:spacing w:before="0" w:after="0"/>
            </w:pPr>
            <w:r>
              <w:t>$650,000</w:t>
            </w:r>
          </w:p>
        </w:tc>
      </w:tr>
      <w:tr w:rsidR="003323F8" w14:paraId="59D91734" w14:textId="77777777" w:rsidTr="00DA4BD8">
        <w:tc>
          <w:tcPr>
            <w:tcW w:w="2440" w:type="dxa"/>
          </w:tcPr>
          <w:p w14:paraId="1604DBA0" w14:textId="77777777" w:rsidR="003323F8" w:rsidRDefault="00000000">
            <w:pPr>
              <w:pStyle w:val="cTableBody"/>
              <w:spacing w:before="0" w:after="0"/>
            </w:pPr>
            <w:r>
              <w:t>CR8-07 Field personnel, maintenance and logistics</w:t>
            </w:r>
          </w:p>
        </w:tc>
        <w:tc>
          <w:tcPr>
            <w:tcW w:w="5987" w:type="dxa"/>
          </w:tcPr>
          <w:p w14:paraId="536A52EE" w14:textId="77777777" w:rsidR="003323F8" w:rsidRDefault="00000000">
            <w:pPr>
              <w:pStyle w:val="cTableBody"/>
              <w:spacing w:before="0" w:after="0"/>
            </w:pPr>
            <w:r>
              <w:t>Travel, facilities, repairs and spares</w:t>
            </w:r>
          </w:p>
        </w:tc>
        <w:tc>
          <w:tcPr>
            <w:tcW w:w="1437" w:type="dxa"/>
          </w:tcPr>
          <w:p w14:paraId="30FC4B14" w14:textId="77777777" w:rsidR="003323F8" w:rsidRDefault="00000000">
            <w:pPr>
              <w:pStyle w:val="cTableBody"/>
              <w:spacing w:before="0" w:after="0"/>
            </w:pPr>
            <w:r>
              <w:t>$900,000</w:t>
            </w:r>
          </w:p>
        </w:tc>
      </w:tr>
      <w:tr w:rsidR="003323F8" w14:paraId="1C9CA143" w14:textId="77777777" w:rsidTr="00DA4BD8">
        <w:tc>
          <w:tcPr>
            <w:tcW w:w="2440" w:type="dxa"/>
          </w:tcPr>
          <w:p w14:paraId="785C1707" w14:textId="77777777" w:rsidR="003323F8" w:rsidRDefault="00000000">
            <w:pPr>
              <w:pStyle w:val="cTableBody"/>
              <w:spacing w:before="0" w:after="0"/>
            </w:pPr>
            <w:r>
              <w:t>CR8-08 Contingency sortie option</w:t>
            </w:r>
          </w:p>
        </w:tc>
        <w:tc>
          <w:tcPr>
            <w:tcW w:w="5987" w:type="dxa"/>
          </w:tcPr>
          <w:p w14:paraId="7FEC7262" w14:textId="77777777" w:rsidR="003323F8" w:rsidRDefault="00000000">
            <w:pPr>
              <w:pStyle w:val="cTableBody"/>
              <w:spacing w:before="0" w:after="0"/>
            </w:pPr>
            <w:r>
              <w:t>Replacement for unsuitable-cloud or aborted mission</w:t>
            </w:r>
          </w:p>
        </w:tc>
        <w:tc>
          <w:tcPr>
            <w:tcW w:w="1437" w:type="dxa"/>
          </w:tcPr>
          <w:p w14:paraId="2CED09C5" w14:textId="77777777" w:rsidR="003323F8" w:rsidRDefault="00000000">
            <w:pPr>
              <w:pStyle w:val="cTableBody"/>
              <w:spacing w:before="0" w:after="0"/>
            </w:pPr>
            <w:r>
              <w:t>$650,000</w:t>
            </w:r>
          </w:p>
        </w:tc>
      </w:tr>
    </w:tbl>
    <w:p w14:paraId="3FE340E3" w14:textId="77777777" w:rsidR="003323F8" w:rsidRDefault="00000000">
      <w:pPr>
        <w:pStyle w:val="Heading3"/>
        <w:spacing w:before="280" w:after="280"/>
      </w:pPr>
      <w:r>
        <w:t>Phase 9: Radiative and dynamical closure — $5.00M</w:t>
      </w:r>
    </w:p>
    <w:tbl>
      <w:tblPr>
        <w:tblStyle w:val="gswTableStyle"/>
        <w:tblW w:w="9864" w:type="dxa"/>
        <w:tblLayout w:type="fixed"/>
        <w:tblLook w:val="04A0" w:firstRow="1" w:lastRow="0" w:firstColumn="1" w:lastColumn="0" w:noHBand="0" w:noVBand="1"/>
      </w:tblPr>
      <w:tblGrid>
        <w:gridCol w:w="2434"/>
        <w:gridCol w:w="5992"/>
        <w:gridCol w:w="1438"/>
      </w:tblGrid>
      <w:tr w:rsidR="003323F8" w14:paraId="29058F38"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0C3D0B20" w14:textId="77777777" w:rsidR="003323F8" w:rsidRDefault="00000000">
            <w:pPr>
              <w:pStyle w:val="cTableHeader"/>
            </w:pPr>
            <w:r>
              <w:t>Procurement package</w:t>
            </w:r>
          </w:p>
        </w:tc>
        <w:tc>
          <w:tcPr>
            <w:tcW w:w="5992" w:type="dxa"/>
          </w:tcPr>
          <w:p w14:paraId="1CE0891E" w14:textId="77777777" w:rsidR="003323F8" w:rsidRDefault="00000000">
            <w:pPr>
              <w:pStyle w:val="cTableHeader"/>
            </w:pPr>
            <w:r>
              <w:t>Deliverable</w:t>
            </w:r>
          </w:p>
        </w:tc>
        <w:tc>
          <w:tcPr>
            <w:tcW w:w="1438" w:type="dxa"/>
          </w:tcPr>
          <w:p w14:paraId="6CF90A1B" w14:textId="77777777" w:rsidR="003323F8" w:rsidRDefault="00000000">
            <w:pPr>
              <w:pStyle w:val="cTableHeader"/>
            </w:pPr>
            <w:r>
              <w:t>Estimate</w:t>
            </w:r>
          </w:p>
        </w:tc>
      </w:tr>
      <w:tr w:rsidR="003323F8" w14:paraId="4CA0CF7D" w14:textId="77777777" w:rsidTr="00DA4BD8">
        <w:tc>
          <w:tcPr>
            <w:tcW w:w="2434" w:type="dxa"/>
          </w:tcPr>
          <w:p w14:paraId="55540FEA" w14:textId="77777777" w:rsidR="003323F8" w:rsidRDefault="00000000">
            <w:pPr>
              <w:pStyle w:val="cTableBody"/>
              <w:spacing w:before="0" w:after="0"/>
            </w:pPr>
            <w:r>
              <w:t>CR9-01 Aerosol activation and droplet analysis</w:t>
            </w:r>
          </w:p>
        </w:tc>
        <w:tc>
          <w:tcPr>
            <w:tcW w:w="5992" w:type="dxa"/>
          </w:tcPr>
          <w:p w14:paraId="14F3632B" w14:textId="77777777" w:rsidR="003323F8" w:rsidRDefault="00000000">
            <w:pPr>
              <w:pStyle w:val="cTableBody"/>
              <w:spacing w:before="0" w:after="0"/>
            </w:pPr>
            <w:r>
              <w:t>Emission-to-cloud-droplet transfer function</w:t>
            </w:r>
          </w:p>
        </w:tc>
        <w:tc>
          <w:tcPr>
            <w:tcW w:w="1438" w:type="dxa"/>
          </w:tcPr>
          <w:p w14:paraId="58303652" w14:textId="77777777" w:rsidR="003323F8" w:rsidRDefault="00000000">
            <w:pPr>
              <w:pStyle w:val="cTableBody"/>
              <w:spacing w:before="0" w:after="0"/>
            </w:pPr>
            <w:r>
              <w:t>$800,000</w:t>
            </w:r>
          </w:p>
        </w:tc>
      </w:tr>
      <w:tr w:rsidR="003323F8" w14:paraId="4455CD7A" w14:textId="77777777" w:rsidTr="00DA4BD8">
        <w:tc>
          <w:tcPr>
            <w:tcW w:w="2434" w:type="dxa"/>
          </w:tcPr>
          <w:p w14:paraId="5044D73C" w14:textId="77777777" w:rsidR="003323F8" w:rsidRDefault="00000000">
            <w:pPr>
              <w:pStyle w:val="cTableBody"/>
              <w:spacing w:before="0" w:after="0"/>
            </w:pPr>
            <w:r>
              <w:t>CR9-02 Cloud water, drizzle and lifetime analysis</w:t>
            </w:r>
          </w:p>
        </w:tc>
        <w:tc>
          <w:tcPr>
            <w:tcW w:w="5992" w:type="dxa"/>
          </w:tcPr>
          <w:p w14:paraId="7C01F70E" w14:textId="77777777" w:rsidR="003323F8" w:rsidRDefault="00000000">
            <w:pPr>
              <w:pStyle w:val="cTableBody"/>
              <w:spacing w:before="0" w:after="0"/>
            </w:pPr>
            <w:r>
              <w:t>Microphysical and dynamical response</w:t>
            </w:r>
          </w:p>
        </w:tc>
        <w:tc>
          <w:tcPr>
            <w:tcW w:w="1438" w:type="dxa"/>
          </w:tcPr>
          <w:p w14:paraId="726FC141" w14:textId="77777777" w:rsidR="003323F8" w:rsidRDefault="00000000">
            <w:pPr>
              <w:pStyle w:val="cTableBody"/>
              <w:spacing w:before="0" w:after="0"/>
            </w:pPr>
            <w:r>
              <w:t>$850,000</w:t>
            </w:r>
          </w:p>
        </w:tc>
      </w:tr>
      <w:tr w:rsidR="003323F8" w14:paraId="378C9AD9" w14:textId="77777777" w:rsidTr="00DA4BD8">
        <w:tc>
          <w:tcPr>
            <w:tcW w:w="2434" w:type="dxa"/>
          </w:tcPr>
          <w:p w14:paraId="2AB8ACB2" w14:textId="77777777" w:rsidR="003323F8" w:rsidRDefault="00000000">
            <w:pPr>
              <w:pStyle w:val="cTableBody"/>
              <w:spacing w:before="0" w:after="0"/>
            </w:pPr>
            <w:r>
              <w:t>CR9-03 Shortwave radiative closure</w:t>
            </w:r>
          </w:p>
        </w:tc>
        <w:tc>
          <w:tcPr>
            <w:tcW w:w="5992" w:type="dxa"/>
          </w:tcPr>
          <w:p w14:paraId="09C5E74F" w14:textId="77777777" w:rsidR="003323F8" w:rsidRDefault="00000000">
            <w:pPr>
              <w:pStyle w:val="cTableBody"/>
              <w:spacing w:before="0" w:after="0"/>
            </w:pPr>
            <w:r>
              <w:t>Measured and modeled reflection attributable to treatment</w:t>
            </w:r>
          </w:p>
        </w:tc>
        <w:tc>
          <w:tcPr>
            <w:tcW w:w="1438" w:type="dxa"/>
          </w:tcPr>
          <w:p w14:paraId="08476F7C" w14:textId="77777777" w:rsidR="003323F8" w:rsidRDefault="00000000">
            <w:pPr>
              <w:pStyle w:val="cTableBody"/>
              <w:spacing w:before="0" w:after="0"/>
            </w:pPr>
            <w:r>
              <w:t>$850,000</w:t>
            </w:r>
          </w:p>
        </w:tc>
      </w:tr>
      <w:tr w:rsidR="003323F8" w14:paraId="14CA9EC7" w14:textId="77777777" w:rsidTr="00DA4BD8">
        <w:tc>
          <w:tcPr>
            <w:tcW w:w="2434" w:type="dxa"/>
          </w:tcPr>
          <w:p w14:paraId="281D5684" w14:textId="77777777" w:rsidR="003323F8" w:rsidRDefault="00000000">
            <w:pPr>
              <w:pStyle w:val="cTableBody"/>
              <w:spacing w:before="0" w:after="0"/>
            </w:pPr>
            <w:r>
              <w:t>CR9-04 Cloud fraction and mesoscale organization</w:t>
            </w:r>
          </w:p>
        </w:tc>
        <w:tc>
          <w:tcPr>
            <w:tcW w:w="5992" w:type="dxa"/>
          </w:tcPr>
          <w:p w14:paraId="088CDE13" w14:textId="77777777" w:rsidR="003323F8" w:rsidRDefault="00000000">
            <w:pPr>
              <w:pStyle w:val="cTableBody"/>
              <w:spacing w:before="0" w:after="0"/>
            </w:pPr>
            <w:r>
              <w:t>Open/closed-cell transitions and cloud-field response</w:t>
            </w:r>
          </w:p>
        </w:tc>
        <w:tc>
          <w:tcPr>
            <w:tcW w:w="1438" w:type="dxa"/>
          </w:tcPr>
          <w:p w14:paraId="1F302365" w14:textId="77777777" w:rsidR="003323F8" w:rsidRDefault="00000000">
            <w:pPr>
              <w:pStyle w:val="cTableBody"/>
              <w:spacing w:before="0" w:after="0"/>
            </w:pPr>
            <w:r>
              <w:t>$650,000</w:t>
            </w:r>
          </w:p>
        </w:tc>
      </w:tr>
      <w:tr w:rsidR="003323F8" w14:paraId="71038F84" w14:textId="77777777" w:rsidTr="00DA4BD8">
        <w:tc>
          <w:tcPr>
            <w:tcW w:w="2434" w:type="dxa"/>
          </w:tcPr>
          <w:p w14:paraId="3C39FDE7" w14:textId="77777777" w:rsidR="003323F8" w:rsidRDefault="00000000">
            <w:pPr>
              <w:pStyle w:val="cTableBody"/>
              <w:spacing w:before="0" w:after="0"/>
            </w:pPr>
            <w:r>
              <w:t>CR9-05 Laboratory sample and composition analysis</w:t>
            </w:r>
          </w:p>
        </w:tc>
        <w:tc>
          <w:tcPr>
            <w:tcW w:w="5992" w:type="dxa"/>
          </w:tcPr>
          <w:p w14:paraId="17CE56F2" w14:textId="77777777" w:rsidR="003323F8" w:rsidRDefault="00000000">
            <w:pPr>
              <w:pStyle w:val="cTableBody"/>
              <w:spacing w:before="0" w:after="0"/>
            </w:pPr>
            <w:r>
              <w:t>Sea salt, organics and contamination</w:t>
            </w:r>
          </w:p>
        </w:tc>
        <w:tc>
          <w:tcPr>
            <w:tcW w:w="1438" w:type="dxa"/>
          </w:tcPr>
          <w:p w14:paraId="61EA3517" w14:textId="77777777" w:rsidR="003323F8" w:rsidRDefault="00000000">
            <w:pPr>
              <w:pStyle w:val="cTableBody"/>
              <w:spacing w:before="0" w:after="0"/>
            </w:pPr>
            <w:r>
              <w:t>$350,000</w:t>
            </w:r>
          </w:p>
        </w:tc>
      </w:tr>
      <w:tr w:rsidR="003323F8" w14:paraId="7D0A30D8" w14:textId="77777777" w:rsidTr="00DA4BD8">
        <w:tc>
          <w:tcPr>
            <w:tcW w:w="2434" w:type="dxa"/>
          </w:tcPr>
          <w:p w14:paraId="30A5A4D4" w14:textId="77777777" w:rsidR="003323F8" w:rsidRDefault="00000000">
            <w:pPr>
              <w:pStyle w:val="cTableBody"/>
              <w:spacing w:before="0" w:after="0"/>
            </w:pPr>
            <w:r>
              <w:t>CR9-06 University science subawards</w:t>
            </w:r>
          </w:p>
        </w:tc>
        <w:tc>
          <w:tcPr>
            <w:tcW w:w="5992" w:type="dxa"/>
          </w:tcPr>
          <w:p w14:paraId="5DB125D1" w14:textId="77777777" w:rsidR="003323F8" w:rsidRDefault="00000000">
            <w:pPr>
              <w:pStyle w:val="cTableBody"/>
              <w:spacing w:before="0" w:after="0"/>
            </w:pPr>
            <w:r>
              <w:t>Independent PI and early-career analysis teams</w:t>
            </w:r>
          </w:p>
        </w:tc>
        <w:tc>
          <w:tcPr>
            <w:tcW w:w="1438" w:type="dxa"/>
          </w:tcPr>
          <w:p w14:paraId="7004A3BB" w14:textId="77777777" w:rsidR="003323F8" w:rsidRDefault="00000000">
            <w:pPr>
              <w:pStyle w:val="cTableBody"/>
              <w:spacing w:before="0" w:after="0"/>
            </w:pPr>
            <w:r>
              <w:t>$1,000,000</w:t>
            </w:r>
          </w:p>
        </w:tc>
      </w:tr>
      <w:tr w:rsidR="003323F8" w14:paraId="04B20EDB" w14:textId="77777777" w:rsidTr="00DA4BD8">
        <w:tc>
          <w:tcPr>
            <w:tcW w:w="2434" w:type="dxa"/>
          </w:tcPr>
          <w:p w14:paraId="0B00CEAD" w14:textId="77777777" w:rsidR="003323F8" w:rsidRDefault="00000000">
            <w:pPr>
              <w:pStyle w:val="cTableBody"/>
              <w:spacing w:before="0" w:after="0"/>
            </w:pPr>
            <w:r>
              <w:t>CR9-07 Data quality and uncertainty review</w:t>
            </w:r>
          </w:p>
        </w:tc>
        <w:tc>
          <w:tcPr>
            <w:tcW w:w="5992" w:type="dxa"/>
          </w:tcPr>
          <w:p w14:paraId="39056E3B" w14:textId="77777777" w:rsidR="003323F8" w:rsidRDefault="00000000">
            <w:pPr>
              <w:pStyle w:val="cTableBody"/>
              <w:spacing w:before="0" w:after="0"/>
            </w:pPr>
            <w:r>
              <w:t>Validated final dataset and uncertainty budget</w:t>
            </w:r>
          </w:p>
        </w:tc>
        <w:tc>
          <w:tcPr>
            <w:tcW w:w="1438" w:type="dxa"/>
          </w:tcPr>
          <w:p w14:paraId="2062ADCB" w14:textId="77777777" w:rsidR="003323F8" w:rsidRDefault="00000000">
            <w:pPr>
              <w:pStyle w:val="cTableBody"/>
              <w:spacing w:before="0" w:after="0"/>
            </w:pPr>
            <w:r>
              <w:t>$500,000</w:t>
            </w:r>
          </w:p>
        </w:tc>
      </w:tr>
    </w:tbl>
    <w:p w14:paraId="3DF08D53" w14:textId="77777777" w:rsidR="003323F8" w:rsidRDefault="00000000">
      <w:pPr>
        <w:pStyle w:val="Heading3"/>
        <w:spacing w:before="280" w:after="280"/>
      </w:pPr>
      <w:r>
        <w:t>Phase 10: Regional modeling and attribution — $3.40M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00C98B86"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506A719B" w14:textId="77777777" w:rsidR="003323F8" w:rsidRDefault="00000000">
            <w:pPr>
              <w:pStyle w:val="cTableHeader"/>
              <w:keepNext/>
            </w:pPr>
            <w:r>
              <w:t>Procurement package</w:t>
            </w:r>
          </w:p>
        </w:tc>
        <w:tc>
          <w:tcPr>
            <w:tcW w:w="5993" w:type="dxa"/>
          </w:tcPr>
          <w:p w14:paraId="1E9539F4" w14:textId="77777777" w:rsidR="003323F8" w:rsidRDefault="00000000">
            <w:pPr>
              <w:pStyle w:val="cTableHeader"/>
              <w:keepNext/>
            </w:pPr>
            <w:r>
              <w:t>Deliverable</w:t>
            </w:r>
          </w:p>
        </w:tc>
        <w:tc>
          <w:tcPr>
            <w:tcW w:w="1437" w:type="dxa"/>
          </w:tcPr>
          <w:p w14:paraId="5DDCF5AB" w14:textId="77777777" w:rsidR="003323F8" w:rsidRDefault="00000000">
            <w:pPr>
              <w:pStyle w:val="cTableHeader"/>
              <w:keepNext/>
            </w:pPr>
            <w:r>
              <w:t>Estimate</w:t>
            </w:r>
          </w:p>
        </w:tc>
      </w:tr>
      <w:tr w:rsidR="003323F8" w14:paraId="799C6471" w14:textId="77777777" w:rsidTr="00DA4BD8">
        <w:tc>
          <w:tcPr>
            <w:tcW w:w="2434" w:type="dxa"/>
          </w:tcPr>
          <w:p w14:paraId="4EFA4475" w14:textId="77777777" w:rsidR="003323F8" w:rsidRDefault="00000000">
            <w:pPr>
              <w:pStyle w:val="cTableBody"/>
              <w:keepNext/>
              <w:spacing w:before="0" w:after="0"/>
            </w:pPr>
            <w:r>
              <w:t>CR10-01 Large-eddy simulation ensemble</w:t>
            </w:r>
          </w:p>
        </w:tc>
        <w:tc>
          <w:tcPr>
            <w:tcW w:w="5993" w:type="dxa"/>
          </w:tcPr>
          <w:p w14:paraId="72211FDB" w14:textId="77777777" w:rsidR="003323F8" w:rsidRDefault="00000000">
            <w:pPr>
              <w:pStyle w:val="cTableBody"/>
              <w:keepNext/>
              <w:spacing w:before="0" w:after="0"/>
            </w:pPr>
            <w:r>
              <w:t>Case-specific high-resolution simulations</w:t>
            </w:r>
          </w:p>
        </w:tc>
        <w:tc>
          <w:tcPr>
            <w:tcW w:w="1437" w:type="dxa"/>
          </w:tcPr>
          <w:p w14:paraId="7BD01AAD" w14:textId="77777777" w:rsidR="003323F8" w:rsidRDefault="00000000">
            <w:pPr>
              <w:pStyle w:val="cTableBody"/>
              <w:keepNext/>
              <w:spacing w:before="0" w:after="0"/>
            </w:pPr>
            <w:r>
              <w:t>$900,000</w:t>
            </w:r>
          </w:p>
        </w:tc>
      </w:tr>
      <w:tr w:rsidR="003323F8" w14:paraId="422E4FEB" w14:textId="77777777" w:rsidTr="00DA4BD8">
        <w:tc>
          <w:tcPr>
            <w:tcW w:w="2434" w:type="dxa"/>
          </w:tcPr>
          <w:p w14:paraId="7FC63E28" w14:textId="77777777" w:rsidR="003323F8" w:rsidRDefault="00000000">
            <w:pPr>
              <w:pStyle w:val="cTableBody"/>
              <w:spacing w:before="0" w:after="0"/>
            </w:pPr>
            <w:r>
              <w:t>CR10-02 Data assimilation and state reconstruction</w:t>
            </w:r>
          </w:p>
        </w:tc>
        <w:tc>
          <w:tcPr>
            <w:tcW w:w="5993" w:type="dxa"/>
          </w:tcPr>
          <w:p w14:paraId="734B6F27" w14:textId="77777777" w:rsidR="003323F8" w:rsidRDefault="00000000">
            <w:pPr>
              <w:pStyle w:val="cTableBody"/>
              <w:spacing w:before="0" w:after="0"/>
            </w:pPr>
            <w:r>
              <w:t>Four-dimensional cloud and aerosol analysis</w:t>
            </w:r>
          </w:p>
        </w:tc>
        <w:tc>
          <w:tcPr>
            <w:tcW w:w="1437" w:type="dxa"/>
          </w:tcPr>
          <w:p w14:paraId="2FF4174A" w14:textId="77777777" w:rsidR="003323F8" w:rsidRDefault="00000000">
            <w:pPr>
              <w:pStyle w:val="cTableBody"/>
              <w:spacing w:before="0" w:after="0"/>
            </w:pPr>
            <w:r>
              <w:t>$650,000</w:t>
            </w:r>
          </w:p>
        </w:tc>
      </w:tr>
      <w:tr w:rsidR="003323F8" w14:paraId="6766AC65" w14:textId="77777777" w:rsidTr="00DA4BD8">
        <w:tc>
          <w:tcPr>
            <w:tcW w:w="2434" w:type="dxa"/>
          </w:tcPr>
          <w:p w14:paraId="05BCC2A4" w14:textId="77777777" w:rsidR="003323F8" w:rsidRDefault="00000000">
            <w:pPr>
              <w:pStyle w:val="cTableBody"/>
              <w:spacing w:before="0" w:after="0"/>
            </w:pPr>
            <w:r>
              <w:t>CR10-03 Statistical causal attribution</w:t>
            </w:r>
          </w:p>
        </w:tc>
        <w:tc>
          <w:tcPr>
            <w:tcW w:w="5993" w:type="dxa"/>
          </w:tcPr>
          <w:p w14:paraId="3583C001" w14:textId="77777777" w:rsidR="003323F8" w:rsidRDefault="00000000">
            <w:pPr>
              <w:pStyle w:val="cTableBody"/>
              <w:spacing w:before="0" w:after="0"/>
            </w:pPr>
            <w:r>
              <w:t>Treated/control comparison and meteorological adjustment</w:t>
            </w:r>
          </w:p>
        </w:tc>
        <w:tc>
          <w:tcPr>
            <w:tcW w:w="1437" w:type="dxa"/>
          </w:tcPr>
          <w:p w14:paraId="1A69C992" w14:textId="77777777" w:rsidR="003323F8" w:rsidRDefault="00000000">
            <w:pPr>
              <w:pStyle w:val="cTableBody"/>
              <w:spacing w:before="0" w:after="0"/>
            </w:pPr>
            <w:r>
              <w:t>$500,000</w:t>
            </w:r>
          </w:p>
        </w:tc>
      </w:tr>
      <w:tr w:rsidR="003323F8" w14:paraId="2BAFC074" w14:textId="77777777" w:rsidTr="00DA4BD8">
        <w:tc>
          <w:tcPr>
            <w:tcW w:w="2434" w:type="dxa"/>
          </w:tcPr>
          <w:p w14:paraId="68F08E08" w14:textId="77777777" w:rsidR="003323F8" w:rsidRDefault="00000000">
            <w:pPr>
              <w:pStyle w:val="cTableBody"/>
              <w:spacing w:before="0" w:after="0"/>
            </w:pPr>
            <w:r>
              <w:t>CR10-04 Scale-up sensitivity analysis</w:t>
            </w:r>
          </w:p>
        </w:tc>
        <w:tc>
          <w:tcPr>
            <w:tcW w:w="5993" w:type="dxa"/>
          </w:tcPr>
          <w:p w14:paraId="6F85C5F6" w14:textId="77777777" w:rsidR="003323F8" w:rsidRDefault="00000000">
            <w:pPr>
              <w:pStyle w:val="cTableBody"/>
              <w:spacing w:before="0" w:after="0"/>
            </w:pPr>
            <w:r>
              <w:t>Local-to-regional extrapolation limits</w:t>
            </w:r>
          </w:p>
        </w:tc>
        <w:tc>
          <w:tcPr>
            <w:tcW w:w="1437" w:type="dxa"/>
          </w:tcPr>
          <w:p w14:paraId="7A084E46" w14:textId="77777777" w:rsidR="003323F8" w:rsidRDefault="00000000">
            <w:pPr>
              <w:pStyle w:val="cTableBody"/>
              <w:spacing w:before="0" w:after="0"/>
            </w:pPr>
            <w:r>
              <w:t>$500,000</w:t>
            </w:r>
          </w:p>
        </w:tc>
      </w:tr>
      <w:tr w:rsidR="003323F8" w14:paraId="60BB35B2" w14:textId="77777777" w:rsidTr="00DA4BD8">
        <w:tc>
          <w:tcPr>
            <w:tcW w:w="2434" w:type="dxa"/>
          </w:tcPr>
          <w:p w14:paraId="1076E0B5" w14:textId="77777777" w:rsidR="003323F8" w:rsidRDefault="00000000">
            <w:pPr>
              <w:pStyle w:val="cTableBody"/>
              <w:spacing w:before="0" w:after="0"/>
            </w:pPr>
            <w:r>
              <w:t>CR10-05 Independent modeling team</w:t>
            </w:r>
          </w:p>
        </w:tc>
        <w:tc>
          <w:tcPr>
            <w:tcW w:w="5993" w:type="dxa"/>
          </w:tcPr>
          <w:p w14:paraId="3B974CEE" w14:textId="77777777" w:rsidR="003323F8" w:rsidRDefault="00000000">
            <w:pPr>
              <w:pStyle w:val="cTableBody"/>
              <w:spacing w:before="0" w:after="0"/>
            </w:pPr>
            <w:r>
              <w:t>Firewalled predictions and comparison</w:t>
            </w:r>
          </w:p>
        </w:tc>
        <w:tc>
          <w:tcPr>
            <w:tcW w:w="1437" w:type="dxa"/>
          </w:tcPr>
          <w:p w14:paraId="366F23BF" w14:textId="77777777" w:rsidR="003323F8" w:rsidRDefault="00000000">
            <w:pPr>
              <w:pStyle w:val="cTableBody"/>
              <w:spacing w:before="0" w:after="0"/>
            </w:pPr>
            <w:r>
              <w:t>$600,000</w:t>
            </w:r>
          </w:p>
        </w:tc>
      </w:tr>
      <w:tr w:rsidR="003323F8" w14:paraId="61AB6DFC" w14:textId="77777777" w:rsidTr="00DA4BD8">
        <w:tc>
          <w:tcPr>
            <w:tcW w:w="2434" w:type="dxa"/>
          </w:tcPr>
          <w:p w14:paraId="0907C94E" w14:textId="77777777" w:rsidR="003323F8" w:rsidRDefault="00000000">
            <w:pPr>
              <w:pStyle w:val="cTableBody"/>
              <w:spacing w:before="0" w:after="0"/>
            </w:pPr>
            <w:r>
              <w:t>CR10-06 Visualization and decision tools</w:t>
            </w:r>
          </w:p>
        </w:tc>
        <w:tc>
          <w:tcPr>
            <w:tcW w:w="5993" w:type="dxa"/>
          </w:tcPr>
          <w:p w14:paraId="0AC26E6F" w14:textId="77777777" w:rsidR="003323F8" w:rsidRDefault="00000000">
            <w:pPr>
              <w:pStyle w:val="cTableBody"/>
              <w:spacing w:before="0" w:after="0"/>
            </w:pPr>
            <w:r>
              <w:t>Open 3-D products, uncertainty and dashboards</w:t>
            </w:r>
          </w:p>
        </w:tc>
        <w:tc>
          <w:tcPr>
            <w:tcW w:w="1437" w:type="dxa"/>
          </w:tcPr>
          <w:p w14:paraId="60135B89" w14:textId="77777777" w:rsidR="003323F8" w:rsidRDefault="00000000">
            <w:pPr>
              <w:pStyle w:val="cTableBody"/>
              <w:spacing w:before="0" w:after="0"/>
            </w:pPr>
            <w:r>
              <w:t>$250,000</w:t>
            </w:r>
          </w:p>
        </w:tc>
      </w:tr>
    </w:tbl>
    <w:p w14:paraId="08A746E0" w14:textId="77777777" w:rsidR="003323F8" w:rsidRDefault="00000000">
      <w:pPr>
        <w:pStyle w:val="Heading3"/>
        <w:spacing w:before="280" w:after="280"/>
      </w:pPr>
      <w:r>
        <w:t>Phase 11: Independent evaluation — $1.20M</w:t>
      </w:r>
    </w:p>
    <w:tbl>
      <w:tblPr>
        <w:tblStyle w:val="gswTableStyle"/>
        <w:tblW w:w="9864" w:type="dxa"/>
        <w:tblLayout w:type="fixed"/>
        <w:tblLook w:val="04A0" w:firstRow="1" w:lastRow="0" w:firstColumn="1" w:lastColumn="0" w:noHBand="0" w:noVBand="1"/>
      </w:tblPr>
      <w:tblGrid>
        <w:gridCol w:w="2434"/>
        <w:gridCol w:w="5993"/>
        <w:gridCol w:w="1437"/>
      </w:tblGrid>
      <w:tr w:rsidR="003323F8" w14:paraId="6FD29FB3"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1456A930" w14:textId="77777777" w:rsidR="003323F8" w:rsidRDefault="00000000">
            <w:pPr>
              <w:pStyle w:val="cTableHeader"/>
            </w:pPr>
            <w:r>
              <w:t>Procurement package</w:t>
            </w:r>
          </w:p>
        </w:tc>
        <w:tc>
          <w:tcPr>
            <w:tcW w:w="5993" w:type="dxa"/>
          </w:tcPr>
          <w:p w14:paraId="5BA5578C" w14:textId="77777777" w:rsidR="003323F8" w:rsidRDefault="00000000">
            <w:pPr>
              <w:pStyle w:val="cTableHeader"/>
            </w:pPr>
            <w:r>
              <w:t>Deliverable</w:t>
            </w:r>
          </w:p>
        </w:tc>
        <w:tc>
          <w:tcPr>
            <w:tcW w:w="1437" w:type="dxa"/>
          </w:tcPr>
          <w:p w14:paraId="711C9024" w14:textId="77777777" w:rsidR="003323F8" w:rsidRDefault="00000000">
            <w:pPr>
              <w:pStyle w:val="cTableHeader"/>
            </w:pPr>
            <w:r>
              <w:t>Estimate</w:t>
            </w:r>
          </w:p>
        </w:tc>
      </w:tr>
      <w:tr w:rsidR="003323F8" w14:paraId="3BED962C" w14:textId="77777777" w:rsidTr="00DA4BD8">
        <w:tc>
          <w:tcPr>
            <w:tcW w:w="2434" w:type="dxa"/>
          </w:tcPr>
          <w:p w14:paraId="7E458225" w14:textId="77777777" w:rsidR="003323F8" w:rsidRDefault="00000000">
            <w:pPr>
              <w:pStyle w:val="cTableBody"/>
              <w:spacing w:before="0" w:after="0"/>
            </w:pPr>
            <w:r>
              <w:t>CR11-01 Data-quality and calibration audit</w:t>
            </w:r>
          </w:p>
        </w:tc>
        <w:tc>
          <w:tcPr>
            <w:tcW w:w="5993" w:type="dxa"/>
          </w:tcPr>
          <w:p w14:paraId="4B9EC9D7" w14:textId="77777777" w:rsidR="003323F8" w:rsidRDefault="00000000">
            <w:pPr>
              <w:pStyle w:val="cTableBody"/>
              <w:spacing w:before="0" w:after="0"/>
            </w:pPr>
            <w:r>
              <w:t>Completeness, calibration and exclusion review</w:t>
            </w:r>
          </w:p>
        </w:tc>
        <w:tc>
          <w:tcPr>
            <w:tcW w:w="1437" w:type="dxa"/>
          </w:tcPr>
          <w:p w14:paraId="25B21573" w14:textId="77777777" w:rsidR="003323F8" w:rsidRDefault="00000000">
            <w:pPr>
              <w:pStyle w:val="cTableBody"/>
              <w:spacing w:before="0" w:after="0"/>
            </w:pPr>
            <w:r>
              <w:t>$300,000</w:t>
            </w:r>
          </w:p>
        </w:tc>
      </w:tr>
      <w:tr w:rsidR="003323F8" w14:paraId="6E93B0EA" w14:textId="77777777" w:rsidTr="00DA4BD8">
        <w:tc>
          <w:tcPr>
            <w:tcW w:w="2434" w:type="dxa"/>
          </w:tcPr>
          <w:p w14:paraId="24A6F512" w14:textId="77777777" w:rsidR="003323F8" w:rsidRDefault="00000000">
            <w:pPr>
              <w:pStyle w:val="cTableBody"/>
              <w:spacing w:before="0" w:after="0"/>
            </w:pPr>
            <w:r>
              <w:t>CR11-02 Withheld-data model challenge</w:t>
            </w:r>
          </w:p>
        </w:tc>
        <w:tc>
          <w:tcPr>
            <w:tcW w:w="5993" w:type="dxa"/>
          </w:tcPr>
          <w:p w14:paraId="34147A46" w14:textId="77777777" w:rsidR="003323F8" w:rsidRDefault="00000000">
            <w:pPr>
              <w:pStyle w:val="cTableBody"/>
              <w:spacing w:before="0" w:after="0"/>
            </w:pPr>
            <w:r>
              <w:t>Prospective predictions against observations</w:t>
            </w:r>
          </w:p>
        </w:tc>
        <w:tc>
          <w:tcPr>
            <w:tcW w:w="1437" w:type="dxa"/>
          </w:tcPr>
          <w:p w14:paraId="10A394E4" w14:textId="77777777" w:rsidR="003323F8" w:rsidRDefault="00000000">
            <w:pPr>
              <w:pStyle w:val="cTableBody"/>
              <w:spacing w:before="0" w:after="0"/>
            </w:pPr>
            <w:r>
              <w:t>$400,000</w:t>
            </w:r>
          </w:p>
        </w:tc>
      </w:tr>
      <w:tr w:rsidR="003323F8" w14:paraId="08B3A93A" w14:textId="77777777" w:rsidTr="00DA4BD8">
        <w:tc>
          <w:tcPr>
            <w:tcW w:w="2434" w:type="dxa"/>
          </w:tcPr>
          <w:p w14:paraId="32F6E2CA" w14:textId="77777777" w:rsidR="003323F8" w:rsidRDefault="00000000">
            <w:pPr>
              <w:pStyle w:val="cTableBody"/>
              <w:spacing w:before="0" w:after="0"/>
            </w:pPr>
            <w:r>
              <w:t>CR11-03 Open repository and reproducibility package</w:t>
            </w:r>
          </w:p>
        </w:tc>
        <w:tc>
          <w:tcPr>
            <w:tcW w:w="5993" w:type="dxa"/>
          </w:tcPr>
          <w:p w14:paraId="44673ADF" w14:textId="77777777" w:rsidR="003323F8" w:rsidRDefault="00000000">
            <w:pPr>
              <w:pStyle w:val="cTableBody"/>
              <w:spacing w:before="0" w:after="0"/>
            </w:pPr>
            <w:r>
              <w:t>Raw/processed data, code, metadata and generator settings</w:t>
            </w:r>
          </w:p>
        </w:tc>
        <w:tc>
          <w:tcPr>
            <w:tcW w:w="1437" w:type="dxa"/>
          </w:tcPr>
          <w:p w14:paraId="474A4E89" w14:textId="77777777" w:rsidR="003323F8" w:rsidRDefault="00000000">
            <w:pPr>
              <w:pStyle w:val="cTableBody"/>
              <w:spacing w:before="0" w:after="0"/>
            </w:pPr>
            <w:r>
              <w:t>$250,000</w:t>
            </w:r>
          </w:p>
        </w:tc>
      </w:tr>
      <w:tr w:rsidR="003323F8" w14:paraId="72CE5214" w14:textId="77777777" w:rsidTr="00DA4BD8">
        <w:tc>
          <w:tcPr>
            <w:tcW w:w="2434" w:type="dxa"/>
          </w:tcPr>
          <w:p w14:paraId="6F6FC62C" w14:textId="77777777" w:rsidR="003323F8" w:rsidRDefault="00000000">
            <w:pPr>
              <w:pStyle w:val="cTableBody"/>
              <w:spacing w:before="0" w:after="0"/>
            </w:pPr>
            <w:r>
              <w:t>CR11-04 International review workshop</w:t>
            </w:r>
          </w:p>
        </w:tc>
        <w:tc>
          <w:tcPr>
            <w:tcW w:w="5993" w:type="dxa"/>
          </w:tcPr>
          <w:p w14:paraId="2E12775A" w14:textId="77777777" w:rsidR="003323F8" w:rsidRDefault="00000000">
            <w:pPr>
              <w:pStyle w:val="cTableBody"/>
              <w:spacing w:before="0" w:after="0"/>
            </w:pPr>
            <w:r>
              <w:t>External review and final campaign report</w:t>
            </w:r>
          </w:p>
        </w:tc>
        <w:tc>
          <w:tcPr>
            <w:tcW w:w="1437" w:type="dxa"/>
          </w:tcPr>
          <w:p w14:paraId="15798ACB" w14:textId="77777777" w:rsidR="003323F8" w:rsidRDefault="00000000">
            <w:pPr>
              <w:pStyle w:val="cTableBody"/>
              <w:spacing w:before="0" w:after="0"/>
            </w:pPr>
            <w:r>
              <w:t>$250,000</w:t>
            </w:r>
          </w:p>
        </w:tc>
      </w:tr>
    </w:tbl>
    <w:p w14:paraId="702FBC47" w14:textId="77777777" w:rsidR="003323F8" w:rsidRDefault="00000000">
      <w:pPr>
        <w:pStyle w:val="Heading3"/>
        <w:spacing w:before="280" w:after="280"/>
      </w:pPr>
      <w:r>
        <w:t>Phase 12: Prepriced campaign recovery options — $4.80M</w:t>
      </w:r>
    </w:p>
    <w:tbl>
      <w:tblPr>
        <w:tblStyle w:val="gswTableStyle"/>
        <w:tblW w:w="9864" w:type="dxa"/>
        <w:tblLayout w:type="fixed"/>
        <w:tblLook w:val="04A0" w:firstRow="1" w:lastRow="0" w:firstColumn="1" w:lastColumn="0" w:noHBand="0" w:noVBand="1"/>
      </w:tblPr>
      <w:tblGrid>
        <w:gridCol w:w="2434"/>
        <w:gridCol w:w="5992"/>
        <w:gridCol w:w="1438"/>
      </w:tblGrid>
      <w:tr w:rsidR="003323F8" w14:paraId="7F689AAF"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2434" w:type="dxa"/>
          </w:tcPr>
          <w:p w14:paraId="7256E919" w14:textId="77777777" w:rsidR="003323F8" w:rsidRDefault="00000000">
            <w:pPr>
              <w:pStyle w:val="cTableHeader"/>
            </w:pPr>
            <w:r>
              <w:t>Procurement package</w:t>
            </w:r>
          </w:p>
        </w:tc>
        <w:tc>
          <w:tcPr>
            <w:tcW w:w="5992" w:type="dxa"/>
          </w:tcPr>
          <w:p w14:paraId="0B396749" w14:textId="77777777" w:rsidR="003323F8" w:rsidRDefault="00000000">
            <w:pPr>
              <w:pStyle w:val="cTableHeader"/>
            </w:pPr>
            <w:r>
              <w:t>Deliverable</w:t>
            </w:r>
          </w:p>
        </w:tc>
        <w:tc>
          <w:tcPr>
            <w:tcW w:w="1438" w:type="dxa"/>
          </w:tcPr>
          <w:p w14:paraId="343C1118" w14:textId="77777777" w:rsidR="003323F8" w:rsidRDefault="00000000">
            <w:pPr>
              <w:pStyle w:val="cTableHeader"/>
            </w:pPr>
            <w:r>
              <w:t>Estimate</w:t>
            </w:r>
          </w:p>
        </w:tc>
      </w:tr>
      <w:tr w:rsidR="003323F8" w14:paraId="1DC3B64C" w14:textId="77777777" w:rsidTr="00DA4BD8">
        <w:tc>
          <w:tcPr>
            <w:tcW w:w="2434" w:type="dxa"/>
          </w:tcPr>
          <w:p w14:paraId="6B032B06" w14:textId="77777777" w:rsidR="003323F8" w:rsidRDefault="00000000">
            <w:pPr>
              <w:pStyle w:val="cTableBody"/>
              <w:spacing w:before="0" w:after="0"/>
            </w:pPr>
            <w:r>
              <w:t>CR12-01 Prepriced campaign recovery option</w:t>
            </w:r>
          </w:p>
        </w:tc>
        <w:tc>
          <w:tcPr>
            <w:tcW w:w="5992" w:type="dxa"/>
          </w:tcPr>
          <w:p w14:paraId="73968455" w14:textId="77777777" w:rsidR="003323F8" w:rsidRDefault="00000000">
            <w:pPr>
              <w:pStyle w:val="cTableBody"/>
              <w:spacing w:before="0" w:after="0"/>
            </w:pPr>
            <w:r>
              <w:t>Approved technical or operational recovery within the campaign ceiling</w:t>
            </w:r>
          </w:p>
        </w:tc>
        <w:tc>
          <w:tcPr>
            <w:tcW w:w="1438" w:type="dxa"/>
          </w:tcPr>
          <w:p w14:paraId="705F9428" w14:textId="77777777" w:rsidR="003323F8" w:rsidRDefault="00000000">
            <w:pPr>
              <w:pStyle w:val="cTableBody"/>
              <w:spacing w:before="0" w:after="0"/>
            </w:pPr>
            <w:r>
              <w:t>$1,800,000</w:t>
            </w:r>
          </w:p>
        </w:tc>
      </w:tr>
      <w:tr w:rsidR="003323F8" w14:paraId="3D009722" w14:textId="77777777" w:rsidTr="00DA4BD8">
        <w:tc>
          <w:tcPr>
            <w:tcW w:w="2434" w:type="dxa"/>
          </w:tcPr>
          <w:p w14:paraId="78354D82" w14:textId="77777777" w:rsidR="003323F8" w:rsidRDefault="00000000">
            <w:pPr>
              <w:pStyle w:val="cTableBody"/>
              <w:spacing w:before="0" w:after="0"/>
            </w:pPr>
            <w:r>
              <w:t>CR12-02 Replacement aircraft and ship options</w:t>
            </w:r>
          </w:p>
        </w:tc>
        <w:tc>
          <w:tcPr>
            <w:tcW w:w="5992" w:type="dxa"/>
          </w:tcPr>
          <w:p w14:paraId="2FEB7481" w14:textId="77777777" w:rsidR="003323F8" w:rsidRDefault="00000000">
            <w:pPr>
              <w:pStyle w:val="cTableBody"/>
              <w:spacing w:before="0" w:after="0"/>
            </w:pPr>
            <w:r>
              <w:t>Weather, unsuitable clouds, aborts and downtime</w:t>
            </w:r>
          </w:p>
        </w:tc>
        <w:tc>
          <w:tcPr>
            <w:tcW w:w="1438" w:type="dxa"/>
          </w:tcPr>
          <w:p w14:paraId="76E15180" w14:textId="77777777" w:rsidR="003323F8" w:rsidRDefault="00000000">
            <w:pPr>
              <w:pStyle w:val="cTableBody"/>
              <w:spacing w:before="0" w:after="0"/>
            </w:pPr>
            <w:r>
              <w:t>$1,800,000</w:t>
            </w:r>
          </w:p>
        </w:tc>
      </w:tr>
      <w:tr w:rsidR="003323F8" w14:paraId="4F3E278C" w14:textId="77777777" w:rsidTr="00DA4BD8">
        <w:tc>
          <w:tcPr>
            <w:tcW w:w="2434" w:type="dxa"/>
          </w:tcPr>
          <w:p w14:paraId="5AB2C21A" w14:textId="77777777" w:rsidR="003323F8" w:rsidRDefault="00000000">
            <w:pPr>
              <w:pStyle w:val="cTableBody"/>
              <w:spacing w:before="0" w:after="0"/>
            </w:pPr>
            <w:r>
              <w:t>CR12-03 Instrument and generator repair</w:t>
            </w:r>
          </w:p>
        </w:tc>
        <w:tc>
          <w:tcPr>
            <w:tcW w:w="5992" w:type="dxa"/>
          </w:tcPr>
          <w:p w14:paraId="16CD359E" w14:textId="77777777" w:rsidR="003323F8" w:rsidRDefault="00000000">
            <w:pPr>
              <w:pStyle w:val="cTableBody"/>
              <w:spacing w:before="0" w:after="0"/>
            </w:pPr>
            <w:r>
              <w:t>Replacement systems and emergency calibration</w:t>
            </w:r>
          </w:p>
        </w:tc>
        <w:tc>
          <w:tcPr>
            <w:tcW w:w="1438" w:type="dxa"/>
          </w:tcPr>
          <w:p w14:paraId="598E9D87" w14:textId="77777777" w:rsidR="003323F8" w:rsidRDefault="00000000">
            <w:pPr>
              <w:pStyle w:val="cTableBody"/>
              <w:spacing w:before="0" w:after="0"/>
            </w:pPr>
            <w:r>
              <w:t>$800,000</w:t>
            </w:r>
          </w:p>
        </w:tc>
      </w:tr>
      <w:tr w:rsidR="003323F8" w14:paraId="045D28CF" w14:textId="77777777" w:rsidTr="00DA4BD8">
        <w:tc>
          <w:tcPr>
            <w:tcW w:w="2434" w:type="dxa"/>
          </w:tcPr>
          <w:p w14:paraId="1E800818" w14:textId="77777777" w:rsidR="003323F8" w:rsidRDefault="00000000">
            <w:pPr>
              <w:pStyle w:val="cTableBody"/>
              <w:spacing w:before="0" w:after="0"/>
            </w:pPr>
            <w:r>
              <w:t>CR12-04 Regulatory or deployment extension</w:t>
            </w:r>
          </w:p>
        </w:tc>
        <w:tc>
          <w:tcPr>
            <w:tcW w:w="5992" w:type="dxa"/>
          </w:tcPr>
          <w:p w14:paraId="30C33937" w14:textId="77777777" w:rsidR="003323F8" w:rsidRDefault="00000000">
            <w:pPr>
              <w:pStyle w:val="cTableBody"/>
              <w:spacing w:before="0" w:after="0"/>
            </w:pPr>
            <w:r>
              <w:t>Additional consultation or schedule extension</w:t>
            </w:r>
          </w:p>
        </w:tc>
        <w:tc>
          <w:tcPr>
            <w:tcW w:w="1438" w:type="dxa"/>
          </w:tcPr>
          <w:p w14:paraId="4C76CB2C" w14:textId="77777777" w:rsidR="003323F8" w:rsidRDefault="00000000">
            <w:pPr>
              <w:pStyle w:val="cTableBody"/>
              <w:spacing w:before="0" w:after="0"/>
            </w:pPr>
            <w:r>
              <w:t>$400,000</w:t>
            </w:r>
          </w:p>
        </w:tc>
      </w:tr>
    </w:tbl>
    <w:p w14:paraId="04F34E2A" w14:textId="77777777" w:rsidR="003323F8" w:rsidRDefault="00000000">
      <w:pPr>
        <w:spacing w:before="280" w:after="80"/>
      </w:pPr>
      <w:r>
        <w:t>Cloud-response campaign total: approximately $48.0M.</w:t>
      </w:r>
    </w:p>
    <w:p w14:paraId="050A673F" w14:textId="77777777" w:rsidR="003323F8" w:rsidRDefault="00000000">
      <w:pPr>
        <w:pStyle w:val="Heading2"/>
        <w:spacing w:before="280"/>
      </w:pPr>
      <w:r>
        <w:t>How I would actually contract it</w:t>
      </w:r>
    </w:p>
    <w:p w14:paraId="7B278206" w14:textId="77777777" w:rsidR="003323F8" w:rsidRDefault="00000000">
      <w:pPr>
        <w:spacing w:before="280" w:after="80"/>
      </w:pPr>
      <w:r>
        <w:t>Issuing more than one hundred unrelated contracts would be inefficient. I would establish approximately eight master agreements, with campaign-specific task orders:</w:t>
      </w:r>
    </w:p>
    <w:tbl>
      <w:tblPr>
        <w:tblStyle w:val="gswTableStyle"/>
        <w:tblW w:w="9648" w:type="dxa"/>
        <w:tblLayout w:type="fixed"/>
        <w:tblLook w:val="04A0" w:firstRow="1" w:lastRow="0" w:firstColumn="1" w:lastColumn="0" w:noHBand="0" w:noVBand="1"/>
      </w:tblPr>
      <w:tblGrid>
        <w:gridCol w:w="3888"/>
        <w:gridCol w:w="5760"/>
      </w:tblGrid>
      <w:tr w:rsidR="003323F8" w14:paraId="608AEC53" w14:textId="77777777" w:rsidTr="00DA4BD8">
        <w:trPr>
          <w:cnfStyle w:val="100000000000" w:firstRow="1" w:lastRow="0" w:firstColumn="0" w:lastColumn="0" w:oddVBand="0" w:evenVBand="0" w:oddHBand="0" w:evenHBand="0" w:firstRowFirstColumn="0" w:firstRowLastColumn="0" w:lastRowFirstColumn="0" w:lastRowLastColumn="0"/>
          <w:tblHeader/>
        </w:trPr>
        <w:tc>
          <w:tcPr>
            <w:tcW w:w="3888" w:type="dxa"/>
          </w:tcPr>
          <w:p w14:paraId="35B40B7A" w14:textId="77777777" w:rsidR="003323F8" w:rsidRDefault="00000000">
            <w:pPr>
              <w:pStyle w:val="cTableHeader"/>
            </w:pPr>
            <w:r>
              <w:t>Master agreement</w:t>
            </w:r>
          </w:p>
        </w:tc>
        <w:tc>
          <w:tcPr>
            <w:tcW w:w="5760" w:type="dxa"/>
          </w:tcPr>
          <w:p w14:paraId="5729255B" w14:textId="77777777" w:rsidR="003323F8" w:rsidRDefault="00000000">
            <w:pPr>
              <w:pStyle w:val="cTableHeader"/>
            </w:pPr>
            <w:r>
              <w:t>Task orders covered</w:t>
            </w:r>
          </w:p>
        </w:tc>
      </w:tr>
      <w:tr w:rsidR="003323F8" w14:paraId="5A0EFCD5" w14:textId="77777777" w:rsidTr="00DA4BD8">
        <w:tc>
          <w:tcPr>
            <w:tcW w:w="3888" w:type="dxa"/>
          </w:tcPr>
          <w:p w14:paraId="4C9904F1" w14:textId="77777777" w:rsidR="003323F8" w:rsidRDefault="00000000">
            <w:pPr>
              <w:pStyle w:val="cTableBody"/>
              <w:spacing w:before="0" w:after="0"/>
            </w:pPr>
            <w:r>
              <w:t>Research ships and marine operations</w:t>
            </w:r>
          </w:p>
        </w:tc>
        <w:tc>
          <w:tcPr>
            <w:tcW w:w="5760" w:type="dxa"/>
          </w:tcPr>
          <w:p w14:paraId="255F74C2" w14:textId="77777777" w:rsidR="003323F8" w:rsidRDefault="00000000">
            <w:pPr>
              <w:pStyle w:val="cTableBody"/>
              <w:spacing w:before="0" w:after="0"/>
            </w:pPr>
            <w:r>
              <w:t>Release vessel, sampling vessel, port, crew and standby days</w:t>
            </w:r>
          </w:p>
        </w:tc>
      </w:tr>
      <w:tr w:rsidR="003323F8" w14:paraId="42796077" w14:textId="77777777" w:rsidTr="00DA4BD8">
        <w:tc>
          <w:tcPr>
            <w:tcW w:w="3888" w:type="dxa"/>
          </w:tcPr>
          <w:p w14:paraId="0C0666BA" w14:textId="77777777" w:rsidR="003323F8" w:rsidRDefault="00000000">
            <w:pPr>
              <w:pStyle w:val="cTableBody"/>
              <w:spacing w:before="0" w:after="0"/>
            </w:pPr>
            <w:r>
              <w:t>Research aircraft and flight operations</w:t>
            </w:r>
          </w:p>
        </w:tc>
        <w:tc>
          <w:tcPr>
            <w:tcW w:w="5760" w:type="dxa"/>
          </w:tcPr>
          <w:p w14:paraId="6C9F9DE6" w14:textId="77777777" w:rsidR="003323F8" w:rsidRDefault="00000000">
            <w:pPr>
              <w:pStyle w:val="cTableBody"/>
              <w:spacing w:before="0" w:after="0"/>
            </w:pPr>
            <w:r>
              <w:t>Baseline, cloud sampling, remote sensing and replacement sorties</w:t>
            </w:r>
          </w:p>
        </w:tc>
      </w:tr>
      <w:tr w:rsidR="003323F8" w14:paraId="398F47FF" w14:textId="77777777" w:rsidTr="00DA4BD8">
        <w:tc>
          <w:tcPr>
            <w:tcW w:w="3888" w:type="dxa"/>
          </w:tcPr>
          <w:p w14:paraId="45767BE3" w14:textId="77777777" w:rsidR="003323F8" w:rsidRDefault="00000000">
            <w:pPr>
              <w:pStyle w:val="cTableBody"/>
              <w:spacing w:before="0" w:after="0"/>
            </w:pPr>
            <w:r>
              <w:t>Aerosol-source engineering</w:t>
            </w:r>
          </w:p>
        </w:tc>
        <w:tc>
          <w:tcPr>
            <w:tcW w:w="5760" w:type="dxa"/>
          </w:tcPr>
          <w:p w14:paraId="6D7B9851" w14:textId="77777777" w:rsidR="003323F8" w:rsidRDefault="00000000">
            <w:pPr>
              <w:pStyle w:val="cTableBody"/>
              <w:spacing w:before="0" w:after="0"/>
            </w:pPr>
            <w:r>
              <w:t>Generator modules, seawater systems, controls, calibration and maintenance</w:t>
            </w:r>
          </w:p>
        </w:tc>
      </w:tr>
      <w:tr w:rsidR="003323F8" w14:paraId="156F2283" w14:textId="77777777" w:rsidTr="00DA4BD8">
        <w:tc>
          <w:tcPr>
            <w:tcW w:w="3888" w:type="dxa"/>
          </w:tcPr>
          <w:p w14:paraId="48C9E31E" w14:textId="77777777" w:rsidR="003323F8" w:rsidRDefault="00000000">
            <w:pPr>
              <w:pStyle w:val="cTableBody"/>
              <w:spacing w:before="0" w:after="0"/>
            </w:pPr>
            <w:r>
              <w:t>Atmospheric instrumentation</w:t>
            </w:r>
          </w:p>
        </w:tc>
        <w:tc>
          <w:tcPr>
            <w:tcW w:w="5760" w:type="dxa"/>
          </w:tcPr>
          <w:p w14:paraId="041ADBCE" w14:textId="77777777" w:rsidR="003323F8" w:rsidRDefault="00000000">
            <w:pPr>
              <w:pStyle w:val="cTableBody"/>
              <w:spacing w:before="0" w:after="0"/>
            </w:pPr>
            <w:r>
              <w:t>Aerosol, CCN, cloud, radar, lidar, radiation and calibration</w:t>
            </w:r>
          </w:p>
        </w:tc>
      </w:tr>
      <w:tr w:rsidR="003323F8" w14:paraId="7D146567" w14:textId="77777777" w:rsidTr="00DA4BD8">
        <w:tc>
          <w:tcPr>
            <w:tcW w:w="3888" w:type="dxa"/>
          </w:tcPr>
          <w:p w14:paraId="638BC9AA" w14:textId="77777777" w:rsidR="003323F8" w:rsidRDefault="00000000">
            <w:pPr>
              <w:pStyle w:val="cTableBody"/>
              <w:spacing w:before="0" w:after="0"/>
            </w:pPr>
            <w:r>
              <w:t>Modeling, forecasting and data assimilation</w:t>
            </w:r>
          </w:p>
        </w:tc>
        <w:tc>
          <w:tcPr>
            <w:tcW w:w="5760" w:type="dxa"/>
          </w:tcPr>
          <w:p w14:paraId="04C462F1" w14:textId="77777777" w:rsidR="003323F8" w:rsidRDefault="00000000">
            <w:pPr>
              <w:pStyle w:val="cTableBody"/>
              <w:spacing w:before="0" w:after="0"/>
            </w:pPr>
            <w:r>
              <w:t>Plume, LES, mission forecasts, causal analysis and source inversion</w:t>
            </w:r>
          </w:p>
        </w:tc>
      </w:tr>
      <w:tr w:rsidR="003323F8" w14:paraId="4E9D2B66" w14:textId="77777777" w:rsidTr="00DA4BD8">
        <w:tc>
          <w:tcPr>
            <w:tcW w:w="3888" w:type="dxa"/>
          </w:tcPr>
          <w:p w14:paraId="128326EB" w14:textId="77777777" w:rsidR="003323F8" w:rsidRDefault="00000000">
            <w:pPr>
              <w:pStyle w:val="cTableBody"/>
              <w:spacing w:before="0" w:after="0"/>
            </w:pPr>
            <w:r>
              <w:t>Drones, balloons and autonomous platforms</w:t>
            </w:r>
          </w:p>
        </w:tc>
        <w:tc>
          <w:tcPr>
            <w:tcW w:w="5760" w:type="dxa"/>
          </w:tcPr>
          <w:p w14:paraId="4C78BAA5" w14:textId="77777777" w:rsidR="003323F8" w:rsidRDefault="00000000">
            <w:pPr>
              <w:pStyle w:val="cTableBody"/>
              <w:spacing w:before="0" w:after="0"/>
            </w:pPr>
            <w:r>
              <w:t>Vertical profiles, plume mapping and distributed observations</w:t>
            </w:r>
          </w:p>
        </w:tc>
      </w:tr>
      <w:tr w:rsidR="003323F8" w14:paraId="1FF6B7B7" w14:textId="77777777" w:rsidTr="00DA4BD8">
        <w:tc>
          <w:tcPr>
            <w:tcW w:w="3888" w:type="dxa"/>
          </w:tcPr>
          <w:p w14:paraId="7E96D1A0" w14:textId="77777777" w:rsidR="003323F8" w:rsidRDefault="00000000">
            <w:pPr>
              <w:pStyle w:val="cTableBody"/>
              <w:spacing w:before="0" w:after="0"/>
            </w:pPr>
            <w:r>
              <w:t>Scientific-analysis consortium</w:t>
            </w:r>
          </w:p>
        </w:tc>
        <w:tc>
          <w:tcPr>
            <w:tcW w:w="5760" w:type="dxa"/>
          </w:tcPr>
          <w:p w14:paraId="7AF4E4B4" w14:textId="77777777" w:rsidR="003323F8" w:rsidRDefault="00000000">
            <w:pPr>
              <w:pStyle w:val="cTableBody"/>
              <w:spacing w:before="0" w:after="0"/>
            </w:pPr>
            <w:r>
              <w:t>University, government-lab and international research subawards</w:t>
            </w:r>
          </w:p>
        </w:tc>
      </w:tr>
      <w:tr w:rsidR="003323F8" w14:paraId="0620EE41" w14:textId="77777777" w:rsidTr="00DA4BD8">
        <w:tc>
          <w:tcPr>
            <w:tcW w:w="3888" w:type="dxa"/>
          </w:tcPr>
          <w:p w14:paraId="56F2B7BA" w14:textId="77777777" w:rsidR="003323F8" w:rsidRDefault="00000000">
            <w:pPr>
              <w:pStyle w:val="cTableBody"/>
              <w:spacing w:before="0" w:after="0"/>
            </w:pPr>
            <w:r>
              <w:t>Governance and independent review</w:t>
            </w:r>
          </w:p>
        </w:tc>
        <w:tc>
          <w:tcPr>
            <w:tcW w:w="5760" w:type="dxa"/>
          </w:tcPr>
          <w:p w14:paraId="387F4904" w14:textId="77777777" w:rsidR="003323F8" w:rsidRDefault="00000000">
            <w:pPr>
              <w:pStyle w:val="cTableBody"/>
              <w:spacing w:before="0" w:after="0"/>
            </w:pPr>
            <w:r>
              <w:t>Environmental review, engagement, audits and open-data oversight</w:t>
            </w:r>
          </w:p>
        </w:tc>
      </w:tr>
    </w:tbl>
    <w:p w14:paraId="3860F840" w14:textId="77777777" w:rsidR="003323F8" w:rsidRPr="006D7895" w:rsidRDefault="00000000" w:rsidP="006D7895">
      <w:pPr>
        <w:pStyle w:val="blist-bullets"/>
      </w:pPr>
      <w:r w:rsidRPr="006D7895">
        <w:t>Each task order must specify measurable deliverables rather than only staff hours.</w:t>
      </w:r>
    </w:p>
    <w:p w14:paraId="7B207169" w14:textId="77777777" w:rsidR="003323F8" w:rsidRPr="006D7895" w:rsidRDefault="00000000" w:rsidP="006D7895">
      <w:pPr>
        <w:pStyle w:val="blist-bullets"/>
      </w:pPr>
      <w:r w:rsidRPr="006D7895">
        <w:t>Acceptance criteria should include uncertainty and data-completeness requirements.</w:t>
      </w:r>
    </w:p>
    <w:p w14:paraId="26ABB1E5" w14:textId="77777777" w:rsidR="003323F8" w:rsidRPr="006D7895" w:rsidRDefault="00000000" w:rsidP="006D7895">
      <w:pPr>
        <w:pStyle w:val="blist-bullets"/>
      </w:pPr>
      <w:r w:rsidRPr="006D7895">
        <w:t>All foreground data, code and technical documentation should be open by default.</w:t>
      </w:r>
    </w:p>
    <w:p w14:paraId="23D475A3" w14:textId="77777777" w:rsidR="003323F8" w:rsidRPr="006D7895" w:rsidRDefault="00000000" w:rsidP="006D7895">
      <w:pPr>
        <w:pStyle w:val="blist-bullets"/>
      </w:pPr>
      <w:r w:rsidRPr="006D7895">
        <w:t>Fixed-price milestones are suitable for defined hardware and reports; cost reimbursement is more appropriate for uncertain field operations.</w:t>
      </w:r>
    </w:p>
    <w:p w14:paraId="28B1A0B8" w14:textId="77777777" w:rsidR="003323F8" w:rsidRPr="006D7895" w:rsidRDefault="00000000" w:rsidP="006D7895">
      <w:pPr>
        <w:pStyle w:val="blist-bullets"/>
      </w:pPr>
      <w:r w:rsidRPr="006D7895">
        <w:t>Replacement-day options should be pre</w:t>
      </w:r>
      <w:r w:rsidR="00A5297E">
        <w:t>-</w:t>
      </w:r>
      <w:r w:rsidRPr="006D7895">
        <w:t>priced but exercised only when scientifically justified.</w:t>
      </w:r>
    </w:p>
    <w:p w14:paraId="416F76A7" w14:textId="77777777" w:rsidR="003323F8" w:rsidRDefault="00000000">
      <w:pPr>
        <w:pStyle w:val="Heading1"/>
        <w:spacing w:before="280" w:after="280"/>
      </w:pPr>
      <w:bookmarkStart w:id="30" w:name="_Toc237984392"/>
      <w:bookmarkStart w:id="31" w:name="ClimateTOC_006"/>
      <w:bookmarkStart w:id="32" w:name="_Toc236310504"/>
      <w:bookmarkStart w:id="33" w:name="_Toc238204660"/>
      <w:r>
        <w:t>Recipients of Purchase Orders</w:t>
      </w:r>
      <w:bookmarkEnd w:id="30"/>
      <w:bookmarkEnd w:id="31"/>
      <w:bookmarkEnd w:id="32"/>
      <w:bookmarkEnd w:id="33"/>
    </w:p>
    <w:p w14:paraId="6C27CD44" w14:textId="77777777" w:rsidR="003323F8" w:rsidRDefault="00000000">
      <w:pPr>
        <w:pStyle w:val="cUserPromptText"/>
        <w:spacing w:before="280" w:after="280"/>
      </w:pPr>
      <w:r w:rsidRPr="00260095">
        <w:rPr>
          <w:rStyle w:val="UserPromptHeadingChar"/>
        </w:rPr>
        <w:t xml:space="preserve">Prompt to AI: </w:t>
      </w:r>
      <w:r>
        <w:t>With each purchase order or equivalent agreement, who might it be issued to?</w:t>
      </w:r>
    </w:p>
    <w:p w14:paraId="4DFA996C" w14:textId="77777777" w:rsidR="003323F8" w:rsidRDefault="00000000">
      <w:pPr>
        <w:pStyle w:val="cSubject"/>
        <w:spacing w:before="280" w:after="280"/>
      </w:pPr>
      <w:r>
        <w:t>Response From AI:</w:t>
      </w:r>
    </w:p>
    <w:p w14:paraId="21DC977B" w14:textId="77777777" w:rsidR="003323F8" w:rsidRDefault="00000000">
      <w:pPr>
        <w:spacing w:before="280" w:after="80"/>
      </w:pPr>
      <w:r>
        <w:t>The recipients below are illustrative candidates, not endorsements or prequalified bidders. Many would participate through grants, cooperative agreements, reimbursable government agreements or international research subawards rather than ordinary commercial purchase orders.</w:t>
      </w:r>
    </w:p>
    <w:p w14:paraId="26AC1BF5" w14:textId="77777777" w:rsidR="003323F8" w:rsidRDefault="00000000">
      <w:pPr>
        <w:spacing w:before="280" w:after="80"/>
      </w:pPr>
      <w:r>
        <w:t>A strong consortium would combine the University of Washington MCB Research Program, NOAA cloud and aerosol scientists, NSF NCAR/UCAR, Scripps Institution of Oceanography, Pacific Northwest National Laboratory, Southern Cross University and its Australian partners, NASA cloud-observation groups, DOE atmospheric-observation capabilities, and competitively selected engineering and instrument firms.</w:t>
      </w:r>
    </w:p>
    <w:tbl>
      <w:tblPr>
        <w:tblStyle w:val="gswTableStyle"/>
        <w:tblW w:w="10188" w:type="dxa"/>
        <w:tblLayout w:type="fixed"/>
        <w:tblLook w:val="04A0" w:firstRow="1" w:lastRow="0" w:firstColumn="1" w:lastColumn="0" w:noHBand="0" w:noVBand="1"/>
      </w:tblPr>
      <w:tblGrid>
        <w:gridCol w:w="3599"/>
        <w:gridCol w:w="6589"/>
      </w:tblGrid>
      <w:tr w:rsidR="003323F8" w14:paraId="55A0F8BD" w14:textId="77777777" w:rsidTr="00872040">
        <w:trPr>
          <w:cnfStyle w:val="100000000000" w:firstRow="1" w:lastRow="0" w:firstColumn="0" w:lastColumn="0" w:oddVBand="0" w:evenVBand="0" w:oddHBand="0" w:evenHBand="0" w:firstRowFirstColumn="0" w:firstRowLastColumn="0" w:lastRowFirstColumn="0" w:lastRowLastColumn="0"/>
          <w:tblHeader/>
        </w:trPr>
        <w:tc>
          <w:tcPr>
            <w:tcW w:w="3599" w:type="dxa"/>
          </w:tcPr>
          <w:p w14:paraId="33B94A6A" w14:textId="77777777" w:rsidR="003323F8" w:rsidRDefault="00000000">
            <w:pPr>
              <w:pStyle w:val="cTableHeader"/>
            </w:pPr>
            <w:r>
              <w:t>Role</w:t>
            </w:r>
          </w:p>
        </w:tc>
        <w:tc>
          <w:tcPr>
            <w:tcW w:w="6589" w:type="dxa"/>
          </w:tcPr>
          <w:p w14:paraId="66689820" w14:textId="77777777" w:rsidR="003323F8" w:rsidRDefault="00000000">
            <w:pPr>
              <w:pStyle w:val="cTableHeader"/>
            </w:pPr>
            <w:r>
              <w:t>Strong candidate organizations</w:t>
            </w:r>
          </w:p>
        </w:tc>
      </w:tr>
      <w:tr w:rsidR="003323F8" w14:paraId="7CED90BA" w14:textId="77777777" w:rsidTr="00872040">
        <w:tc>
          <w:tcPr>
            <w:tcW w:w="3599" w:type="dxa"/>
          </w:tcPr>
          <w:p w14:paraId="1B7340D5" w14:textId="77777777" w:rsidR="003323F8" w:rsidRDefault="00000000">
            <w:pPr>
              <w:pStyle w:val="cTableBody"/>
              <w:spacing w:before="0" w:after="0"/>
            </w:pPr>
            <w:r>
              <w:t>Managing Organization</w:t>
            </w:r>
          </w:p>
        </w:tc>
        <w:tc>
          <w:tcPr>
            <w:tcW w:w="6589" w:type="dxa"/>
          </w:tcPr>
          <w:p w14:paraId="2F8ADA83" w14:textId="77777777" w:rsidR="003323F8" w:rsidRDefault="00000000">
            <w:pPr>
              <w:pStyle w:val="cTableBody"/>
              <w:spacing w:before="0" w:after="0"/>
            </w:pPr>
            <w:r>
              <w:t>RTI International, Battelle, SRI International or UCAR after competition</w:t>
            </w:r>
          </w:p>
        </w:tc>
      </w:tr>
      <w:tr w:rsidR="003323F8" w14:paraId="20D070F6" w14:textId="77777777" w:rsidTr="00872040">
        <w:tc>
          <w:tcPr>
            <w:tcW w:w="3599" w:type="dxa"/>
          </w:tcPr>
          <w:p w14:paraId="40D6382A" w14:textId="77777777" w:rsidR="003323F8" w:rsidRDefault="00000000">
            <w:pPr>
              <w:pStyle w:val="cTableBody"/>
              <w:spacing w:before="0" w:after="0"/>
            </w:pPr>
            <w:r>
              <w:t>Scientific integrator</w:t>
            </w:r>
          </w:p>
        </w:tc>
        <w:tc>
          <w:tcPr>
            <w:tcW w:w="6589" w:type="dxa"/>
          </w:tcPr>
          <w:p w14:paraId="75358230" w14:textId="77777777" w:rsidR="003323F8" w:rsidRDefault="00000000">
            <w:pPr>
              <w:pStyle w:val="cTableBody"/>
              <w:spacing w:before="0" w:after="0"/>
            </w:pPr>
            <w:r>
              <w:t>UCAR/NCAR with NOAA, UW, Scripps, PNNL and international partners</w:t>
            </w:r>
          </w:p>
        </w:tc>
      </w:tr>
      <w:tr w:rsidR="003323F8" w14:paraId="7D3A8821" w14:textId="77777777" w:rsidTr="00872040">
        <w:tc>
          <w:tcPr>
            <w:tcW w:w="3599" w:type="dxa"/>
          </w:tcPr>
          <w:p w14:paraId="778A5B37" w14:textId="77777777" w:rsidR="003323F8" w:rsidRDefault="00000000">
            <w:pPr>
              <w:pStyle w:val="cTableBody"/>
              <w:spacing w:before="0" w:after="0"/>
            </w:pPr>
            <w:r>
              <w:t>Existing MCB field-experiment lead</w:t>
            </w:r>
          </w:p>
        </w:tc>
        <w:tc>
          <w:tcPr>
            <w:tcW w:w="6589" w:type="dxa"/>
          </w:tcPr>
          <w:p w14:paraId="11DA429F" w14:textId="77777777" w:rsidR="003323F8" w:rsidRDefault="00000000">
            <w:pPr>
              <w:pStyle w:val="cTableBody"/>
              <w:spacing w:before="0" w:after="0"/>
            </w:pPr>
            <w:r>
              <w:t>Southern Cross University with RRAP, CSIRO, AIMS and partner universities</w:t>
            </w:r>
          </w:p>
        </w:tc>
      </w:tr>
      <w:tr w:rsidR="003323F8" w14:paraId="0E02FC31" w14:textId="77777777" w:rsidTr="00872040">
        <w:tc>
          <w:tcPr>
            <w:tcW w:w="3599" w:type="dxa"/>
          </w:tcPr>
          <w:p w14:paraId="498546EF" w14:textId="77777777" w:rsidR="003323F8" w:rsidRDefault="00000000">
            <w:pPr>
              <w:pStyle w:val="cTableBody"/>
              <w:spacing w:before="0" w:after="0"/>
            </w:pPr>
            <w:r>
              <w:t>U.S. MCB science and generator program</w:t>
            </w:r>
          </w:p>
        </w:tc>
        <w:tc>
          <w:tcPr>
            <w:tcW w:w="6589" w:type="dxa"/>
          </w:tcPr>
          <w:p w14:paraId="18FF1CDD" w14:textId="77777777" w:rsidR="003323F8" w:rsidRDefault="00000000">
            <w:pPr>
              <w:pStyle w:val="cTableBody"/>
              <w:spacing w:before="0" w:after="0"/>
            </w:pPr>
            <w:r>
              <w:t>University of Washington MCB Program with SRI International</w:t>
            </w:r>
          </w:p>
        </w:tc>
      </w:tr>
      <w:tr w:rsidR="003323F8" w14:paraId="78F2F426" w14:textId="77777777" w:rsidTr="00872040">
        <w:tc>
          <w:tcPr>
            <w:tcW w:w="3599" w:type="dxa"/>
          </w:tcPr>
          <w:p w14:paraId="2391963B" w14:textId="77777777" w:rsidR="003323F8" w:rsidRDefault="00000000">
            <w:pPr>
              <w:pStyle w:val="cTableBody"/>
              <w:spacing w:before="0" w:after="0"/>
            </w:pPr>
            <w:r>
              <w:t>Research ships and marine operations</w:t>
            </w:r>
          </w:p>
        </w:tc>
        <w:tc>
          <w:tcPr>
            <w:tcW w:w="6589" w:type="dxa"/>
          </w:tcPr>
          <w:p w14:paraId="233D1247" w14:textId="77777777" w:rsidR="003323F8" w:rsidRDefault="00000000">
            <w:pPr>
              <w:pStyle w:val="cTableBody"/>
              <w:spacing w:before="0" w:after="0"/>
            </w:pPr>
            <w:r>
              <w:t>Scripps, NOAA, Australian partners, university fleets or qualified commercial operators</w:t>
            </w:r>
          </w:p>
        </w:tc>
      </w:tr>
      <w:tr w:rsidR="003323F8" w14:paraId="19ED3CCA" w14:textId="77777777" w:rsidTr="00872040">
        <w:tc>
          <w:tcPr>
            <w:tcW w:w="3599" w:type="dxa"/>
          </w:tcPr>
          <w:p w14:paraId="1B8D4527" w14:textId="77777777" w:rsidR="003323F8" w:rsidRDefault="00000000">
            <w:pPr>
              <w:pStyle w:val="cTableBody"/>
              <w:spacing w:before="0" w:after="0"/>
            </w:pPr>
            <w:r>
              <w:t>Research aircraft</w:t>
            </w:r>
          </w:p>
        </w:tc>
        <w:tc>
          <w:tcPr>
            <w:tcW w:w="6589" w:type="dxa"/>
          </w:tcPr>
          <w:p w14:paraId="15A299A6" w14:textId="77777777" w:rsidR="003323F8" w:rsidRDefault="00000000">
            <w:pPr>
              <w:pStyle w:val="cTableBody"/>
              <w:spacing w:before="0" w:after="0"/>
            </w:pPr>
            <w:r>
              <w:t>NSF NCAR Earth Observing Laboratory, NOAA aircraft programs, NASA research aircraft or qualified contractors</w:t>
            </w:r>
          </w:p>
        </w:tc>
      </w:tr>
      <w:tr w:rsidR="003323F8" w14:paraId="0D1AEDA6" w14:textId="77777777" w:rsidTr="00872040">
        <w:tc>
          <w:tcPr>
            <w:tcW w:w="3599" w:type="dxa"/>
          </w:tcPr>
          <w:p w14:paraId="3D41CFCC" w14:textId="77777777" w:rsidR="003323F8" w:rsidRDefault="00000000">
            <w:pPr>
              <w:pStyle w:val="cTableBody"/>
              <w:spacing w:before="0" w:after="0"/>
            </w:pPr>
            <w:r>
              <w:t>Cloud radar/lidar/radiation</w:t>
            </w:r>
          </w:p>
        </w:tc>
        <w:tc>
          <w:tcPr>
            <w:tcW w:w="6589" w:type="dxa"/>
          </w:tcPr>
          <w:p w14:paraId="20CDAAB7" w14:textId="77777777" w:rsidR="003323F8" w:rsidRDefault="00000000">
            <w:pPr>
              <w:pStyle w:val="cTableBody"/>
              <w:spacing w:before="0" w:after="0"/>
            </w:pPr>
            <w:r>
              <w:t>NOAA, NCAR, DOE ARM, NASA Langley and university groups</w:t>
            </w:r>
          </w:p>
        </w:tc>
      </w:tr>
      <w:tr w:rsidR="003323F8" w14:paraId="53AAED04" w14:textId="77777777" w:rsidTr="00872040">
        <w:tc>
          <w:tcPr>
            <w:tcW w:w="3599" w:type="dxa"/>
          </w:tcPr>
          <w:p w14:paraId="5D1BB180" w14:textId="77777777" w:rsidR="003323F8" w:rsidRDefault="00000000">
            <w:pPr>
              <w:pStyle w:val="cTableBody"/>
              <w:spacing w:before="0" w:after="0"/>
            </w:pPr>
            <w:r>
              <w:t>Independent environmental review</w:t>
            </w:r>
          </w:p>
        </w:tc>
        <w:tc>
          <w:tcPr>
            <w:tcW w:w="6589" w:type="dxa"/>
          </w:tcPr>
          <w:p w14:paraId="0A755E2F" w14:textId="77777777" w:rsidR="003323F8" w:rsidRDefault="00000000">
            <w:pPr>
              <w:pStyle w:val="cTableBody"/>
              <w:spacing w:before="0" w:after="0"/>
            </w:pPr>
            <w:r>
              <w:t>AECOM, Ramboll, RTI or another competitively selected independent firm</w:t>
            </w:r>
          </w:p>
        </w:tc>
      </w:tr>
      <w:tr w:rsidR="003323F8" w14:paraId="6BF84144" w14:textId="77777777" w:rsidTr="00872040">
        <w:tc>
          <w:tcPr>
            <w:tcW w:w="3599" w:type="dxa"/>
          </w:tcPr>
          <w:p w14:paraId="5F539847" w14:textId="77777777" w:rsidR="003323F8" w:rsidRDefault="00000000">
            <w:pPr>
              <w:pStyle w:val="cTableBody"/>
              <w:spacing w:before="0" w:after="0"/>
            </w:pPr>
            <w:r>
              <w:t>Public and Indigenous engagement</w:t>
            </w:r>
          </w:p>
        </w:tc>
        <w:tc>
          <w:tcPr>
            <w:tcW w:w="6589" w:type="dxa"/>
          </w:tcPr>
          <w:p w14:paraId="2505D63A" w14:textId="77777777" w:rsidR="003323F8" w:rsidRDefault="00000000">
            <w:pPr>
              <w:pStyle w:val="cTableBody"/>
              <w:spacing w:before="0" w:after="0"/>
            </w:pPr>
            <w:r>
              <w:t>Independent regional organizations selected with affected communities</w:t>
            </w:r>
          </w:p>
        </w:tc>
      </w:tr>
      <w:tr w:rsidR="003323F8" w14:paraId="1E9FBB79" w14:textId="77777777" w:rsidTr="00872040">
        <w:tc>
          <w:tcPr>
            <w:tcW w:w="3599" w:type="dxa"/>
          </w:tcPr>
          <w:p w14:paraId="2DECB182" w14:textId="77777777" w:rsidR="003323F8" w:rsidRDefault="00000000">
            <w:pPr>
              <w:pStyle w:val="cTableBody"/>
              <w:spacing w:before="0" w:after="0"/>
            </w:pPr>
            <w:r>
              <w:t>Independent scientific review</w:t>
            </w:r>
          </w:p>
        </w:tc>
        <w:tc>
          <w:tcPr>
            <w:tcW w:w="6589" w:type="dxa"/>
          </w:tcPr>
          <w:p w14:paraId="6C629FF7" w14:textId="77777777" w:rsidR="003323F8" w:rsidRDefault="00000000">
            <w:pPr>
              <w:pStyle w:val="cTableBody"/>
              <w:spacing w:before="0" w:after="0"/>
            </w:pPr>
            <w:r>
              <w:t>National Academies-style panel or separately funded international committee</w:t>
            </w:r>
          </w:p>
        </w:tc>
      </w:tr>
    </w:tbl>
    <w:p w14:paraId="70E7C46E" w14:textId="77777777" w:rsidR="003323F8" w:rsidRDefault="00000000">
      <w:pPr>
        <w:pStyle w:val="Heading2"/>
        <w:spacing w:before="280"/>
      </w:pPr>
      <w:r>
        <w:t>A. Source-and-plume campaign</w:t>
      </w:r>
    </w:p>
    <w:tbl>
      <w:tblPr>
        <w:tblStyle w:val="gswTableStyle"/>
        <w:tblW w:w="9792" w:type="dxa"/>
        <w:tblLayout w:type="fixed"/>
        <w:tblLook w:val="04A0" w:firstRow="1" w:lastRow="0" w:firstColumn="1" w:lastColumn="0" w:noHBand="0" w:noVBand="1"/>
      </w:tblPr>
      <w:tblGrid>
        <w:gridCol w:w="3411"/>
        <w:gridCol w:w="6381"/>
      </w:tblGrid>
      <w:tr w:rsidR="003323F8" w14:paraId="37AD8983" w14:textId="77777777" w:rsidTr="00872040">
        <w:trPr>
          <w:cnfStyle w:val="100000000000" w:firstRow="1" w:lastRow="0" w:firstColumn="0" w:lastColumn="0" w:oddVBand="0" w:evenVBand="0" w:oddHBand="0" w:evenHBand="0" w:firstRowFirstColumn="0" w:firstRowLastColumn="0" w:lastRowFirstColumn="0" w:lastRowLastColumn="0"/>
          <w:tblHeader/>
        </w:trPr>
        <w:tc>
          <w:tcPr>
            <w:tcW w:w="3411" w:type="dxa"/>
          </w:tcPr>
          <w:p w14:paraId="0667A800" w14:textId="77777777" w:rsidR="003323F8" w:rsidRDefault="00000000">
            <w:pPr>
              <w:pStyle w:val="cTableHeader"/>
              <w:keepNext/>
            </w:pPr>
            <w:r>
              <w:t>Procurement area</w:t>
            </w:r>
          </w:p>
        </w:tc>
        <w:tc>
          <w:tcPr>
            <w:tcW w:w="6381" w:type="dxa"/>
          </w:tcPr>
          <w:p w14:paraId="51A4BB2D" w14:textId="77777777" w:rsidR="003323F8" w:rsidRDefault="00000000">
            <w:pPr>
              <w:pStyle w:val="cTableHeader"/>
              <w:keepNext/>
            </w:pPr>
            <w:r>
              <w:t>Illustrative recipients</w:t>
            </w:r>
          </w:p>
        </w:tc>
      </w:tr>
      <w:tr w:rsidR="003323F8" w14:paraId="10FC15D4" w14:textId="77777777" w:rsidTr="00872040">
        <w:tc>
          <w:tcPr>
            <w:tcW w:w="3411" w:type="dxa"/>
          </w:tcPr>
          <w:p w14:paraId="17812A1A" w14:textId="77777777" w:rsidR="003323F8" w:rsidRDefault="00000000">
            <w:pPr>
              <w:pStyle w:val="cTableBody"/>
              <w:keepNext/>
              <w:spacing w:before="0" w:after="0"/>
            </w:pPr>
            <w:r>
              <w:t>Scientific design and plume modeling</w:t>
            </w:r>
          </w:p>
        </w:tc>
        <w:tc>
          <w:tcPr>
            <w:tcW w:w="6381" w:type="dxa"/>
          </w:tcPr>
          <w:p w14:paraId="5138F42C" w14:textId="77777777" w:rsidR="003323F8" w:rsidRDefault="00000000">
            <w:pPr>
              <w:pStyle w:val="cTableBody"/>
              <w:keepNext/>
              <w:spacing w:before="0" w:after="0"/>
            </w:pPr>
            <w:r>
              <w:t>UW MCB Program; NOAA; NCAR; Scripps; PNNL; Southern Cross University; independent university teams</w:t>
            </w:r>
          </w:p>
        </w:tc>
      </w:tr>
      <w:tr w:rsidR="003323F8" w14:paraId="7D0F80B8" w14:textId="77777777" w:rsidTr="00872040">
        <w:tc>
          <w:tcPr>
            <w:tcW w:w="3411" w:type="dxa"/>
          </w:tcPr>
          <w:p w14:paraId="31DE1153" w14:textId="77777777" w:rsidR="003323F8" w:rsidRDefault="00000000">
            <w:pPr>
              <w:pStyle w:val="cTableBody"/>
              <w:spacing w:before="0" w:after="0"/>
            </w:pPr>
            <w:r>
              <w:t>Environmental and governance review</w:t>
            </w:r>
          </w:p>
        </w:tc>
        <w:tc>
          <w:tcPr>
            <w:tcW w:w="6381" w:type="dxa"/>
          </w:tcPr>
          <w:p w14:paraId="2F4B768B" w14:textId="77777777" w:rsidR="003323F8" w:rsidRDefault="00000000">
            <w:pPr>
              <w:pStyle w:val="cTableBody"/>
              <w:spacing w:before="0" w:after="0"/>
            </w:pPr>
            <w:r>
              <w:t>Independent environmental consultancy; maritime/aviation counsel; community and Indigenous engagement organizations</w:t>
            </w:r>
          </w:p>
        </w:tc>
      </w:tr>
      <w:tr w:rsidR="003323F8" w14:paraId="20CE79B9" w14:textId="77777777" w:rsidTr="00872040">
        <w:tc>
          <w:tcPr>
            <w:tcW w:w="3411" w:type="dxa"/>
          </w:tcPr>
          <w:p w14:paraId="56CA04F5" w14:textId="77777777" w:rsidR="003323F8" w:rsidRDefault="00000000">
            <w:pPr>
              <w:pStyle w:val="cTableBody"/>
              <w:spacing w:before="0" w:after="0"/>
            </w:pPr>
            <w:r>
              <w:t>Aerosol generator and seawater systems</w:t>
            </w:r>
          </w:p>
        </w:tc>
        <w:tc>
          <w:tcPr>
            <w:tcW w:w="6381" w:type="dxa"/>
          </w:tcPr>
          <w:p w14:paraId="1F2D1D6C" w14:textId="77777777" w:rsidR="003323F8" w:rsidRDefault="00000000">
            <w:pPr>
              <w:pStyle w:val="cTableBody"/>
              <w:spacing w:before="0" w:after="0"/>
            </w:pPr>
            <w:r>
              <w:t>SRI/UW generator team; Southern Cross University and industry partners; competitively selected spray, pump, filtration and corrosion specialists</w:t>
            </w:r>
          </w:p>
        </w:tc>
      </w:tr>
      <w:tr w:rsidR="003323F8" w14:paraId="761C1C12" w14:textId="77777777" w:rsidTr="00872040">
        <w:tc>
          <w:tcPr>
            <w:tcW w:w="3411" w:type="dxa"/>
          </w:tcPr>
          <w:p w14:paraId="2C207E9B" w14:textId="77777777" w:rsidR="003323F8" w:rsidRDefault="00000000">
            <w:pPr>
              <w:pStyle w:val="cTableBody"/>
              <w:spacing w:before="0" w:after="0"/>
            </w:pPr>
            <w:r>
              <w:t>Aerosol and CCN instruments</w:t>
            </w:r>
          </w:p>
        </w:tc>
        <w:tc>
          <w:tcPr>
            <w:tcW w:w="6381" w:type="dxa"/>
          </w:tcPr>
          <w:p w14:paraId="75A5D653" w14:textId="77777777" w:rsidR="003323F8" w:rsidRDefault="00000000">
            <w:pPr>
              <w:pStyle w:val="cTableBody"/>
              <w:spacing w:before="0" w:after="0"/>
            </w:pPr>
            <w:r>
              <w:t>NOAA and university instrument groups; Aerodyne Research; TSI; Droplet Measurement Technologies; Handix Scientific; other qualified suppliers</w:t>
            </w:r>
          </w:p>
        </w:tc>
      </w:tr>
      <w:tr w:rsidR="003323F8" w14:paraId="6B7F13A9" w14:textId="77777777" w:rsidTr="00872040">
        <w:tc>
          <w:tcPr>
            <w:tcW w:w="3411" w:type="dxa"/>
          </w:tcPr>
          <w:p w14:paraId="2F6DCA5D" w14:textId="77777777" w:rsidR="003323F8" w:rsidRDefault="00000000">
            <w:pPr>
              <w:pStyle w:val="cTableBody"/>
              <w:spacing w:before="0" w:after="0"/>
            </w:pPr>
            <w:r>
              <w:t>Vessel integration</w:t>
            </w:r>
          </w:p>
        </w:tc>
        <w:tc>
          <w:tcPr>
            <w:tcW w:w="6381" w:type="dxa"/>
          </w:tcPr>
          <w:p w14:paraId="21F913F3" w14:textId="77777777" w:rsidR="003323F8" w:rsidRDefault="00000000">
            <w:pPr>
              <w:pStyle w:val="cTableBody"/>
              <w:spacing w:before="0" w:after="0"/>
            </w:pPr>
            <w:r>
              <w:t>Research-fleet operator; marine engineering firm; generator prime; independent marine-safety reviewer</w:t>
            </w:r>
          </w:p>
        </w:tc>
      </w:tr>
      <w:tr w:rsidR="003323F8" w14:paraId="32C75398" w14:textId="77777777" w:rsidTr="00872040">
        <w:tc>
          <w:tcPr>
            <w:tcW w:w="3411" w:type="dxa"/>
          </w:tcPr>
          <w:p w14:paraId="0522380E" w14:textId="77777777" w:rsidR="003323F8" w:rsidRDefault="00000000">
            <w:pPr>
              <w:pStyle w:val="cTableBody"/>
              <w:spacing w:before="0" w:after="0"/>
            </w:pPr>
            <w:r>
              <w:t>Drone and balloon systems</w:t>
            </w:r>
          </w:p>
        </w:tc>
        <w:tc>
          <w:tcPr>
            <w:tcW w:w="6381" w:type="dxa"/>
          </w:tcPr>
          <w:p w14:paraId="0CCD15BB" w14:textId="77777777" w:rsidR="003323F8" w:rsidRDefault="00000000">
            <w:pPr>
              <w:pStyle w:val="cTableBody"/>
              <w:spacing w:before="0" w:after="0"/>
            </w:pPr>
            <w:r>
              <w:t>University UAS teams; NOAA/NCAR; qualified commercial operators; Vaisala and specialist payload firms</w:t>
            </w:r>
          </w:p>
        </w:tc>
      </w:tr>
      <w:tr w:rsidR="003323F8" w14:paraId="571E8533" w14:textId="77777777" w:rsidTr="00872040">
        <w:tc>
          <w:tcPr>
            <w:tcW w:w="3411" w:type="dxa"/>
          </w:tcPr>
          <w:p w14:paraId="23DEAB96" w14:textId="77777777" w:rsidR="003323F8" w:rsidRDefault="00000000">
            <w:pPr>
              <w:pStyle w:val="cTableBody"/>
              <w:spacing w:before="0" w:after="0"/>
            </w:pPr>
            <w:r>
              <w:t>Lidar and remote sensing</w:t>
            </w:r>
          </w:p>
        </w:tc>
        <w:tc>
          <w:tcPr>
            <w:tcW w:w="6381" w:type="dxa"/>
          </w:tcPr>
          <w:p w14:paraId="30696A44" w14:textId="77777777" w:rsidR="003323F8" w:rsidRDefault="00000000">
            <w:pPr>
              <w:pStyle w:val="cTableBody"/>
              <w:spacing w:before="0" w:after="0"/>
            </w:pPr>
            <w:r>
              <w:t>NOAA, NASA Langley, NCAR, DOE ARM or university lidar groups</w:t>
            </w:r>
          </w:p>
        </w:tc>
      </w:tr>
      <w:tr w:rsidR="003323F8" w14:paraId="7EECDE71" w14:textId="77777777" w:rsidTr="00872040">
        <w:tc>
          <w:tcPr>
            <w:tcW w:w="3411" w:type="dxa"/>
          </w:tcPr>
          <w:p w14:paraId="48E8CED7" w14:textId="77777777" w:rsidR="003323F8" w:rsidRDefault="00000000">
            <w:pPr>
              <w:pStyle w:val="cTableBody"/>
              <w:spacing w:before="0" w:after="0"/>
            </w:pPr>
            <w:r>
              <w:t>Data assimilation and source inversion</w:t>
            </w:r>
          </w:p>
        </w:tc>
        <w:tc>
          <w:tcPr>
            <w:tcW w:w="6381" w:type="dxa"/>
          </w:tcPr>
          <w:p w14:paraId="2653FBBA" w14:textId="77777777" w:rsidR="003323F8" w:rsidRDefault="00000000">
            <w:pPr>
              <w:pStyle w:val="cTableBody"/>
              <w:spacing w:before="0" w:after="0"/>
            </w:pPr>
            <w:r>
              <w:t>NOAA, NCAR, PNNL, UW, Scripps and an independent modeling team</w:t>
            </w:r>
          </w:p>
        </w:tc>
      </w:tr>
      <w:tr w:rsidR="003323F8" w14:paraId="2A48028E" w14:textId="77777777" w:rsidTr="00872040">
        <w:tc>
          <w:tcPr>
            <w:tcW w:w="3411" w:type="dxa"/>
          </w:tcPr>
          <w:p w14:paraId="601E8704" w14:textId="77777777" w:rsidR="003323F8" w:rsidRDefault="00000000">
            <w:pPr>
              <w:pStyle w:val="cTableBody"/>
              <w:spacing w:before="0" w:after="0"/>
            </w:pPr>
            <w:r>
              <w:t>Laboratory and deposition analysis</w:t>
            </w:r>
          </w:p>
        </w:tc>
        <w:tc>
          <w:tcPr>
            <w:tcW w:w="6381" w:type="dxa"/>
          </w:tcPr>
          <w:p w14:paraId="0E2E88EF" w14:textId="77777777" w:rsidR="003323F8" w:rsidRDefault="00000000">
            <w:pPr>
              <w:pStyle w:val="cTableBody"/>
              <w:spacing w:before="0" w:after="0"/>
            </w:pPr>
            <w:r>
              <w:t>NOAA, Scripps, university aerosol laboratories and independent analytical laboratories</w:t>
            </w:r>
          </w:p>
        </w:tc>
      </w:tr>
      <w:tr w:rsidR="003323F8" w14:paraId="0D310D54" w14:textId="77777777" w:rsidTr="00872040">
        <w:tc>
          <w:tcPr>
            <w:tcW w:w="3411" w:type="dxa"/>
          </w:tcPr>
          <w:p w14:paraId="2796D13D" w14:textId="77777777" w:rsidR="003323F8" w:rsidRDefault="00000000">
            <w:pPr>
              <w:pStyle w:val="cTableBody"/>
              <w:spacing w:before="0" w:after="0"/>
            </w:pPr>
            <w:r>
              <w:t>Independent audit and archive</w:t>
            </w:r>
          </w:p>
        </w:tc>
        <w:tc>
          <w:tcPr>
            <w:tcW w:w="6381" w:type="dxa"/>
          </w:tcPr>
          <w:p w14:paraId="5FE5C7DB" w14:textId="77777777" w:rsidR="003323F8" w:rsidRDefault="00000000">
            <w:pPr>
              <w:pStyle w:val="cTableBody"/>
              <w:spacing w:before="0" w:after="0"/>
            </w:pPr>
            <w:r>
              <w:t>RTI or independent metrology/statistics team; UCAR, NOAA, NASA or a durable open repository</w:t>
            </w:r>
          </w:p>
        </w:tc>
      </w:tr>
    </w:tbl>
    <w:p w14:paraId="2DD91127" w14:textId="77777777" w:rsidR="003323F8" w:rsidRDefault="00000000">
      <w:pPr>
        <w:pStyle w:val="Heading2"/>
        <w:spacing w:before="280"/>
      </w:pPr>
      <w:r>
        <w:t>B. Cloud-response campaign</w:t>
      </w:r>
    </w:p>
    <w:tbl>
      <w:tblPr>
        <w:tblStyle w:val="gswTableStyle"/>
        <w:tblW w:w="9792" w:type="dxa"/>
        <w:tblLayout w:type="fixed"/>
        <w:tblLook w:val="04A0" w:firstRow="1" w:lastRow="0" w:firstColumn="1" w:lastColumn="0" w:noHBand="0" w:noVBand="1"/>
      </w:tblPr>
      <w:tblGrid>
        <w:gridCol w:w="3407"/>
        <w:gridCol w:w="6385"/>
      </w:tblGrid>
      <w:tr w:rsidR="003323F8" w14:paraId="1471F109" w14:textId="77777777" w:rsidTr="00872040">
        <w:trPr>
          <w:cnfStyle w:val="100000000000" w:firstRow="1" w:lastRow="0" w:firstColumn="0" w:lastColumn="0" w:oddVBand="0" w:evenVBand="0" w:oddHBand="0" w:evenHBand="0" w:firstRowFirstColumn="0" w:firstRowLastColumn="0" w:lastRowFirstColumn="0" w:lastRowLastColumn="0"/>
          <w:tblHeader/>
        </w:trPr>
        <w:tc>
          <w:tcPr>
            <w:tcW w:w="3407" w:type="dxa"/>
          </w:tcPr>
          <w:p w14:paraId="7B73E380" w14:textId="77777777" w:rsidR="003323F8" w:rsidRDefault="00000000">
            <w:pPr>
              <w:pStyle w:val="cTableHeader"/>
            </w:pPr>
            <w:r>
              <w:t>Procurement area</w:t>
            </w:r>
          </w:p>
        </w:tc>
        <w:tc>
          <w:tcPr>
            <w:tcW w:w="6385" w:type="dxa"/>
          </w:tcPr>
          <w:p w14:paraId="27EB99A4" w14:textId="77777777" w:rsidR="003323F8" w:rsidRDefault="00000000">
            <w:pPr>
              <w:pStyle w:val="cTableHeader"/>
            </w:pPr>
            <w:r>
              <w:t>Illustrative recipients</w:t>
            </w:r>
          </w:p>
        </w:tc>
      </w:tr>
      <w:tr w:rsidR="003323F8" w14:paraId="535330B9" w14:textId="77777777" w:rsidTr="00872040">
        <w:tc>
          <w:tcPr>
            <w:tcW w:w="3407" w:type="dxa"/>
          </w:tcPr>
          <w:p w14:paraId="7238B28B" w14:textId="77777777" w:rsidR="003323F8" w:rsidRDefault="00000000">
            <w:pPr>
              <w:pStyle w:val="cTableBody"/>
              <w:spacing w:before="0" w:after="0"/>
            </w:pPr>
            <w:r>
              <w:t>Cloud-regime design and LES</w:t>
            </w:r>
          </w:p>
        </w:tc>
        <w:tc>
          <w:tcPr>
            <w:tcW w:w="6385" w:type="dxa"/>
          </w:tcPr>
          <w:p w14:paraId="04267B41" w14:textId="77777777" w:rsidR="003323F8" w:rsidRDefault="00000000">
            <w:pPr>
              <w:pStyle w:val="cTableBody"/>
              <w:spacing w:before="0" w:after="0"/>
            </w:pPr>
            <w:r>
              <w:t>NOAA, NCAR, UW, Scripps, PNNL, University of Arizona, University of Leeds/Manchester/Exeter and other cloud groups</w:t>
            </w:r>
          </w:p>
        </w:tc>
      </w:tr>
      <w:tr w:rsidR="003323F8" w14:paraId="4B016110" w14:textId="77777777" w:rsidTr="00872040">
        <w:tc>
          <w:tcPr>
            <w:tcW w:w="3407" w:type="dxa"/>
          </w:tcPr>
          <w:p w14:paraId="39810751" w14:textId="77777777" w:rsidR="003323F8" w:rsidRDefault="00000000">
            <w:pPr>
              <w:pStyle w:val="cTableBody"/>
              <w:spacing w:before="0" w:after="0"/>
            </w:pPr>
            <w:r>
              <w:t>Release vessel and generator</w:t>
            </w:r>
          </w:p>
        </w:tc>
        <w:tc>
          <w:tcPr>
            <w:tcW w:w="6385" w:type="dxa"/>
          </w:tcPr>
          <w:p w14:paraId="26028DA9" w14:textId="77777777" w:rsidR="003323F8" w:rsidRDefault="00000000">
            <w:pPr>
              <w:pStyle w:val="cTableBody"/>
              <w:spacing w:before="0" w:after="0"/>
            </w:pPr>
            <w:r>
              <w:t>Southern Cross University team or UW/SRI team working with a qualified vessel operator and marine integrator</w:t>
            </w:r>
          </w:p>
        </w:tc>
      </w:tr>
      <w:tr w:rsidR="003323F8" w14:paraId="14F57CC9" w14:textId="77777777" w:rsidTr="00872040">
        <w:tc>
          <w:tcPr>
            <w:tcW w:w="3407" w:type="dxa"/>
          </w:tcPr>
          <w:p w14:paraId="0EF58665" w14:textId="77777777" w:rsidR="003323F8" w:rsidRDefault="00000000">
            <w:pPr>
              <w:pStyle w:val="cTableBody"/>
              <w:spacing w:before="0" w:after="0"/>
            </w:pPr>
            <w:r>
              <w:t>Primary cloud-sampling aircraft</w:t>
            </w:r>
          </w:p>
        </w:tc>
        <w:tc>
          <w:tcPr>
            <w:tcW w:w="6385" w:type="dxa"/>
          </w:tcPr>
          <w:p w14:paraId="7C319386" w14:textId="77777777" w:rsidR="003323F8" w:rsidRDefault="00000000">
            <w:pPr>
              <w:pStyle w:val="cTableBody"/>
              <w:spacing w:before="0" w:after="0"/>
            </w:pPr>
            <w:r>
              <w:t>NSF NCAR C-130 or University of Wyoming King Air 350i for primary cloud sampling; NSF NCAR Gulfstream V for above-cloud/context work; NOAA, NASA or SAFIRE aircraft where mission requirements fit</w:t>
            </w:r>
          </w:p>
        </w:tc>
      </w:tr>
      <w:tr w:rsidR="003323F8" w14:paraId="50E16356" w14:textId="77777777" w:rsidTr="00872040">
        <w:tc>
          <w:tcPr>
            <w:tcW w:w="3407" w:type="dxa"/>
          </w:tcPr>
          <w:p w14:paraId="28C0DD4C" w14:textId="77777777" w:rsidR="003323F8" w:rsidRDefault="00000000">
            <w:pPr>
              <w:pStyle w:val="cTableBody"/>
              <w:spacing w:before="0" w:after="0"/>
            </w:pPr>
            <w:r>
              <w:t>Aerosol and cloud probes</w:t>
            </w:r>
          </w:p>
        </w:tc>
        <w:tc>
          <w:tcPr>
            <w:tcW w:w="6385" w:type="dxa"/>
          </w:tcPr>
          <w:p w14:paraId="09F681E2" w14:textId="77777777" w:rsidR="003323F8" w:rsidRDefault="00000000">
            <w:pPr>
              <w:pStyle w:val="cTableBody"/>
              <w:spacing w:before="0" w:after="0"/>
            </w:pPr>
            <w:r>
              <w:t>NOAA, NCAR, NASA, Droplet Measurement Technologies, SPEC and university instrument teams</w:t>
            </w:r>
          </w:p>
        </w:tc>
      </w:tr>
      <w:tr w:rsidR="003323F8" w14:paraId="2E3D0627" w14:textId="77777777" w:rsidTr="00872040">
        <w:tc>
          <w:tcPr>
            <w:tcW w:w="3407" w:type="dxa"/>
          </w:tcPr>
          <w:p w14:paraId="71ACC8D5" w14:textId="77777777" w:rsidR="003323F8" w:rsidRDefault="00000000">
            <w:pPr>
              <w:pStyle w:val="cTableBody"/>
              <w:spacing w:before="0" w:after="0"/>
            </w:pPr>
            <w:r>
              <w:t>Radar, lidar and radiometers</w:t>
            </w:r>
          </w:p>
        </w:tc>
        <w:tc>
          <w:tcPr>
            <w:tcW w:w="6385" w:type="dxa"/>
          </w:tcPr>
          <w:p w14:paraId="0CA1977B" w14:textId="77777777" w:rsidR="003323F8" w:rsidRDefault="00000000">
            <w:pPr>
              <w:pStyle w:val="cTableBody"/>
              <w:spacing w:before="0" w:after="0"/>
            </w:pPr>
            <w:r>
              <w:t>DOE ARM, NOAA, NCAR, NASA Langley and university remote-sensing groups</w:t>
            </w:r>
          </w:p>
        </w:tc>
      </w:tr>
      <w:tr w:rsidR="003323F8" w14:paraId="03B6CDD0" w14:textId="77777777" w:rsidTr="00872040">
        <w:tc>
          <w:tcPr>
            <w:tcW w:w="3407" w:type="dxa"/>
          </w:tcPr>
          <w:p w14:paraId="7621D00B" w14:textId="77777777" w:rsidR="003323F8" w:rsidRDefault="00000000">
            <w:pPr>
              <w:pStyle w:val="cTableBody"/>
              <w:spacing w:before="0" w:after="0"/>
            </w:pPr>
            <w:r>
              <w:t>Satellite products</w:t>
            </w:r>
          </w:p>
        </w:tc>
        <w:tc>
          <w:tcPr>
            <w:tcW w:w="6385" w:type="dxa"/>
          </w:tcPr>
          <w:p w14:paraId="0A3739F3" w14:textId="77777777" w:rsidR="003323F8" w:rsidRDefault="00000000">
            <w:pPr>
              <w:pStyle w:val="cTableBody"/>
              <w:spacing w:before="0" w:after="0"/>
            </w:pPr>
            <w:r>
              <w:t>NASA and NOAA science teams; university retrieval groups</w:t>
            </w:r>
          </w:p>
        </w:tc>
      </w:tr>
      <w:tr w:rsidR="003323F8" w14:paraId="24CC73FD" w14:textId="77777777" w:rsidTr="00872040">
        <w:tc>
          <w:tcPr>
            <w:tcW w:w="3407" w:type="dxa"/>
          </w:tcPr>
          <w:p w14:paraId="17025053" w14:textId="77777777" w:rsidR="003323F8" w:rsidRDefault="00000000">
            <w:pPr>
              <w:pStyle w:val="cTableBody"/>
              <w:spacing w:before="0" w:after="0"/>
            </w:pPr>
            <w:r>
              <w:t>Cloud and radiative closure</w:t>
            </w:r>
          </w:p>
        </w:tc>
        <w:tc>
          <w:tcPr>
            <w:tcW w:w="6385" w:type="dxa"/>
          </w:tcPr>
          <w:p w14:paraId="4ED036A0" w14:textId="77777777" w:rsidR="003323F8" w:rsidRDefault="00000000">
            <w:pPr>
              <w:pStyle w:val="cTableBody"/>
              <w:spacing w:before="0" w:after="0"/>
            </w:pPr>
            <w:r>
              <w:t>NOAA, NCAR, Scripps, UW, NASA and independent international teams</w:t>
            </w:r>
          </w:p>
        </w:tc>
      </w:tr>
      <w:tr w:rsidR="003323F8" w14:paraId="22D5E2E7" w14:textId="77777777" w:rsidTr="00872040">
        <w:tc>
          <w:tcPr>
            <w:tcW w:w="3407" w:type="dxa"/>
          </w:tcPr>
          <w:p w14:paraId="528A7EE9" w14:textId="77777777" w:rsidR="003323F8" w:rsidRDefault="00000000">
            <w:pPr>
              <w:pStyle w:val="cTableBody"/>
              <w:spacing w:before="0" w:after="0"/>
            </w:pPr>
            <w:r>
              <w:t>Regional and global climate modeling</w:t>
            </w:r>
          </w:p>
        </w:tc>
        <w:tc>
          <w:tcPr>
            <w:tcW w:w="6385" w:type="dxa"/>
          </w:tcPr>
          <w:p w14:paraId="26338DDB" w14:textId="77777777" w:rsidR="003323F8" w:rsidRDefault="00000000">
            <w:pPr>
              <w:pStyle w:val="cTableBody"/>
              <w:spacing w:before="0" w:after="0"/>
            </w:pPr>
            <w:r>
              <w:t>NCAR, PNNL, NOAA GFDL, UK Met Office/University of Exeter, Max Planck Institute, universities and GeoMIP participants</w:t>
            </w:r>
          </w:p>
        </w:tc>
      </w:tr>
      <w:tr w:rsidR="003323F8" w14:paraId="64E61D8A" w14:textId="77777777" w:rsidTr="00872040">
        <w:tc>
          <w:tcPr>
            <w:tcW w:w="3407" w:type="dxa"/>
          </w:tcPr>
          <w:p w14:paraId="026E7151" w14:textId="77777777" w:rsidR="003323F8" w:rsidRDefault="00000000">
            <w:pPr>
              <w:pStyle w:val="cTableBody"/>
              <w:spacing w:before="0" w:after="0"/>
            </w:pPr>
            <w:r>
              <w:t>Marine ecology and deposition</w:t>
            </w:r>
          </w:p>
        </w:tc>
        <w:tc>
          <w:tcPr>
            <w:tcW w:w="6385" w:type="dxa"/>
          </w:tcPr>
          <w:p w14:paraId="61FDE925" w14:textId="77777777" w:rsidR="003323F8" w:rsidRDefault="00000000">
            <w:pPr>
              <w:pStyle w:val="cTableBody"/>
              <w:spacing w:before="0" w:after="0"/>
            </w:pPr>
            <w:r>
              <w:t>AIMS, CSIRO, Scripps, Southern Cross University, coastal universities and independent ecological laboratories</w:t>
            </w:r>
          </w:p>
        </w:tc>
      </w:tr>
      <w:tr w:rsidR="003323F8" w14:paraId="6E192FA0" w14:textId="77777777" w:rsidTr="00872040">
        <w:tc>
          <w:tcPr>
            <w:tcW w:w="3407" w:type="dxa"/>
          </w:tcPr>
          <w:p w14:paraId="6B081398" w14:textId="77777777" w:rsidR="003323F8" w:rsidRDefault="00000000">
            <w:pPr>
              <w:pStyle w:val="cTableBody"/>
              <w:spacing w:before="0" w:after="0"/>
            </w:pPr>
            <w:r>
              <w:t>Public archive and review</w:t>
            </w:r>
          </w:p>
        </w:tc>
        <w:tc>
          <w:tcPr>
            <w:tcW w:w="6385" w:type="dxa"/>
          </w:tcPr>
          <w:p w14:paraId="2FE48D9B" w14:textId="77777777" w:rsidR="003323F8" w:rsidRDefault="00000000">
            <w:pPr>
              <w:pStyle w:val="cTableBody"/>
              <w:spacing w:before="0" w:after="0"/>
            </w:pPr>
            <w:r>
              <w:t>UCAR/NCAR, NOAA or NASA archive; National Academies-style international review</w:t>
            </w:r>
          </w:p>
        </w:tc>
      </w:tr>
    </w:tbl>
    <w:p w14:paraId="5744EF6E" w14:textId="77777777" w:rsidR="003323F8" w:rsidRDefault="00000000">
      <w:pPr>
        <w:pStyle w:val="Heading2"/>
        <w:spacing w:before="280"/>
      </w:pPr>
      <w:r>
        <w:t>Recommended prime-contract arrangement</w:t>
      </w:r>
    </w:p>
    <w:p w14:paraId="0AA234CB" w14:textId="77777777" w:rsidR="003323F8" w:rsidRDefault="00000000" w:rsidP="006D7895">
      <w:pPr>
        <w:pStyle w:val="blist-numbers"/>
        <w:numPr>
          <w:ilvl w:val="0"/>
          <w:numId w:val="17"/>
        </w:numPr>
        <w:spacing w:before="160" w:beforeAutospacing="0" w:after="160" w:afterAutospacing="0"/>
      </w:pPr>
      <w:r>
        <w:t>RTI International or another competitively selected nonprofit: fiduciary program management, procurement, finance, risk and reporting.</w:t>
      </w:r>
    </w:p>
    <w:p w14:paraId="0BCFFD75" w14:textId="77777777" w:rsidR="003323F8" w:rsidRDefault="00000000" w:rsidP="006D7895">
      <w:pPr>
        <w:pStyle w:val="blist-numbers"/>
        <w:numPr>
          <w:ilvl w:val="0"/>
          <w:numId w:val="18"/>
        </w:numPr>
        <w:spacing w:before="160" w:beforeAutospacing="0" w:after="160" w:afterAutospacing="0"/>
      </w:pPr>
      <w:r>
        <w:t>UCAR/NCAR: atmospheric-science integration, field-campaign coordination, models and data standards.</w:t>
      </w:r>
    </w:p>
    <w:p w14:paraId="453B1D56" w14:textId="77777777" w:rsidR="003323F8" w:rsidRDefault="00000000" w:rsidP="006D7895">
      <w:pPr>
        <w:pStyle w:val="blist-numbers"/>
        <w:numPr>
          <w:ilvl w:val="0"/>
          <w:numId w:val="19"/>
        </w:numPr>
        <w:spacing w:before="160" w:beforeAutospacing="0" w:after="160" w:afterAutospacing="0"/>
      </w:pPr>
      <w:r>
        <w:t>University of Washington MCB Program and NOAA/Scripps/PNNL partners: U.S. aerosol-cloud science and source research.</w:t>
      </w:r>
    </w:p>
    <w:p w14:paraId="07E1500D" w14:textId="77777777" w:rsidR="003323F8" w:rsidRDefault="00000000" w:rsidP="006D7895">
      <w:pPr>
        <w:pStyle w:val="blist-numbers"/>
        <w:numPr>
          <w:ilvl w:val="0"/>
          <w:numId w:val="20"/>
        </w:numPr>
        <w:spacing w:before="160" w:beforeAutospacing="0" w:after="160" w:afterAutospacing="0"/>
      </w:pPr>
      <w:r>
        <w:t>Southern Cross University/RRAP consortium: outdoor MCB experience, marine operations and regional ecological integration.</w:t>
      </w:r>
    </w:p>
    <w:p w14:paraId="69C8B419" w14:textId="77777777" w:rsidR="003323F8" w:rsidRDefault="00000000" w:rsidP="006D7895">
      <w:pPr>
        <w:pStyle w:val="blist-numbers"/>
        <w:numPr>
          <w:ilvl w:val="0"/>
          <w:numId w:val="21"/>
        </w:numPr>
        <w:spacing w:before="160" w:beforeAutospacing="0" w:after="160" w:afterAutospacing="0"/>
      </w:pPr>
      <w:r>
        <w:t>Research-aircraft and research-vessel operators: independently contracted platform services.</w:t>
      </w:r>
    </w:p>
    <w:p w14:paraId="53B217D2" w14:textId="77777777" w:rsidR="003323F8" w:rsidRDefault="00000000" w:rsidP="006D7895">
      <w:pPr>
        <w:pStyle w:val="blist-numbers"/>
        <w:numPr>
          <w:ilvl w:val="0"/>
          <w:numId w:val="22"/>
        </w:numPr>
        <w:spacing w:before="160" w:beforeAutospacing="0" w:after="160" w:afterAutospacing="0"/>
      </w:pPr>
      <w:r>
        <w:t>Independent oversight consortium: environmental review, public engagement, scientific audit and open-data compliance.</w:t>
      </w:r>
    </w:p>
    <w:p w14:paraId="7248ACFA" w14:textId="77777777" w:rsidR="003323F8" w:rsidRDefault="00000000">
      <w:pPr>
        <w:spacing w:before="280" w:after="80"/>
      </w:pPr>
      <w:r>
        <w:rPr>
          <w:b/>
        </w:rPr>
        <w:t>The organization operating a release must not control environmental authorization, public engagement, data audit, or the final decision on whether a larger experiment should proceed.</w:t>
      </w:r>
    </w:p>
    <w:p w14:paraId="6920DCEB" w14:textId="77777777" w:rsidR="003323F8" w:rsidRDefault="00000000">
      <w:pPr>
        <w:pStyle w:val="Heading1"/>
        <w:spacing w:before="280" w:after="280"/>
      </w:pPr>
      <w:bookmarkStart w:id="34" w:name="_Toc237984393"/>
      <w:bookmarkStart w:id="35" w:name="ClimateTOC_007"/>
      <w:bookmarkStart w:id="36" w:name="_Toc236310505"/>
      <w:bookmarkStart w:id="37" w:name="_Toc238204661"/>
      <w:r>
        <w:t>Project Management</w:t>
      </w:r>
      <w:bookmarkEnd w:id="34"/>
      <w:bookmarkEnd w:id="35"/>
      <w:bookmarkEnd w:id="36"/>
      <w:bookmarkEnd w:id="37"/>
    </w:p>
    <w:p w14:paraId="2CC80501" w14:textId="77777777" w:rsidR="000A7470" w:rsidRDefault="00000000" w:rsidP="008B24AE">
      <w:pPr>
        <w:pStyle w:val="cUserPromptHeading"/>
      </w:pPr>
      <w:r>
        <w:t>Prompt to AI:</w:t>
      </w:r>
      <w:r w:rsidR="008B24AE" w:rsidRPr="008B24AE">
        <w:rPr>
          <w:rStyle w:val="UserPromptTextChar"/>
          <w:b w:val="0"/>
          <w:bCs w:val="0"/>
        </w:rPr>
        <w:t xml:space="preserve"> </w:t>
      </w:r>
      <w:r w:rsidRPr="008B24AE">
        <w:rPr>
          <w:rStyle w:val="UserPromptTextChar"/>
          <w:b w:val="0"/>
          <w:bCs w:val="0"/>
        </w:rPr>
        <w:t>What project-management provisions are specific to this MCB Experimental Research Initiative after incorporating the Climate Moonshot Portfolio Common Framework?</w:t>
      </w:r>
    </w:p>
    <w:p w14:paraId="1074C4D8" w14:textId="77777777" w:rsidR="000A7470" w:rsidRDefault="00000000">
      <w:pPr>
        <w:pStyle w:val="cSubject"/>
      </w:pPr>
      <w:r>
        <w:t>Response From AI:</w:t>
      </w:r>
    </w:p>
    <w:p w14:paraId="6AB03EE6" w14:textId="1EB360D1" w:rsidR="000A7470" w:rsidRDefault="00000000">
      <w:r>
        <w:t xml:space="preserve">Portfolio-wide governance, Managing Organization selection, fiduciary controls, procurement, financial controls, reserve governance, independent review, audit, conflicts, open-source/data rights, management oversight, and transition rules </w:t>
      </w:r>
      <w:r w:rsidR="00EF37DF">
        <w:t xml:space="preserve">are specified in the </w:t>
      </w:r>
      <w:hyperlink r:id="rId18" w:anchor="framework" w:history="1">
        <w:r w:rsidR="00EF37DF">
          <w:rPr>
            <w:rStyle w:val="bhyperlinkChar"/>
          </w:rPr>
          <w:t>Moonshot</w:t>
        </w:r>
        <w:r w:rsidR="00EF37DF" w:rsidRPr="00D14B0C">
          <w:rPr>
            <w:rStyle w:val="bhyperlinkChar"/>
          </w:rPr>
          <w:t xml:space="preserve"> Common Framework</w:t>
        </w:r>
      </w:hyperlink>
      <w:r>
        <w:t>. This chapter states only the additional management structure required by the MCB experimental-research program.</w:t>
      </w:r>
    </w:p>
    <w:p w14:paraId="6AB43644" w14:textId="77777777" w:rsidR="000A7470" w:rsidRDefault="00000000">
      <w:pPr>
        <w:pStyle w:val="cSubject"/>
      </w:pPr>
      <w:r>
        <w:t>Initiative-specific management requirements</w:t>
      </w:r>
    </w:p>
    <w:p w14:paraId="1E92B296" w14:textId="77777777" w:rsidR="000A7470" w:rsidRDefault="00000000">
      <w:pPr>
        <w:pStyle w:val="blist-bullets"/>
      </w:pPr>
      <w:r>
        <w:t>The Managing Organization must be capable of large atmospheric field programs involving research ships, aircraft, drones, remote sensing, aerosol-source systems, cloud measurements, environmental review, international coordination, and acceptance of campaign data and technical deliverables.</w:t>
      </w:r>
    </w:p>
    <w:p w14:paraId="7CD9DCD6" w14:textId="77777777" w:rsidR="000A7470" w:rsidRDefault="00000000">
      <w:pPr>
        <w:pStyle w:val="blist-bullets"/>
      </w:pPr>
      <w:r>
        <w:t>Maintain one integrated science-and-operations baseline across the twelve program areas and the linked source-and-plume and cloud-response experiment families. Requirements, release settings, control periods, instrument configuration, forecasts, calibration, exclusions, and data products must remain traceable from preregistration through final analysis.</w:t>
      </w:r>
    </w:p>
    <w:p w14:paraId="4CF9EE5C" w14:textId="77777777" w:rsidR="000A7470" w:rsidRDefault="00000000">
      <w:pPr>
        <w:pStyle w:val="blist-bullets"/>
      </w:pPr>
      <w:r>
        <w:t>Maintain a clear separation among fiduciary program management, scientific integration, experiment execution, and the Independent Release and Safety Board. The team conducting a release may not authorize its own outdoor experiment or determine by itself that a larger release should proceed.</w:t>
      </w:r>
    </w:p>
    <w:p w14:paraId="2B3A1990" w14:textId="77777777" w:rsidR="000A7470" w:rsidRDefault="00000000">
      <w:pPr>
        <w:pStyle w:val="blist-bullets"/>
      </w:pPr>
      <w:r>
        <w:t>Coordinate formally with the companion MCB Equipment Development Initiative. Experimental Research pays for campaign-specific capability and scientific operation; Equipment Development hardens, scales, automates, and improves reusable equipment. Shared generators, vessels/platforms, instruments, data systems, and other assets must have one lead budget and an auditable usage/transfer rule.</w:t>
      </w:r>
    </w:p>
    <w:p w14:paraId="6EF3707E" w14:textId="77777777" w:rsidR="000A7470" w:rsidRDefault="00000000">
      <w:pPr>
        <w:pStyle w:val="blist-bullets"/>
      </w:pPr>
      <w:r>
        <w:t>Require preregistered treated/control designs, detectability and statistical-power review, independent calibration and data-quality review, publication of null and negative results, and independent replication before a claimed source-to-cloud-to-radiation result is used to justify a larger research stage.</w:t>
      </w:r>
    </w:p>
    <w:p w14:paraId="0C2F810C" w14:textId="77777777" w:rsidR="000A7470" w:rsidRDefault="00000000">
      <w:pPr>
        <w:pStyle w:val="blist-bullets"/>
      </w:pPr>
      <w:r>
        <w:t>Completion of the five-year research program produces an independently reviewed stop/proceed decision package. It creates no entitlement to regional or global MCB deployment, and passing a scientific gate does not substitute for environmental, legal, public-engagement, or transboundary authorization.</w:t>
      </w:r>
    </w:p>
    <w:p w14:paraId="157652CC" w14:textId="77777777" w:rsidR="003323F8" w:rsidRDefault="00000000">
      <w:pPr>
        <w:pStyle w:val="Heading1"/>
        <w:spacing w:before="280" w:after="280"/>
      </w:pPr>
      <w:bookmarkStart w:id="38" w:name="_Toc237984394"/>
      <w:bookmarkStart w:id="39" w:name="ClimateTOC_008"/>
      <w:bookmarkStart w:id="40" w:name="_Toc236310506"/>
      <w:bookmarkStart w:id="41" w:name="_Toc238204662"/>
      <w:r>
        <w:t>Funding Source Requirements</w:t>
      </w:r>
      <w:bookmarkEnd w:id="38"/>
      <w:bookmarkEnd w:id="39"/>
      <w:bookmarkEnd w:id="40"/>
      <w:bookmarkEnd w:id="41"/>
    </w:p>
    <w:p w14:paraId="77B28EA7" w14:textId="77777777" w:rsidR="00E05246" w:rsidRDefault="00E05246" w:rsidP="00E05246">
      <w:r>
        <w:t>We assume the F</w:t>
      </w:r>
      <w:r w:rsidRPr="00EE160D">
        <w:t xml:space="preserve">unding Source </w:t>
      </w:r>
      <w:r>
        <w:t>aims to</w:t>
      </w:r>
      <w:r w:rsidRPr="00EE160D">
        <w:t xml:space="preserve"> maximize climate benefit per dollar</w:t>
      </w:r>
      <w:r>
        <w:t xml:space="preserve"> spent, as opposed to maximize financial return on an investment. This is sometimes referred to as “climate money”, and it differs from the traditional investment portfolio. Sources of climate money include high-net-worth individuals, foundations, and governments. </w:t>
      </w:r>
    </w:p>
    <w:p w14:paraId="0C7440B0" w14:textId="1FBC6194" w:rsidR="000A7470" w:rsidRDefault="00000000">
      <w:r>
        <w:t xml:space="preserve">The portfolio-wide Funding Source requirements </w:t>
      </w:r>
      <w:r w:rsidR="00EF37DF">
        <w:t xml:space="preserve">are specified in the </w:t>
      </w:r>
      <w:hyperlink r:id="rId19" w:anchor="framework" w:history="1">
        <w:r w:rsidR="00EF37DF">
          <w:rPr>
            <w:rStyle w:val="bhyperlinkChar"/>
          </w:rPr>
          <w:t>Moonshot</w:t>
        </w:r>
        <w:r w:rsidR="00EF37DF" w:rsidRPr="00D14B0C">
          <w:rPr>
            <w:rStyle w:val="bhyperlinkChar"/>
          </w:rPr>
          <w:t xml:space="preserve"> Common Framework</w:t>
        </w:r>
      </w:hyperlink>
      <w:r>
        <w:t>. The additions below address the program's controlled-release boundary, preregistration, detectability, independent release approval, measurement traceability, open science, shared assets, replication, and final decision evidence.</w:t>
      </w:r>
    </w:p>
    <w:p w14:paraId="496DB4A6" w14:textId="77777777" w:rsidR="000A7470" w:rsidRDefault="00000000">
      <w:pPr>
        <w:pStyle w:val="cSubject"/>
      </w:pPr>
      <w:r>
        <w:t>Program-specific additions</w:t>
      </w:r>
    </w:p>
    <w:p w14:paraId="10B828A3" w14:textId="77777777" w:rsidR="000A7470" w:rsidRDefault="00000000">
      <w:pPr>
        <w:pStyle w:val="blist-bullets"/>
      </w:pPr>
      <w:r>
        <w:t>Keep the five-year appropriation limited to research, bounded field experiments, observations, modeling, environmental monitoring, reusable scientific capability, and decision support. It does not authorize a regional or global MCB intervention or a scale increase that has not passed the applicable scientific and governance gates.</w:t>
      </w:r>
    </w:p>
    <w:p w14:paraId="03FBB103" w14:textId="77777777" w:rsidR="000A7470" w:rsidRDefault="00000000">
      <w:pPr>
        <w:pStyle w:val="blist-bullets"/>
      </w:pPr>
      <w:r>
        <w:t>Require each deliberate release campaign to preregister its scientific question, primary endpoint, expected and minimum detectable effect, independent experimental unit, treated/control design, exclusion rules, sample-size logic, source settings, environmental limits, stop criteria, and analysis plan before mobilization.</w:t>
      </w:r>
    </w:p>
    <w:p w14:paraId="69C2719D" w14:textId="77777777" w:rsidR="000A7470" w:rsidRDefault="00000000">
      <w:pPr>
        <w:pStyle w:val="blist-bullets"/>
      </w:pPr>
      <w:r>
        <w:t>Require the Independent Release and Safety Board to approve, condition, delay, or prohibit every outdoor release. Environmental, maritime/aviation, community, Indigenous, jurisdictional, and transboundary requirements remain prerequisites where applicable and may not be waived by the experiment team.</w:t>
      </w:r>
    </w:p>
    <w:p w14:paraId="638D96B5" w14:textId="77777777" w:rsidR="000A7470" w:rsidRDefault="00000000">
      <w:pPr>
        <w:pStyle w:val="blist-bullets"/>
      </w:pPr>
      <w:r>
        <w:t>Require a reproducible evidence chain from known source output through plume transport and cloud-base delivery to droplet activation, cloud microphysics/dynamics, and reflected shortwave radiation, with traceable calibration and uncertainty at each link. A bright image or increased aerosol concentration alone is not sufficient evidence of successful cloud brightening.</w:t>
      </w:r>
    </w:p>
    <w:p w14:paraId="49DB9590" w14:textId="77777777" w:rsidR="000A7470" w:rsidRDefault="00000000">
      <w:pPr>
        <w:pStyle w:val="blist-bullets"/>
      </w:pPr>
      <w:r>
        <w:t>Require rapid public release of data, code, generator settings, calibration records, release and control logs, vessel/aircraft tracks, environmental measurements, exclusions, model predictions, null results, and failure reports under the common open-source/data policy, subject only to documented narrow exceptions.</w:t>
      </w:r>
    </w:p>
    <w:p w14:paraId="0805A02A" w14:textId="77777777" w:rsidR="000A7470" w:rsidRDefault="00000000">
      <w:pPr>
        <w:pStyle w:val="blist-bullets"/>
      </w:pPr>
      <w:r>
        <w:t>Apply the common shared-asset rule to the companion MCB Equipment Development Initiative: purchase each reusable physical or digital asset once; the other initiative pays only incremental adaptation, operating time, consumables, or intentionally independent capacity.</w:t>
      </w:r>
    </w:p>
    <w:p w14:paraId="5ADE1F7B" w14:textId="77777777" w:rsidR="000A7470" w:rsidRDefault="00000000">
      <w:pPr>
        <w:pStyle w:val="blist-bullets"/>
      </w:pPr>
      <w:r>
        <w:t>Use the independent-replication and rapid-response reserve only for scientifically justified repetitions, unexpected natural analogues, instrument/platform failures, or other approved needs. Reserve use must not become an automatic source of extra release scale or contractor revenue.</w:t>
      </w:r>
    </w:p>
    <w:p w14:paraId="166AA2AE" w14:textId="77777777" w:rsidR="000A7470" w:rsidRDefault="00000000">
      <w:pPr>
        <w:pStyle w:val="Heading2"/>
      </w:pPr>
      <w:r>
        <w:t>Program-specific success metric</w:t>
      </w:r>
    </w:p>
    <w:p w14:paraId="13EF9D65" w14:textId="77777777" w:rsidR="000A7470" w:rsidRDefault="00000000">
      <w:r>
        <w:t>Measure success by reliable public knowledge: whether useful sea-salt particles can be produced and delivered to cloud base, whether defined cloud regimes show repeatable causal microphysical and radiative responses, whether models reproduce withheld observations, what environmental signals require attention, and where uncertainty remains too large to proceed. A scientifically credible negative result is a successful program outcome.</w:t>
      </w:r>
    </w:p>
    <w:p w14:paraId="6A75D74C" w14:textId="77777777" w:rsidR="003323F8" w:rsidRDefault="00000000">
      <w:pPr>
        <w:pStyle w:val="Heading1"/>
        <w:spacing w:before="280" w:after="280"/>
      </w:pPr>
      <w:bookmarkStart w:id="42" w:name="_Toc237984395"/>
      <w:bookmarkStart w:id="43" w:name="ClimateTOC_009"/>
      <w:bookmarkStart w:id="44" w:name="_Toc236310507"/>
      <w:bookmarkStart w:id="45" w:name="_Toc238204663"/>
      <w:r>
        <w:t>Top MCB Science Papers</w:t>
      </w:r>
      <w:bookmarkEnd w:id="42"/>
      <w:bookmarkEnd w:id="43"/>
      <w:bookmarkEnd w:id="44"/>
      <w:bookmarkEnd w:id="45"/>
    </w:p>
    <w:p w14:paraId="45D173DF" w14:textId="77777777" w:rsidR="003323F8" w:rsidRDefault="00000000">
      <w:pPr>
        <w:pStyle w:val="cUserPromptText"/>
        <w:spacing w:before="280" w:after="280"/>
      </w:pPr>
      <w:r w:rsidRPr="008B24AE">
        <w:rPr>
          <w:rStyle w:val="UserPromptHeadingChar"/>
        </w:rPr>
        <w:t>Prompt to AI</w:t>
      </w:r>
      <w:r>
        <w:t>: Summarize the top papers most relevant to a proposed $1B Marine Cloud Brightening experiment initiative.</w:t>
      </w:r>
    </w:p>
    <w:p w14:paraId="0F57161F" w14:textId="77777777" w:rsidR="003323F8" w:rsidRDefault="00000000">
      <w:pPr>
        <w:pStyle w:val="cSubject"/>
        <w:spacing w:before="280" w:after="280"/>
      </w:pPr>
      <w:r>
        <w:t>Response From AI:</w:t>
      </w:r>
    </w:p>
    <w:p w14:paraId="1AF84A27" w14:textId="77777777" w:rsidR="003323F8" w:rsidRDefault="00000000">
      <w:pPr>
        <w:spacing w:before="280" w:after="80"/>
      </w:pPr>
      <w:r>
        <w:t>The list emphasizes foundational aerosol–cloud physics, MCB source and particle-size requirements, cloud and climate modeling, natural analogues, field-research design, risks and the first published outdoor trial. It is not a citation-count ranking.</w:t>
      </w:r>
    </w:p>
    <w:p w14:paraId="4241780F" w14:textId="77777777" w:rsidR="003323F8" w:rsidRDefault="00000000">
      <w:pPr>
        <w:pStyle w:val="Heading2"/>
        <w:spacing w:before="280"/>
      </w:pPr>
      <w:r>
        <w:t>Foundations and Core Aerosol–Cloud Physics</w:t>
      </w:r>
    </w:p>
    <w:p w14:paraId="64A7B2A3" w14:textId="77777777" w:rsidR="003323F8" w:rsidRDefault="00000000">
      <w:pPr>
        <w:pStyle w:val="cPaperTitle"/>
        <w:spacing w:before="280" w:after="280"/>
      </w:pPr>
      <w:r>
        <w:t>Twomey, 1977 — “The Influence of Pollution on the Shortwave Albedo of Clouds”</w:t>
      </w:r>
    </w:p>
    <w:p w14:paraId="107CF33B" w14:textId="77777777" w:rsidR="003323F8" w:rsidRDefault="00000000">
      <w:pPr>
        <w:spacing w:before="280" w:after="80"/>
        <w:ind w:left="360"/>
      </w:pPr>
      <w:r>
        <w:t>Established the core microphysical relationship behind cloud brightening: for a fixed liquid-water amount, more cloud droplets generally produce a larger total scattering area and a brighter cloud. MCB experiments must test this response in real marine clouds while accounting for cloud dynamics and precipitation.</w:t>
      </w:r>
    </w:p>
    <w:p w14:paraId="248BD402" w14:textId="77777777" w:rsidR="003323F8" w:rsidRDefault="003323F8">
      <w:pPr>
        <w:pStyle w:val="bhyperlink"/>
        <w:spacing w:after="80"/>
        <w:ind w:left="360"/>
      </w:pPr>
      <w:hyperlink r:id="rId20">
        <w:r>
          <w:rPr>
            <w:sz w:val="22"/>
            <w:szCs w:val="20"/>
          </w:rPr>
          <w:t>https://journals.ametsoc.org/view/journals/atsc/34/7/1520-0469_1977_034_1149_tiopot_2_0_co_2.xml</w:t>
        </w:r>
      </w:hyperlink>
    </w:p>
    <w:p w14:paraId="235125B3" w14:textId="77777777" w:rsidR="003323F8" w:rsidRDefault="00000000">
      <w:pPr>
        <w:pStyle w:val="cPaperTitle"/>
        <w:spacing w:before="280" w:after="280"/>
      </w:pPr>
      <w:r>
        <w:t>Albrecht, 1989 — “Aerosols, Cloud Microphysics, and Fractional Cloudiness”</w:t>
      </w:r>
    </w:p>
    <w:p w14:paraId="7B1FF6C0" w14:textId="77777777" w:rsidR="003323F8" w:rsidRDefault="00000000">
      <w:pPr>
        <w:spacing w:before="280" w:after="80"/>
        <w:ind w:left="360"/>
      </w:pPr>
      <w:r>
        <w:t>Proposed that additional aerosol can suppress drizzle and alter cloud lifetime and cloud amount. This second indirect effect may amplify or oppose the immediate Twomey brightening, making measurements of precipitation, entrainment and cloud fraction essential.</w:t>
      </w:r>
    </w:p>
    <w:p w14:paraId="144A22D5" w14:textId="77777777" w:rsidR="003323F8" w:rsidRDefault="003323F8">
      <w:pPr>
        <w:pStyle w:val="bhyperlink"/>
        <w:spacing w:after="80"/>
        <w:ind w:left="360"/>
      </w:pPr>
      <w:hyperlink r:id="rId21">
        <w:r>
          <w:t>https://doi.org/10.1126/science.245.4923.1227</w:t>
        </w:r>
      </w:hyperlink>
    </w:p>
    <w:p w14:paraId="7B26FB40" w14:textId="77777777" w:rsidR="003323F8" w:rsidRDefault="00000000">
      <w:pPr>
        <w:pStyle w:val="cPaperTitle"/>
        <w:spacing w:before="280" w:after="280"/>
      </w:pPr>
      <w:r>
        <w:t>Latham, 1990 — “Control of Global Warming?”</w:t>
      </w:r>
    </w:p>
    <w:p w14:paraId="2181B718" w14:textId="77777777" w:rsidR="003323F8" w:rsidRDefault="00000000">
      <w:pPr>
        <w:spacing w:before="280" w:after="80"/>
        <w:ind w:left="360"/>
      </w:pPr>
      <w:r>
        <w:t>Introduced the modern proposal to counter greenhouse warming by increasing the reflectivity of marine clouds using sea-salt particles. The paper is conceptually foundational but does not resolve whether suitable particles can be delivered or whether regional climate consequences are acceptable.</w:t>
      </w:r>
    </w:p>
    <w:p w14:paraId="0859DC7A" w14:textId="77777777" w:rsidR="003323F8" w:rsidRDefault="003323F8">
      <w:pPr>
        <w:pStyle w:val="bhyperlink"/>
        <w:spacing w:after="80"/>
        <w:ind w:left="360"/>
      </w:pPr>
      <w:hyperlink r:id="rId22">
        <w:r>
          <w:t>https://doi.org/10.1038/347339b0</w:t>
        </w:r>
      </w:hyperlink>
    </w:p>
    <w:p w14:paraId="7A6BF61B" w14:textId="77777777" w:rsidR="003323F8" w:rsidRDefault="00000000">
      <w:pPr>
        <w:pStyle w:val="cPaperTitle"/>
        <w:spacing w:before="280" w:after="280"/>
      </w:pPr>
      <w:r>
        <w:t>Latham, 2002 — “Amelioration of Global Warming by Controlled Enhancement of the Albedo and Longevity of Low-Level Maritime Clouds”</w:t>
      </w:r>
    </w:p>
    <w:p w14:paraId="1ACD5615" w14:textId="77777777" w:rsidR="003323F8" w:rsidRDefault="00000000">
      <w:pPr>
        <w:spacing w:before="280" w:after="80"/>
        <w:ind w:left="360"/>
      </w:pPr>
      <w:r>
        <w:t>Developed the MCB concept and discussed targeted low marine clouds, cloud droplet number and possible climate effect. It frames the two central experimental questions: can the cloud be perturbed predictably, and does the perturbation persist long enough to matter?</w:t>
      </w:r>
    </w:p>
    <w:p w14:paraId="526C293D" w14:textId="77777777" w:rsidR="003323F8" w:rsidRDefault="003323F8">
      <w:pPr>
        <w:pStyle w:val="bhyperlink"/>
        <w:spacing w:after="80"/>
        <w:ind w:left="360"/>
      </w:pPr>
      <w:hyperlink r:id="rId23">
        <w:r>
          <w:t>https://doi.org/10.1006/asle.2002.0048</w:t>
        </w:r>
      </w:hyperlink>
    </w:p>
    <w:p w14:paraId="1A76D930" w14:textId="77777777" w:rsidR="003323F8" w:rsidRDefault="00000000">
      <w:pPr>
        <w:pStyle w:val="Heading2"/>
        <w:spacing w:before="280"/>
      </w:pPr>
      <w:r>
        <w:t>Source Engineering, Aerosol Microphysics, and Particle-Size Control</w:t>
      </w:r>
    </w:p>
    <w:p w14:paraId="5C76B99D" w14:textId="77777777" w:rsidR="003323F8" w:rsidRDefault="00000000">
      <w:pPr>
        <w:pStyle w:val="cPaperTitle"/>
        <w:spacing w:before="280" w:after="280"/>
      </w:pPr>
      <w:r>
        <w:t>Bower, 2006 — computational assessment of marine stratocumulus albedo enhancement</w:t>
      </w:r>
    </w:p>
    <w:p w14:paraId="51BB9832" w14:textId="77777777" w:rsidR="003323F8" w:rsidRDefault="00000000">
      <w:pPr>
        <w:spacing w:before="280" w:after="80"/>
        <w:ind w:left="360"/>
      </w:pPr>
      <w:r>
        <w:t>Used detailed cloud modeling to examine how added particles might alter stratocumulus cloud properties. It helped move the concept from a simple droplet-number argument toward process-level simulations, and it highlights the importance of cloud regime and background aerosol.</w:t>
      </w:r>
    </w:p>
    <w:p w14:paraId="24CAA00A" w14:textId="77777777" w:rsidR="003323F8" w:rsidRDefault="003323F8">
      <w:pPr>
        <w:pStyle w:val="bhyperlink"/>
        <w:spacing w:after="80"/>
        <w:ind w:left="360"/>
      </w:pPr>
      <w:hyperlink r:id="rId24">
        <w:r>
          <w:t>https://doi.org/10.1016/j.atmosres.2005.11.013</w:t>
        </w:r>
      </w:hyperlink>
    </w:p>
    <w:p w14:paraId="0C6A6C5D" w14:textId="77777777" w:rsidR="003323F8" w:rsidRDefault="00000000">
      <w:pPr>
        <w:pStyle w:val="cPaperTitle"/>
        <w:spacing w:before="280" w:after="280"/>
      </w:pPr>
      <w:r>
        <w:t>Salter, 2008 — “Sea-Going Hardware for the Cloud Albedo Method of Reversing Global Warming”</w:t>
      </w:r>
    </w:p>
    <w:p w14:paraId="69CBDF42" w14:textId="77777777" w:rsidR="003323F8" w:rsidRDefault="00000000">
      <w:pPr>
        <w:spacing w:before="280" w:after="80"/>
        <w:ind w:left="360"/>
      </w:pPr>
      <w:r>
        <w:t>Proposed wind-powered unmanned spray vessels and engineering concepts for producing submicron seawater droplets. Its fleet and hardware estimates are highly preliminary, but the paper defines the source-engineering challenge that a modern equipment and field program must test.</w:t>
      </w:r>
    </w:p>
    <w:p w14:paraId="4D40DF03" w14:textId="77777777" w:rsidR="003323F8" w:rsidRDefault="003323F8">
      <w:pPr>
        <w:pStyle w:val="bhyperlink"/>
        <w:spacing w:after="80"/>
        <w:ind w:left="360"/>
      </w:pPr>
      <w:hyperlink r:id="rId25">
        <w:r>
          <w:t>https://doi.org/10.1098/rsta.2008.0136</w:t>
        </w:r>
      </w:hyperlink>
    </w:p>
    <w:p w14:paraId="4CB84F7B" w14:textId="77777777" w:rsidR="003323F8" w:rsidRDefault="00000000">
      <w:pPr>
        <w:pStyle w:val="cPaperTitle"/>
        <w:spacing w:before="280" w:after="280"/>
      </w:pPr>
      <w:r>
        <w:t>Korhonen, 2010 — “Enhancement of Marine Cloud Albedo via Controlled Sea Spray Injections”</w:t>
      </w:r>
    </w:p>
    <w:p w14:paraId="55CDEFE8" w14:textId="77777777" w:rsidR="003323F8" w:rsidRDefault="00000000">
      <w:pPr>
        <w:spacing w:before="280" w:after="80"/>
        <w:ind w:left="360"/>
      </w:pPr>
      <w:r>
        <w:t>Modeled the influence of emission rate, aerosol microphysics and transport. The study showed that source rate and particle evolution matter strongly and that the useful aerosol burden cannot be inferred simply from the amount of seawater sprayed.</w:t>
      </w:r>
    </w:p>
    <w:p w14:paraId="58798965" w14:textId="77777777" w:rsidR="003323F8" w:rsidRDefault="003323F8">
      <w:pPr>
        <w:pStyle w:val="bhyperlink"/>
        <w:spacing w:after="80"/>
        <w:ind w:left="360"/>
      </w:pPr>
      <w:hyperlink r:id="rId26">
        <w:r>
          <w:t>https://doi.org/10.5194/acp-10-4133-2010</w:t>
        </w:r>
      </w:hyperlink>
    </w:p>
    <w:p w14:paraId="4998DA08" w14:textId="77777777" w:rsidR="003323F8" w:rsidRDefault="00000000">
      <w:pPr>
        <w:pStyle w:val="cPaperTitle"/>
        <w:spacing w:before="280" w:after="280"/>
      </w:pPr>
      <w:r>
        <w:t>Partanen, 2012 — direct and indirect effects of sea-spray geoengineering and injected particle size</w:t>
      </w:r>
    </w:p>
    <w:p w14:paraId="07F145CB" w14:textId="77777777" w:rsidR="003323F8" w:rsidRDefault="00000000">
      <w:pPr>
        <w:spacing w:before="280" w:after="80"/>
        <w:ind w:left="360"/>
      </w:pPr>
      <w:r>
        <w:t>Separated direct scattering by injected salt aerosol from cloud-mediated effects and emphasized particle-size sensitivity. MCB experiments should therefore measure both clear-sky aerosol optical effects and cloud responses.</w:t>
      </w:r>
    </w:p>
    <w:p w14:paraId="4E0F2AE7" w14:textId="77777777" w:rsidR="003323F8" w:rsidRDefault="003323F8">
      <w:pPr>
        <w:pStyle w:val="bhyperlink"/>
        <w:spacing w:after="80"/>
        <w:ind w:left="360"/>
      </w:pPr>
      <w:hyperlink r:id="rId27">
        <w:r>
          <w:t>https://doi.org/10.1029/2011JD016428</w:t>
        </w:r>
      </w:hyperlink>
    </w:p>
    <w:p w14:paraId="36EDB590" w14:textId="77777777" w:rsidR="003323F8" w:rsidRDefault="00000000">
      <w:pPr>
        <w:pStyle w:val="cPaperTitle"/>
        <w:spacing w:before="280" w:after="280"/>
      </w:pPr>
      <w:r>
        <w:t>Alterskjær, 2013 — “The Sign of the Radiative Forcing from Marine Cloud Brightening Depends on Both Particle Size and Injection Amount”</w:t>
      </w:r>
    </w:p>
    <w:p w14:paraId="585B2064" w14:textId="77777777" w:rsidR="003323F8" w:rsidRDefault="00000000">
      <w:pPr>
        <w:spacing w:before="280" w:after="80"/>
        <w:ind w:left="360"/>
      </w:pPr>
      <w:r>
        <w:t>Showed that poorly chosen particle sizes or excessive injection can produce weak or even warming responses through complex aerosol–cloud and clear-sky effects. This makes particle-size control and dose-response experiments central.</w:t>
      </w:r>
    </w:p>
    <w:p w14:paraId="3AF67651" w14:textId="77777777" w:rsidR="003323F8" w:rsidRDefault="003323F8">
      <w:pPr>
        <w:pStyle w:val="bhyperlink"/>
        <w:spacing w:after="80"/>
        <w:ind w:left="360"/>
      </w:pPr>
      <w:hyperlink r:id="rId28">
        <w:r>
          <w:t>https://doi.org/10.1029/2012GL054286</w:t>
        </w:r>
      </w:hyperlink>
    </w:p>
    <w:p w14:paraId="1C25E109" w14:textId="77777777" w:rsidR="003323F8" w:rsidRDefault="00000000">
      <w:pPr>
        <w:pStyle w:val="cPaperTitle"/>
        <w:spacing w:before="280" w:after="280"/>
      </w:pPr>
      <w:r>
        <w:t>Stuart, 2013 — “Reduced Efficacy of Marine Cloud Brightening Geoengineering Due to In-Plume Aerosol Coagulation”</w:t>
      </w:r>
    </w:p>
    <w:p w14:paraId="7436E76A" w14:textId="77777777" w:rsidR="003323F8" w:rsidRDefault="00000000">
      <w:pPr>
        <w:spacing w:before="280" w:after="80"/>
        <w:ind w:left="360"/>
      </w:pPr>
      <w:r>
        <w:t xml:space="preserve">Showed that high particle concentrations near the source can coagulate before dilution, reducing the number of useful particles. It directly motivates </w:t>
      </w:r>
      <w:proofErr w:type="spellStart"/>
      <w:r>
        <w:t>metre</w:t>
      </w:r>
      <w:proofErr w:type="spellEnd"/>
      <w:r>
        <w:t>-to-kilometre plume experiments and multiple distributed sources rather than one extremely intense sprayer.</w:t>
      </w:r>
    </w:p>
    <w:p w14:paraId="7958C2D8" w14:textId="77777777" w:rsidR="003323F8" w:rsidRDefault="003323F8">
      <w:pPr>
        <w:pStyle w:val="bhyperlink"/>
        <w:spacing w:after="80"/>
        <w:ind w:left="360"/>
      </w:pPr>
      <w:hyperlink r:id="rId29">
        <w:r>
          <w:t>https://doi.org/10.5194/acp-13-10385-2013</w:t>
        </w:r>
      </w:hyperlink>
    </w:p>
    <w:p w14:paraId="5D37C3B1" w14:textId="77777777" w:rsidR="003323F8" w:rsidRDefault="00000000">
      <w:pPr>
        <w:pStyle w:val="cPaperTitle"/>
        <w:spacing w:before="280" w:after="280"/>
      </w:pPr>
      <w:r>
        <w:t>Connolly, 2014 — “Factors Determining the Most Efficient Spray Distribution for Marine Cloud Brightening”</w:t>
      </w:r>
    </w:p>
    <w:p w14:paraId="3F5B3471" w14:textId="77777777" w:rsidR="003323F8" w:rsidRDefault="00000000">
      <w:pPr>
        <w:spacing w:before="280" w:after="80"/>
        <w:ind w:left="360"/>
      </w:pPr>
      <w:r>
        <w:t>Analyzed how particle-size distributions influence cloud activation and energy requirements. It provides practical metrics for source development: useful particles per energy and avoidance of both undersized and oversized particles.</w:t>
      </w:r>
    </w:p>
    <w:p w14:paraId="28F7B668" w14:textId="77777777" w:rsidR="003323F8" w:rsidRDefault="003323F8">
      <w:pPr>
        <w:pStyle w:val="bhyperlink"/>
        <w:spacing w:after="80"/>
        <w:ind w:left="360"/>
      </w:pPr>
      <w:hyperlink r:id="rId30">
        <w:r>
          <w:t>https://doi.org/10.1098/rsta.2014.0056</w:t>
        </w:r>
      </w:hyperlink>
    </w:p>
    <w:p w14:paraId="421D8813" w14:textId="77777777" w:rsidR="003323F8" w:rsidRDefault="00000000">
      <w:pPr>
        <w:pStyle w:val="cPaperTitle"/>
        <w:spacing w:before="280" w:after="280"/>
      </w:pPr>
      <w:r>
        <w:t>Hoffmann, 2021 — “Cloud Microphysical Implications for Marine Cloud Brightening: The Importance of the Seeded Particle Size Distribution”</w:t>
      </w:r>
    </w:p>
    <w:p w14:paraId="01FA2802" w14:textId="77777777" w:rsidR="003323F8" w:rsidRDefault="00000000">
      <w:pPr>
        <w:spacing w:before="280" w:after="80"/>
        <w:ind w:left="360"/>
      </w:pPr>
      <w:r>
        <w:t>Demonstrated that a small number of coarse particles can accelerate precipitation and reduce cloud water. This is one of the most directly actionable papers for generator specifications and paired particle-size field experiments.</w:t>
      </w:r>
    </w:p>
    <w:p w14:paraId="74DD85CD" w14:textId="77777777" w:rsidR="003323F8" w:rsidRDefault="003323F8">
      <w:pPr>
        <w:pStyle w:val="bhyperlink"/>
        <w:spacing w:after="80"/>
        <w:ind w:left="360"/>
      </w:pPr>
      <w:hyperlink r:id="rId31">
        <w:r>
          <w:t>https://doi.org/10.1175/JAS-D-21-0077.1</w:t>
        </w:r>
      </w:hyperlink>
    </w:p>
    <w:p w14:paraId="716308B3" w14:textId="77777777" w:rsidR="003323F8" w:rsidRDefault="00000000">
      <w:pPr>
        <w:pStyle w:val="Heading2"/>
        <w:spacing w:before="280"/>
      </w:pPr>
      <w:r>
        <w:t>Climate Modeling, Radiative Forcing, and Regional Effects</w:t>
      </w:r>
    </w:p>
    <w:p w14:paraId="7F51BC46" w14:textId="77777777" w:rsidR="003323F8" w:rsidRDefault="00000000">
      <w:pPr>
        <w:pStyle w:val="cPaperTitle"/>
        <w:spacing w:before="280" w:after="280"/>
      </w:pPr>
      <w:r>
        <w:t>Latham, 2008 — “Global Temperature Stabilization via Controlled Albedo Enhancement of Low-Level Maritime Clouds”</w:t>
      </w:r>
    </w:p>
    <w:p w14:paraId="7DB0D65E" w14:textId="77777777" w:rsidR="003323F8" w:rsidRDefault="00000000">
      <w:pPr>
        <w:spacing w:before="280" w:after="80"/>
        <w:ind w:left="360"/>
      </w:pPr>
      <w:r>
        <w:t>Combined cloud physics and climate-model reasoning to estimate potential global cooling. It supports targeted research but also illustrates how strongly global conclusions depend on assumed cloud susceptibility and idealized aerosol delivery.</w:t>
      </w:r>
    </w:p>
    <w:p w14:paraId="041CC79E" w14:textId="77777777" w:rsidR="003323F8" w:rsidRDefault="003323F8">
      <w:pPr>
        <w:pStyle w:val="bhyperlink"/>
        <w:spacing w:after="80"/>
        <w:ind w:left="360"/>
      </w:pPr>
      <w:hyperlink r:id="rId32">
        <w:r>
          <w:t>https://doi.org/10.1098/rsta.2008.0137</w:t>
        </w:r>
      </w:hyperlink>
    </w:p>
    <w:p w14:paraId="5F22A86D" w14:textId="77777777" w:rsidR="003323F8" w:rsidRDefault="00000000">
      <w:pPr>
        <w:pStyle w:val="cPaperTitle"/>
        <w:spacing w:before="280" w:after="280"/>
      </w:pPr>
      <w:r>
        <w:t>Rasch, 2009 — “Geoengineering by Cloud Seeding: Influence on Sea Ice and Climate System”</w:t>
      </w:r>
    </w:p>
    <w:p w14:paraId="4FA447FF" w14:textId="77777777" w:rsidR="003323F8" w:rsidRDefault="00000000">
      <w:pPr>
        <w:spacing w:before="280" w:after="80"/>
        <w:ind w:left="360"/>
      </w:pPr>
      <w:r>
        <w:t>Examined climate-system responses to marine cloud brightening, including high-latitude effects. It showed that localized radiative forcing can generate broad circulation and hydrological responses, motivating regional and global modeling alongside field experiments.</w:t>
      </w:r>
    </w:p>
    <w:p w14:paraId="6C6AD8C7" w14:textId="77777777" w:rsidR="003323F8" w:rsidRDefault="003323F8">
      <w:pPr>
        <w:pStyle w:val="bhyperlink"/>
        <w:spacing w:after="80"/>
        <w:ind w:left="360"/>
      </w:pPr>
      <w:hyperlink r:id="rId33">
        <w:r>
          <w:t>https://doi.org/10.1088/1748-9326/4/4/045112</w:t>
        </w:r>
      </w:hyperlink>
    </w:p>
    <w:p w14:paraId="5A0B2DA6" w14:textId="77777777" w:rsidR="003323F8" w:rsidRDefault="00000000">
      <w:pPr>
        <w:pStyle w:val="cPaperTitle"/>
        <w:spacing w:before="280" w:after="280"/>
      </w:pPr>
      <w:r>
        <w:t>Jones, 2009 — “Climate Impacts of Geoengineering Marine Stratocumulus Clouds”</w:t>
      </w:r>
    </w:p>
    <w:p w14:paraId="79E30DBF" w14:textId="77777777" w:rsidR="003323F8" w:rsidRDefault="00000000">
      <w:pPr>
        <w:spacing w:before="280" w:after="80"/>
        <w:ind w:left="360"/>
      </w:pPr>
      <w:r>
        <w:t>Demonstrated that brightening selected stratocumulus regions can cool global mean temperature but produce nonuniform regional temperature and precipitation changes. It is a key warning against treating global-average cooling as the sole performance metric.</w:t>
      </w:r>
    </w:p>
    <w:p w14:paraId="16934D6D" w14:textId="77777777" w:rsidR="003323F8" w:rsidRDefault="003323F8">
      <w:pPr>
        <w:pStyle w:val="bhyperlink"/>
        <w:spacing w:after="80"/>
        <w:ind w:left="360"/>
      </w:pPr>
      <w:hyperlink r:id="rId34">
        <w:r>
          <w:t>https://doi.org/10.1029/2008JD011450</w:t>
        </w:r>
      </w:hyperlink>
    </w:p>
    <w:p w14:paraId="2C0E1DF3" w14:textId="77777777" w:rsidR="003323F8" w:rsidRDefault="00000000">
      <w:pPr>
        <w:pStyle w:val="cPaperTitle"/>
        <w:spacing w:before="280" w:after="280"/>
      </w:pPr>
      <w:r>
        <w:t>Hill, 2012 — “Nonlinear Climate Response to Regional Brightening of Tropical Marine Stratocumulus”</w:t>
      </w:r>
    </w:p>
    <w:p w14:paraId="349FB477" w14:textId="77777777" w:rsidR="003323F8" w:rsidRDefault="00000000">
      <w:pPr>
        <w:spacing w:before="280" w:after="80"/>
        <w:ind w:left="360"/>
      </w:pPr>
      <w:r>
        <w:t>Found that targeted brightening can generate a La Niña-like response and important remote effects. This paper makes regional teleconnections and ENSO response a core requirement for climate-model evaluation.</w:t>
      </w:r>
    </w:p>
    <w:p w14:paraId="6DDB141E" w14:textId="77777777" w:rsidR="003323F8" w:rsidRDefault="003323F8">
      <w:pPr>
        <w:pStyle w:val="bhyperlink"/>
        <w:spacing w:after="80"/>
        <w:ind w:left="360"/>
      </w:pPr>
      <w:hyperlink r:id="rId35">
        <w:r>
          <w:t>https://doi.org/10.1029/2012GL052064</w:t>
        </w:r>
      </w:hyperlink>
    </w:p>
    <w:p w14:paraId="089FA967" w14:textId="77777777" w:rsidR="003323F8" w:rsidRDefault="00000000">
      <w:pPr>
        <w:pStyle w:val="cPaperTitle"/>
        <w:spacing w:before="280" w:after="280"/>
      </w:pPr>
      <w:r>
        <w:t>Kravitz, 2013 — “Sea Spray Geoengineering Experiments in the Geoengineering Model Intercomparison Project”</w:t>
      </w:r>
    </w:p>
    <w:p w14:paraId="70329A79" w14:textId="77777777" w:rsidR="003323F8" w:rsidRDefault="00000000">
      <w:pPr>
        <w:spacing w:before="280" w:after="80"/>
        <w:ind w:left="360"/>
      </w:pPr>
      <w:r>
        <w:t>Established coordinated multi-model MCB experiments and documented substantial differences among models. The work supports standardized scenarios, common diagnostics and independent model comparison before any scale-up.</w:t>
      </w:r>
    </w:p>
    <w:p w14:paraId="605D0DCA" w14:textId="77777777" w:rsidR="003323F8" w:rsidRDefault="003323F8">
      <w:pPr>
        <w:pStyle w:val="bhyperlink"/>
        <w:spacing w:after="80"/>
        <w:ind w:left="360"/>
      </w:pPr>
      <w:hyperlink r:id="rId36">
        <w:r>
          <w:t>https://doi.org/10.1002/jgrd.50856</w:t>
        </w:r>
      </w:hyperlink>
    </w:p>
    <w:p w14:paraId="6CE6E5B5" w14:textId="77777777" w:rsidR="003323F8" w:rsidRDefault="00000000">
      <w:pPr>
        <w:pStyle w:val="cPaperTitle"/>
        <w:spacing w:before="280" w:after="280"/>
      </w:pPr>
      <w:r>
        <w:t>Ahlm, 2017 — “Marine Cloud Brightening—as Effective without Clouds”</w:t>
      </w:r>
    </w:p>
    <w:p w14:paraId="71073D19" w14:textId="77777777" w:rsidR="003323F8" w:rsidRDefault="00000000">
      <w:pPr>
        <w:spacing w:before="280" w:after="80"/>
        <w:ind w:left="360"/>
      </w:pPr>
      <w:r>
        <w:t>Found that at high injection rates, direct scattering by sea salt can become an important part of the radiative forcing. This complicates attribution and requires experiments to distinguish marine sky brightening from cloud-mediated brightening.</w:t>
      </w:r>
    </w:p>
    <w:p w14:paraId="3DBFDB19" w14:textId="77777777" w:rsidR="003323F8" w:rsidRDefault="003323F8">
      <w:pPr>
        <w:pStyle w:val="bhyperlink"/>
        <w:spacing w:after="80"/>
        <w:ind w:left="360"/>
      </w:pPr>
      <w:hyperlink r:id="rId37">
        <w:r>
          <w:t>https://doi.org/10.5194/acp-17-13071-2017</w:t>
        </w:r>
      </w:hyperlink>
    </w:p>
    <w:p w14:paraId="04452108" w14:textId="77777777" w:rsidR="003323F8" w:rsidRDefault="00000000">
      <w:pPr>
        <w:pStyle w:val="cPaperTitle"/>
        <w:spacing w:before="280" w:after="280"/>
      </w:pPr>
      <w:r>
        <w:t>Horowitz, 2020 — “Effects of Sea Salt Aerosol Emissions for Marine Cloud Brightening on Atmospheric Chemistry”</w:t>
      </w:r>
    </w:p>
    <w:p w14:paraId="6B10E64D" w14:textId="77777777" w:rsidR="003323F8" w:rsidRDefault="00000000">
      <w:pPr>
        <w:spacing w:before="280" w:after="80"/>
        <w:ind w:left="360"/>
      </w:pPr>
      <w:r>
        <w:t>Examined broader atmospheric consequences of adding sea salt, including chemical effects. It supports measuring composition, reactive chemistry and deposition rather than assuming seawater aerosol is chemically inert.</w:t>
      </w:r>
    </w:p>
    <w:p w14:paraId="0260133C" w14:textId="77777777" w:rsidR="003323F8" w:rsidRDefault="003323F8">
      <w:pPr>
        <w:pStyle w:val="bhyperlink"/>
        <w:spacing w:after="80"/>
        <w:ind w:left="360"/>
      </w:pPr>
      <w:hyperlink r:id="rId38">
        <w:r>
          <w:t>https://doi.org/10.1029/2019GL085838</w:t>
        </w:r>
      </w:hyperlink>
    </w:p>
    <w:p w14:paraId="3ACE90A1" w14:textId="77777777" w:rsidR="003323F8" w:rsidRDefault="00000000">
      <w:pPr>
        <w:pStyle w:val="cPaperTitle"/>
        <w:spacing w:before="280" w:after="280"/>
      </w:pPr>
      <w:r>
        <w:t>Wood, 2021 — “Assessing the Potential Efficacy of Marine Cloud Brightening for Cooling Earth Using a Simple Heuristic Model”</w:t>
      </w:r>
    </w:p>
    <w:p w14:paraId="218F544C" w14:textId="77777777" w:rsidR="003323F8" w:rsidRDefault="00000000">
      <w:pPr>
        <w:spacing w:before="280" w:after="80"/>
        <w:ind w:left="360"/>
      </w:pPr>
      <w:r>
        <w:t>Linked source particle number, plume lifetime, cloud updraft, background aerosol and sprayer count to potential forcing. It offers a transparent bridge from field-scale measurements to system-level estimates and identifies the parameters experiments must constrain.</w:t>
      </w:r>
    </w:p>
    <w:p w14:paraId="12A1AFFE" w14:textId="77777777" w:rsidR="003323F8" w:rsidRDefault="003323F8">
      <w:pPr>
        <w:pStyle w:val="bhyperlink"/>
        <w:spacing w:after="80"/>
        <w:ind w:left="360"/>
      </w:pPr>
      <w:hyperlink r:id="rId39">
        <w:r>
          <w:t>https://doi.org/10.5194/acp-21-14507-2021</w:t>
        </w:r>
      </w:hyperlink>
    </w:p>
    <w:p w14:paraId="5FE96895" w14:textId="77777777" w:rsidR="003323F8" w:rsidRDefault="00000000">
      <w:pPr>
        <w:pStyle w:val="Heading2"/>
        <w:spacing w:before="280"/>
      </w:pPr>
      <w:r>
        <w:t>Natural Experiments, Field Feasibility, and Research Governance</w:t>
      </w:r>
    </w:p>
    <w:p w14:paraId="185DF6A5" w14:textId="77777777" w:rsidR="003323F8" w:rsidRDefault="00000000">
      <w:pPr>
        <w:pStyle w:val="cPaperTitle"/>
        <w:spacing w:before="280" w:after="280"/>
      </w:pPr>
      <w:r>
        <w:t>Glassmeier, 2021 — “Aerosol-Cloud-Climate Cooling Overestimated by Ship-Track Data”</w:t>
      </w:r>
    </w:p>
    <w:p w14:paraId="67CBDB99" w14:textId="77777777" w:rsidR="003323F8" w:rsidRDefault="00000000">
      <w:pPr>
        <w:spacing w:before="280" w:after="80"/>
        <w:ind w:left="360"/>
      </w:pPr>
      <w:r>
        <w:t>Used ship tracks to show that cloud adjustments can offset some initial brightening and that visible tracks can bias estimates of persistent climate forcing. Natural analogues are valuable, but field programs must measure the full cloud life cycle.</w:t>
      </w:r>
    </w:p>
    <w:p w14:paraId="12B47D9D" w14:textId="77777777" w:rsidR="003323F8" w:rsidRDefault="003323F8">
      <w:pPr>
        <w:pStyle w:val="bhyperlink"/>
        <w:spacing w:after="80"/>
        <w:ind w:left="360"/>
      </w:pPr>
      <w:hyperlink r:id="rId40">
        <w:r>
          <w:t>https://doi.org/10.1126/science.abd3980</w:t>
        </w:r>
      </w:hyperlink>
    </w:p>
    <w:p w14:paraId="31439B45" w14:textId="77777777" w:rsidR="003323F8" w:rsidRDefault="00000000">
      <w:pPr>
        <w:pStyle w:val="cPaperTitle"/>
        <w:spacing w:before="280" w:after="280"/>
      </w:pPr>
      <w:r>
        <w:t>Diamond, 2022 — “To Assess Marine Cloud Brightening’s Technical Feasibility, We Need to Know What to Study—and When to Stop”</w:t>
      </w:r>
    </w:p>
    <w:p w14:paraId="09A8787E" w14:textId="77777777" w:rsidR="003323F8" w:rsidRDefault="00000000">
      <w:pPr>
        <w:spacing w:before="280" w:after="80"/>
        <w:ind w:left="360"/>
      </w:pPr>
      <w:r>
        <w:t>Proposed a staged research logic and explicit stopping criteria. The paper is especially relevant to funding governance because it argues that research should be organized around falsifiable questions rather than an assumption of eventual deployment.</w:t>
      </w:r>
    </w:p>
    <w:p w14:paraId="1F2325C2" w14:textId="77777777" w:rsidR="003323F8" w:rsidRDefault="003323F8">
      <w:pPr>
        <w:pStyle w:val="bhyperlink"/>
        <w:spacing w:after="80"/>
        <w:ind w:left="360"/>
      </w:pPr>
      <w:hyperlink r:id="rId41">
        <w:r>
          <w:t>https://doi.org/10.1073/pnas.2118379119</w:t>
        </w:r>
      </w:hyperlink>
    </w:p>
    <w:p w14:paraId="226C4EDB" w14:textId="77777777" w:rsidR="003323F8" w:rsidRDefault="00000000">
      <w:pPr>
        <w:pStyle w:val="cPaperTitle"/>
        <w:spacing w:before="280" w:after="280"/>
      </w:pPr>
      <w:r>
        <w:t>Yuan, 2022 — “Global Reduction in Ship Tracks from Sulfur Regulations for Shipping Fuel”</w:t>
      </w:r>
    </w:p>
    <w:p w14:paraId="3019F70F" w14:textId="77777777" w:rsidR="003323F8" w:rsidRDefault="00000000">
      <w:pPr>
        <w:spacing w:before="280" w:after="80"/>
        <w:ind w:left="360"/>
      </w:pPr>
      <w:r>
        <w:t>Used satellite observations and shipping changes to create a large natural experiment in aerosol–cloud interactions. The work demonstrates the value of global ship-track detection, emissions data and policy-driven perturbations for constraining cloud response.</w:t>
      </w:r>
    </w:p>
    <w:p w14:paraId="6F27C992" w14:textId="77777777" w:rsidR="003323F8" w:rsidRDefault="003323F8">
      <w:pPr>
        <w:pStyle w:val="bhyperlink"/>
        <w:spacing w:after="80"/>
        <w:ind w:left="360"/>
      </w:pPr>
      <w:hyperlink r:id="rId42">
        <w:r>
          <w:t>https://doi.org/10.1126/sciadv.abn7988</w:t>
        </w:r>
      </w:hyperlink>
    </w:p>
    <w:p w14:paraId="646CDF0C" w14:textId="77777777" w:rsidR="003323F8" w:rsidRDefault="00000000">
      <w:pPr>
        <w:pStyle w:val="cPaperTitle"/>
        <w:spacing w:before="280" w:after="280"/>
      </w:pPr>
      <w:r>
        <w:t>Feingold, 2024 — “Physical Science Research Needed to Evaluate the Viability and Risks of Marine Cloud Brightening”</w:t>
      </w:r>
    </w:p>
    <w:p w14:paraId="3FB5B6B0" w14:textId="77777777" w:rsidR="003323F8" w:rsidRDefault="00000000">
      <w:pPr>
        <w:spacing w:before="280" w:after="80"/>
        <w:ind w:left="360"/>
      </w:pPr>
      <w:r>
        <w:t>Provides the most comprehensive recent research agenda, calling for coordinated laboratory, field, monitoring and multiscale modeling work. It emphasizes scale-up, regional distributions of benefits and risks, and the need to connect process observations to climate response.</w:t>
      </w:r>
    </w:p>
    <w:p w14:paraId="392E43EC" w14:textId="77777777" w:rsidR="003323F8" w:rsidRDefault="003323F8">
      <w:pPr>
        <w:pStyle w:val="bhyperlink"/>
        <w:spacing w:after="80"/>
        <w:ind w:left="360"/>
      </w:pPr>
      <w:hyperlink r:id="rId43">
        <w:r>
          <w:t>https://doi.org/10.1126/sciadv.adi8594</w:t>
        </w:r>
      </w:hyperlink>
    </w:p>
    <w:p w14:paraId="3EF0813D" w14:textId="77777777" w:rsidR="003323F8" w:rsidRDefault="00000000">
      <w:pPr>
        <w:pStyle w:val="cPaperTitle"/>
        <w:spacing w:before="280" w:after="280"/>
      </w:pPr>
      <w:r>
        <w:t>Hernandez-Jaramillo, 2025 — “First Generation Outdoor Marine Cloud Brightening Trial Increases Aerosol Concentration at Cloud Base Height”</w:t>
      </w:r>
    </w:p>
    <w:p w14:paraId="2B9AC619" w14:textId="77777777" w:rsidR="003323F8" w:rsidRDefault="00000000">
      <w:pPr>
        <w:spacing w:before="280" w:after="80"/>
        <w:ind w:left="360"/>
      </w:pPr>
      <w:r>
        <w:t>Reports outdoor generation and transport of sea-salt aerosol in the Great Barrier Reef program, including evidence of increased aerosol concentration at cloud-base height. It is a major proof-of-delivery result, while not by itself demonstrating repeatable cloud brightening or regional cooling.</w:t>
      </w:r>
    </w:p>
    <w:p w14:paraId="6BAE64C0" w14:textId="77777777" w:rsidR="003323F8" w:rsidRDefault="003323F8">
      <w:pPr>
        <w:pStyle w:val="bhyperlink"/>
        <w:spacing w:after="80"/>
        <w:ind w:left="360"/>
      </w:pPr>
      <w:hyperlink r:id="rId44">
        <w:r>
          <w:t>https://doi.org/10.1088/1748-9326/adccd7</w:t>
        </w:r>
      </w:hyperlink>
    </w:p>
    <w:p w14:paraId="1C5C1862" w14:textId="77777777" w:rsidR="003323F8" w:rsidRDefault="00000000" w:rsidP="00260095">
      <w:pPr>
        <w:pStyle w:val="Heading2"/>
        <w:pageBreakBefore/>
        <w:spacing w:before="100" w:after="100"/>
      </w:pPr>
      <w:r>
        <w:t>Most relevant to the proposed $1 billion program</w:t>
      </w:r>
    </w:p>
    <w:p w14:paraId="14201A2E" w14:textId="77777777" w:rsidR="003323F8" w:rsidRPr="00943DFE" w:rsidRDefault="00000000" w:rsidP="00943DFE">
      <w:pPr>
        <w:pStyle w:val="blist-bullets"/>
      </w:pPr>
      <w:r w:rsidRPr="00943DFE">
        <w:t>Feingold (2024) for the integrated research agenda.</w:t>
      </w:r>
    </w:p>
    <w:p w14:paraId="2E99217E" w14:textId="77777777" w:rsidR="003323F8" w:rsidRPr="00943DFE" w:rsidRDefault="00000000" w:rsidP="00943DFE">
      <w:pPr>
        <w:pStyle w:val="blist-bullets"/>
      </w:pPr>
      <w:r w:rsidRPr="00943DFE">
        <w:t>Diamond (2022) for staged feasibility and stopping criteria.</w:t>
      </w:r>
    </w:p>
    <w:p w14:paraId="43A69CE4" w14:textId="77777777" w:rsidR="003323F8" w:rsidRPr="00943DFE" w:rsidRDefault="00000000" w:rsidP="00943DFE">
      <w:pPr>
        <w:pStyle w:val="blist-bullets"/>
      </w:pPr>
      <w:r w:rsidRPr="00943DFE">
        <w:t>Hoffmann and Feingold (2021), Alterskjær and Kristjánsson (2013), Connolly (2014) and Stuart (2013) for particle-size and source requirements.</w:t>
      </w:r>
    </w:p>
    <w:p w14:paraId="69DDA08E" w14:textId="77777777" w:rsidR="003323F8" w:rsidRPr="00943DFE" w:rsidRDefault="00000000" w:rsidP="00943DFE">
      <w:pPr>
        <w:pStyle w:val="blist-bullets"/>
      </w:pPr>
      <w:r w:rsidRPr="00943DFE">
        <w:t>Glassmeier (2021) and Yuan (2022) for natural experiments and ship-track interpretation.</w:t>
      </w:r>
    </w:p>
    <w:p w14:paraId="76655D98" w14:textId="77777777" w:rsidR="003323F8" w:rsidRPr="00943DFE" w:rsidRDefault="00000000" w:rsidP="00943DFE">
      <w:pPr>
        <w:pStyle w:val="blist-bullets"/>
      </w:pPr>
      <w:r w:rsidRPr="00943DFE">
        <w:t>Wood (2021) for linking field measurements to system-scale efficacy.</w:t>
      </w:r>
    </w:p>
    <w:p w14:paraId="29C493A5" w14:textId="77777777" w:rsidR="003323F8" w:rsidRPr="00943DFE" w:rsidRDefault="00000000" w:rsidP="00943DFE">
      <w:pPr>
        <w:pStyle w:val="blist-bullets"/>
      </w:pPr>
      <w:r w:rsidRPr="00943DFE">
        <w:t>Hernandez-Jaramillo (2025) for outdoor source-to-cloud-base delivery.</w:t>
      </w:r>
    </w:p>
    <w:p w14:paraId="7560EB7E" w14:textId="77777777" w:rsidR="003323F8" w:rsidRPr="00943DFE" w:rsidRDefault="00000000" w:rsidP="00943DFE">
      <w:pPr>
        <w:pStyle w:val="blist-bullets"/>
      </w:pPr>
      <w:r w:rsidRPr="00943DFE">
        <w:t>Jones (2009), Hill and Ming (2012), Kravitz (2013) and Feingold (2024) for regional and global consequences.</w:t>
      </w:r>
    </w:p>
    <w:p w14:paraId="223736B6" w14:textId="77777777" w:rsidR="003323F8" w:rsidRDefault="00000000">
      <w:pPr>
        <w:spacing w:before="280" w:after="80"/>
      </w:pPr>
      <w:r>
        <w:t>Selected current research sources include the 2024 Science Advances research agenda, the University of Washington MCB Research Program, Southern Cross University’s outdoor program, the DOE–NOAA MCB workshop report, and the National Academies’ 2021 solar-geoengineering research report.</w:t>
      </w:r>
    </w:p>
    <w:p w14:paraId="3B3ABA5C" w14:textId="77777777" w:rsidR="003323F8" w:rsidRDefault="00000000">
      <w:pPr>
        <w:pStyle w:val="Heading1"/>
        <w:spacing w:before="280" w:after="280"/>
      </w:pPr>
      <w:bookmarkStart w:id="46" w:name="_Toc237984396"/>
      <w:bookmarkStart w:id="47" w:name="ClimateTOC_010"/>
      <w:bookmarkStart w:id="48" w:name="_Toc236310508"/>
      <w:bookmarkStart w:id="49" w:name="_Toc238204664"/>
      <w:r>
        <w:t>Top Researchers</w:t>
      </w:r>
      <w:bookmarkEnd w:id="46"/>
      <w:bookmarkEnd w:id="47"/>
      <w:bookmarkEnd w:id="48"/>
      <w:bookmarkEnd w:id="49"/>
    </w:p>
    <w:p w14:paraId="570C37E2" w14:textId="77777777" w:rsidR="003323F8" w:rsidRDefault="00000000">
      <w:pPr>
        <w:pStyle w:val="cUserPromptText"/>
        <w:spacing w:before="280" w:after="280"/>
      </w:pPr>
      <w:r w:rsidRPr="00260095">
        <w:rPr>
          <w:rStyle w:val="UserPromptHeadingChar"/>
        </w:rPr>
        <w:t xml:space="preserve">Prompt to AI: </w:t>
      </w:r>
      <w:r>
        <w:t>Who are the top researchers in Marine Cloud Brightening and related fields? What are the leading organizations?</w:t>
      </w:r>
    </w:p>
    <w:p w14:paraId="0AC8B87D" w14:textId="77777777" w:rsidR="003323F8" w:rsidRDefault="00000000">
      <w:pPr>
        <w:pStyle w:val="cSubject"/>
        <w:spacing w:before="280" w:after="280"/>
      </w:pPr>
      <w:r>
        <w:t>Response From AI:</w:t>
      </w:r>
    </w:p>
    <w:p w14:paraId="515A4FA7" w14:textId="77777777" w:rsidR="003323F8" w:rsidRDefault="00000000">
      <w:pPr>
        <w:spacing w:before="280" w:after="80"/>
      </w:pPr>
      <w:r>
        <w:t>The following names are illustrative candidates based on published work and leadership in aerosol–cloud science, MCB research, field observations, modeling or engineering. Inclusion does not imply endorsement, availability or agreement with deployment.</w:t>
      </w:r>
    </w:p>
    <w:p w14:paraId="10AE9502" w14:textId="77777777" w:rsidR="003323F8" w:rsidRDefault="00000000">
      <w:pPr>
        <w:pStyle w:val="Heading2"/>
        <w:spacing w:before="280"/>
      </w:pPr>
      <w:r>
        <w:t>Leading researchers</w:t>
      </w:r>
    </w:p>
    <w:tbl>
      <w:tblPr>
        <w:tblStyle w:val="gswTableStyle"/>
        <w:tblW w:w="9792" w:type="dxa"/>
        <w:tblLayout w:type="fixed"/>
        <w:tblLook w:val="04A0" w:firstRow="1" w:lastRow="0" w:firstColumn="1" w:lastColumn="0" w:noHBand="0" w:noVBand="1"/>
      </w:tblPr>
      <w:tblGrid>
        <w:gridCol w:w="2877"/>
        <w:gridCol w:w="6915"/>
      </w:tblGrid>
      <w:tr w:rsidR="003323F8" w14:paraId="7AEFF131" w14:textId="77777777" w:rsidTr="003323F8">
        <w:trPr>
          <w:cnfStyle w:val="100000000000" w:firstRow="1" w:lastRow="0" w:firstColumn="0" w:lastColumn="0" w:oddVBand="0" w:evenVBand="0" w:oddHBand="0" w:evenHBand="0" w:firstRowFirstColumn="0" w:firstRowLastColumn="0" w:lastRowFirstColumn="0" w:lastRowLastColumn="0"/>
          <w:tblHeader/>
        </w:trPr>
        <w:tc>
          <w:tcPr>
            <w:tcW w:w="2877" w:type="dxa"/>
          </w:tcPr>
          <w:p w14:paraId="14973151" w14:textId="77777777" w:rsidR="003323F8" w:rsidRDefault="00000000">
            <w:pPr>
              <w:pStyle w:val="cTableHeader"/>
            </w:pPr>
            <w:r>
              <w:t>Researcher</w:t>
            </w:r>
          </w:p>
        </w:tc>
        <w:tc>
          <w:tcPr>
            <w:tcW w:w="6914" w:type="dxa"/>
          </w:tcPr>
          <w:p w14:paraId="074B9DC3" w14:textId="77777777" w:rsidR="003323F8" w:rsidRDefault="00000000">
            <w:pPr>
              <w:pStyle w:val="cTableHeader"/>
            </w:pPr>
            <w:r>
              <w:t>Relevance</w:t>
            </w:r>
          </w:p>
        </w:tc>
      </w:tr>
      <w:tr w:rsidR="003323F8" w14:paraId="7CE4F2E6" w14:textId="77777777" w:rsidTr="003323F8">
        <w:tc>
          <w:tcPr>
            <w:tcW w:w="2877" w:type="dxa"/>
          </w:tcPr>
          <w:p w14:paraId="6204DD35" w14:textId="77777777" w:rsidR="003323F8" w:rsidRDefault="00000000">
            <w:pPr>
              <w:pStyle w:val="cTableBody"/>
              <w:spacing w:before="0" w:after="0"/>
            </w:pPr>
            <w:r>
              <w:t>Graham Feingold</w:t>
            </w:r>
          </w:p>
        </w:tc>
        <w:tc>
          <w:tcPr>
            <w:tcW w:w="6914" w:type="dxa"/>
          </w:tcPr>
          <w:p w14:paraId="6FA7368F" w14:textId="77777777" w:rsidR="003323F8" w:rsidRDefault="00000000">
            <w:pPr>
              <w:pStyle w:val="cTableBody"/>
              <w:spacing w:before="0" w:after="0"/>
            </w:pPr>
            <w:r>
              <w:t>NOAA cloud and aerosol process science; lead author of the 2024 MCB research agenda.</w:t>
            </w:r>
          </w:p>
        </w:tc>
      </w:tr>
      <w:tr w:rsidR="003323F8" w14:paraId="15640FC2" w14:textId="77777777" w:rsidTr="003323F8">
        <w:tc>
          <w:tcPr>
            <w:tcW w:w="2877" w:type="dxa"/>
          </w:tcPr>
          <w:p w14:paraId="76475192" w14:textId="77777777" w:rsidR="003323F8" w:rsidRDefault="00000000">
            <w:pPr>
              <w:pStyle w:val="cTableBody"/>
              <w:spacing w:before="0" w:after="0"/>
            </w:pPr>
            <w:r>
              <w:t>Robert Wood</w:t>
            </w:r>
          </w:p>
        </w:tc>
        <w:tc>
          <w:tcPr>
            <w:tcW w:w="6914" w:type="dxa"/>
          </w:tcPr>
          <w:p w14:paraId="29113D29" w14:textId="77777777" w:rsidR="003323F8" w:rsidRDefault="00000000">
            <w:pPr>
              <w:pStyle w:val="cTableBody"/>
              <w:spacing w:before="0" w:after="0"/>
            </w:pPr>
            <w:r>
              <w:t>University of Washington; marine low clouds, MCB efficacy and field-program leadership.</w:t>
            </w:r>
          </w:p>
        </w:tc>
      </w:tr>
      <w:tr w:rsidR="003323F8" w14:paraId="70BCA162" w14:textId="77777777" w:rsidTr="003323F8">
        <w:tc>
          <w:tcPr>
            <w:tcW w:w="2877" w:type="dxa"/>
          </w:tcPr>
          <w:p w14:paraId="3ABD525B" w14:textId="77777777" w:rsidR="003323F8" w:rsidRDefault="00000000">
            <w:pPr>
              <w:pStyle w:val="cTableBody"/>
              <w:spacing w:before="0" w:after="0"/>
            </w:pPr>
            <w:r>
              <w:t>Sarah Doherty</w:t>
            </w:r>
          </w:p>
        </w:tc>
        <w:tc>
          <w:tcPr>
            <w:tcW w:w="6914" w:type="dxa"/>
          </w:tcPr>
          <w:p w14:paraId="0C0D2E79" w14:textId="77777777" w:rsidR="003323F8" w:rsidRDefault="00000000">
            <w:pPr>
              <w:pStyle w:val="cTableBody"/>
              <w:spacing w:before="0" w:after="0"/>
            </w:pPr>
            <w:r>
              <w:t>University of Washington; MCB program direction, governance, engagement and research integration.</w:t>
            </w:r>
          </w:p>
        </w:tc>
      </w:tr>
      <w:tr w:rsidR="003323F8" w14:paraId="3DA2580D" w14:textId="77777777" w:rsidTr="003323F8">
        <w:tc>
          <w:tcPr>
            <w:tcW w:w="2877" w:type="dxa"/>
          </w:tcPr>
          <w:p w14:paraId="0F882D1B" w14:textId="77777777" w:rsidR="003323F8" w:rsidRDefault="00000000">
            <w:pPr>
              <w:pStyle w:val="cTableBody"/>
              <w:spacing w:before="0" w:after="0"/>
            </w:pPr>
            <w:r>
              <w:t>Lynn M. Russell</w:t>
            </w:r>
          </w:p>
        </w:tc>
        <w:tc>
          <w:tcPr>
            <w:tcW w:w="6914" w:type="dxa"/>
          </w:tcPr>
          <w:p w14:paraId="76372C10" w14:textId="77777777" w:rsidR="003323F8" w:rsidRDefault="00000000">
            <w:pPr>
              <w:pStyle w:val="cTableBody"/>
              <w:spacing w:before="0" w:after="0"/>
            </w:pPr>
            <w:r>
              <w:t>Scripps Institution of Oceanography; aerosol composition, marine aerosol and field observations.</w:t>
            </w:r>
          </w:p>
        </w:tc>
      </w:tr>
      <w:tr w:rsidR="003323F8" w14:paraId="061F6E7F" w14:textId="77777777" w:rsidTr="003323F8">
        <w:tc>
          <w:tcPr>
            <w:tcW w:w="2877" w:type="dxa"/>
          </w:tcPr>
          <w:p w14:paraId="1818B67A" w14:textId="77777777" w:rsidR="003323F8" w:rsidRDefault="00000000">
            <w:pPr>
              <w:pStyle w:val="cTableBody"/>
              <w:spacing w:before="0" w:after="0"/>
            </w:pPr>
            <w:r>
              <w:t>Daniel P. Harrison</w:t>
            </w:r>
          </w:p>
        </w:tc>
        <w:tc>
          <w:tcPr>
            <w:tcW w:w="6914" w:type="dxa"/>
          </w:tcPr>
          <w:p w14:paraId="071D324D" w14:textId="77777777" w:rsidR="003323F8" w:rsidRDefault="00000000">
            <w:pPr>
              <w:pStyle w:val="cTableBody"/>
              <w:spacing w:before="0" w:after="0"/>
            </w:pPr>
            <w:r>
              <w:t>Southern Cross University; outdoor MCB experiments, spray systems and reef-focused field research.</w:t>
            </w:r>
          </w:p>
        </w:tc>
      </w:tr>
      <w:tr w:rsidR="003323F8" w14:paraId="5B6A8BFB" w14:textId="77777777" w:rsidTr="003323F8">
        <w:tc>
          <w:tcPr>
            <w:tcW w:w="2877" w:type="dxa"/>
          </w:tcPr>
          <w:p w14:paraId="7EDEAC4A" w14:textId="77777777" w:rsidR="003323F8" w:rsidRDefault="00000000">
            <w:pPr>
              <w:pStyle w:val="cTableBody"/>
              <w:spacing w:before="0" w:after="0"/>
            </w:pPr>
            <w:r>
              <w:t>Philip Rasch</w:t>
            </w:r>
          </w:p>
        </w:tc>
        <w:tc>
          <w:tcPr>
            <w:tcW w:w="6914" w:type="dxa"/>
          </w:tcPr>
          <w:p w14:paraId="3F848EE4" w14:textId="77777777" w:rsidR="003323F8" w:rsidRDefault="00000000">
            <w:pPr>
              <w:pStyle w:val="cTableBody"/>
              <w:spacing w:before="0" w:after="0"/>
            </w:pPr>
            <w:r>
              <w:t>Pacific Northwest National Laboratory; aerosol–cloud–climate modeling and geoengineering research.</w:t>
            </w:r>
          </w:p>
        </w:tc>
      </w:tr>
      <w:tr w:rsidR="003323F8" w14:paraId="609B7132" w14:textId="77777777" w:rsidTr="003323F8">
        <w:tc>
          <w:tcPr>
            <w:tcW w:w="2877" w:type="dxa"/>
          </w:tcPr>
          <w:p w14:paraId="2188FD25" w14:textId="77777777" w:rsidR="003323F8" w:rsidRDefault="00000000">
            <w:pPr>
              <w:pStyle w:val="cTableBody"/>
              <w:spacing w:before="0" w:after="0"/>
            </w:pPr>
            <w:r>
              <w:t>Armin Sorooshian</w:t>
            </w:r>
          </w:p>
        </w:tc>
        <w:tc>
          <w:tcPr>
            <w:tcW w:w="6914" w:type="dxa"/>
          </w:tcPr>
          <w:p w14:paraId="1F642991" w14:textId="77777777" w:rsidR="003323F8" w:rsidRDefault="00000000">
            <w:pPr>
              <w:pStyle w:val="cTableBody"/>
              <w:spacing w:before="0" w:after="0"/>
            </w:pPr>
            <w:r>
              <w:t>University of Arizona; marine aerosol, cloud processing, aircraft observations and field campaigns.</w:t>
            </w:r>
          </w:p>
        </w:tc>
      </w:tr>
      <w:tr w:rsidR="003323F8" w14:paraId="19DAF4AD" w14:textId="77777777" w:rsidTr="003323F8">
        <w:tc>
          <w:tcPr>
            <w:tcW w:w="2877" w:type="dxa"/>
          </w:tcPr>
          <w:p w14:paraId="46527CFB" w14:textId="77777777" w:rsidR="003323F8" w:rsidRDefault="00000000">
            <w:pPr>
              <w:pStyle w:val="cTableBody"/>
              <w:spacing w:before="0" w:after="0"/>
            </w:pPr>
            <w:r>
              <w:t>Allison McComiskey</w:t>
            </w:r>
          </w:p>
        </w:tc>
        <w:tc>
          <w:tcPr>
            <w:tcW w:w="6914" w:type="dxa"/>
          </w:tcPr>
          <w:p w14:paraId="65917FA6" w14:textId="77777777" w:rsidR="003323F8" w:rsidRDefault="00000000">
            <w:pPr>
              <w:pStyle w:val="cTableBody"/>
              <w:spacing w:before="0" w:after="0"/>
            </w:pPr>
            <w:r>
              <w:t>NSF NCAR Earth Observing Laboratory; aerosol–cloud observations and research infrastructure.</w:t>
            </w:r>
          </w:p>
        </w:tc>
      </w:tr>
      <w:tr w:rsidR="003323F8" w14:paraId="6151D511" w14:textId="77777777" w:rsidTr="003323F8">
        <w:tc>
          <w:tcPr>
            <w:tcW w:w="2877" w:type="dxa"/>
          </w:tcPr>
          <w:p w14:paraId="7FE93D80" w14:textId="77777777" w:rsidR="003323F8" w:rsidRDefault="00000000">
            <w:pPr>
              <w:pStyle w:val="cTableBody"/>
              <w:spacing w:before="0" w:after="0"/>
            </w:pPr>
            <w:r>
              <w:t>Michael S. Diamond</w:t>
            </w:r>
          </w:p>
        </w:tc>
        <w:tc>
          <w:tcPr>
            <w:tcW w:w="6914" w:type="dxa"/>
          </w:tcPr>
          <w:p w14:paraId="31E96198" w14:textId="77777777" w:rsidR="003323F8" w:rsidRDefault="00000000">
            <w:pPr>
              <w:pStyle w:val="cTableBody"/>
              <w:spacing w:before="0" w:after="0"/>
            </w:pPr>
            <w:r>
              <w:t>cloud and aerosol interactions, ship-track natural experiments and MCB feasibility framing.</w:t>
            </w:r>
          </w:p>
        </w:tc>
      </w:tr>
      <w:tr w:rsidR="003323F8" w14:paraId="60D9B18F" w14:textId="77777777" w:rsidTr="003323F8">
        <w:tc>
          <w:tcPr>
            <w:tcW w:w="2877" w:type="dxa"/>
          </w:tcPr>
          <w:p w14:paraId="1B67C6A5" w14:textId="77777777" w:rsidR="003323F8" w:rsidRDefault="00000000">
            <w:pPr>
              <w:pStyle w:val="cTableBody"/>
              <w:spacing w:before="0" w:after="0"/>
            </w:pPr>
            <w:r>
              <w:t>Franziska Glassmeier</w:t>
            </w:r>
          </w:p>
        </w:tc>
        <w:tc>
          <w:tcPr>
            <w:tcW w:w="6914" w:type="dxa"/>
          </w:tcPr>
          <w:p w14:paraId="773C56C5" w14:textId="77777777" w:rsidR="003323F8" w:rsidRDefault="00000000">
            <w:pPr>
              <w:pStyle w:val="cTableBody"/>
              <w:spacing w:before="0" w:after="0"/>
            </w:pPr>
            <w:r>
              <w:t>cloud adjustments and limits of inference from ship tracks.</w:t>
            </w:r>
          </w:p>
        </w:tc>
      </w:tr>
      <w:tr w:rsidR="003323F8" w14:paraId="514ED52D" w14:textId="77777777" w:rsidTr="003323F8">
        <w:tc>
          <w:tcPr>
            <w:tcW w:w="2877" w:type="dxa"/>
          </w:tcPr>
          <w:p w14:paraId="1A7DADAB" w14:textId="77777777" w:rsidR="003323F8" w:rsidRDefault="00000000">
            <w:pPr>
              <w:pStyle w:val="cTableBody"/>
              <w:spacing w:before="0" w:after="0"/>
            </w:pPr>
            <w:r>
              <w:t>Edward Gryspeerdt</w:t>
            </w:r>
          </w:p>
        </w:tc>
        <w:tc>
          <w:tcPr>
            <w:tcW w:w="6914" w:type="dxa"/>
          </w:tcPr>
          <w:p w14:paraId="627C301E" w14:textId="77777777" w:rsidR="003323F8" w:rsidRDefault="00000000">
            <w:pPr>
              <w:pStyle w:val="cTableBody"/>
              <w:spacing w:before="0" w:after="0"/>
            </w:pPr>
            <w:r>
              <w:t>satellite aerosol–cloud interactions and causal interpretation.</w:t>
            </w:r>
          </w:p>
        </w:tc>
      </w:tr>
      <w:tr w:rsidR="003323F8" w14:paraId="6CCDD0F3" w14:textId="77777777" w:rsidTr="003323F8">
        <w:tc>
          <w:tcPr>
            <w:tcW w:w="2877" w:type="dxa"/>
          </w:tcPr>
          <w:p w14:paraId="5854F6DD" w14:textId="77777777" w:rsidR="003323F8" w:rsidRDefault="00000000">
            <w:pPr>
              <w:pStyle w:val="cTableBody"/>
              <w:spacing w:before="0" w:after="0"/>
            </w:pPr>
            <w:r>
              <w:t>F. Hoffmann</w:t>
            </w:r>
          </w:p>
        </w:tc>
        <w:tc>
          <w:tcPr>
            <w:tcW w:w="6914" w:type="dxa"/>
          </w:tcPr>
          <w:p w14:paraId="4E8F5C1E" w14:textId="77777777" w:rsidR="003323F8" w:rsidRDefault="00000000">
            <w:pPr>
              <w:pStyle w:val="cTableBody"/>
              <w:spacing w:before="0" w:after="0"/>
            </w:pPr>
            <w:r>
              <w:t>cloud microphysics and seeded particle-size effects.</w:t>
            </w:r>
          </w:p>
        </w:tc>
      </w:tr>
      <w:tr w:rsidR="003323F8" w14:paraId="5546AC36" w14:textId="77777777" w:rsidTr="003323F8">
        <w:tc>
          <w:tcPr>
            <w:tcW w:w="2877" w:type="dxa"/>
          </w:tcPr>
          <w:p w14:paraId="2ED5E341" w14:textId="77777777" w:rsidR="003323F8" w:rsidRDefault="00000000">
            <w:pPr>
              <w:pStyle w:val="cTableBody"/>
              <w:spacing w:before="0" w:after="0"/>
            </w:pPr>
            <w:r>
              <w:t>Andrew Gettelman</w:t>
            </w:r>
          </w:p>
        </w:tc>
        <w:tc>
          <w:tcPr>
            <w:tcW w:w="6914" w:type="dxa"/>
          </w:tcPr>
          <w:p w14:paraId="5E7BFA85" w14:textId="77777777" w:rsidR="003323F8" w:rsidRDefault="00000000">
            <w:pPr>
              <w:pStyle w:val="cTableBody"/>
              <w:spacing w:before="0" w:after="0"/>
            </w:pPr>
            <w:r>
              <w:t>global cloud modeling, climate response and MCB feasibility.</w:t>
            </w:r>
          </w:p>
        </w:tc>
      </w:tr>
      <w:tr w:rsidR="003323F8" w14:paraId="32CCFF40" w14:textId="77777777" w:rsidTr="003323F8">
        <w:tc>
          <w:tcPr>
            <w:tcW w:w="2877" w:type="dxa"/>
          </w:tcPr>
          <w:p w14:paraId="1349830A" w14:textId="77777777" w:rsidR="003323F8" w:rsidRDefault="00000000">
            <w:pPr>
              <w:pStyle w:val="cTableBody"/>
              <w:spacing w:before="0" w:after="0"/>
            </w:pPr>
            <w:r>
              <w:t>Matthew Lebsock</w:t>
            </w:r>
          </w:p>
        </w:tc>
        <w:tc>
          <w:tcPr>
            <w:tcW w:w="6914" w:type="dxa"/>
          </w:tcPr>
          <w:p w14:paraId="0634CDEF" w14:textId="77777777" w:rsidR="003323F8" w:rsidRDefault="00000000">
            <w:pPr>
              <w:pStyle w:val="cTableBody"/>
              <w:spacing w:before="0" w:after="0"/>
            </w:pPr>
            <w:r>
              <w:t>satellite and aircraft observations of marine clouds and precipitation.</w:t>
            </w:r>
          </w:p>
        </w:tc>
      </w:tr>
      <w:tr w:rsidR="003323F8" w14:paraId="32497B74" w14:textId="77777777" w:rsidTr="003323F8">
        <w:tc>
          <w:tcPr>
            <w:tcW w:w="2877" w:type="dxa"/>
          </w:tcPr>
          <w:p w14:paraId="7D690147" w14:textId="77777777" w:rsidR="003323F8" w:rsidRDefault="00000000">
            <w:pPr>
              <w:pStyle w:val="cTableBody"/>
              <w:spacing w:before="0" w:after="0"/>
            </w:pPr>
            <w:r>
              <w:t>Jessica Wan</w:t>
            </w:r>
          </w:p>
        </w:tc>
        <w:tc>
          <w:tcPr>
            <w:tcW w:w="6914" w:type="dxa"/>
          </w:tcPr>
          <w:p w14:paraId="4063087D" w14:textId="77777777" w:rsidR="003323F8" w:rsidRDefault="00000000">
            <w:pPr>
              <w:pStyle w:val="cTableBody"/>
              <w:spacing w:before="0" w:after="0"/>
            </w:pPr>
            <w:r>
              <w:t>regional MCB climate impacts and time-dependent efficacy.</w:t>
            </w:r>
          </w:p>
        </w:tc>
      </w:tr>
      <w:tr w:rsidR="003323F8" w14:paraId="280F28FC" w14:textId="77777777" w:rsidTr="003323F8">
        <w:tc>
          <w:tcPr>
            <w:tcW w:w="2877" w:type="dxa"/>
          </w:tcPr>
          <w:p w14:paraId="4811D507" w14:textId="77777777" w:rsidR="003323F8" w:rsidRDefault="00000000">
            <w:pPr>
              <w:pStyle w:val="cTableBody"/>
              <w:spacing w:before="0" w:after="0"/>
            </w:pPr>
            <w:r>
              <w:t>Chih-Chieh Chen</w:t>
            </w:r>
          </w:p>
        </w:tc>
        <w:tc>
          <w:tcPr>
            <w:tcW w:w="6914" w:type="dxa"/>
          </w:tcPr>
          <w:p w14:paraId="6F2636BF" w14:textId="77777777" w:rsidR="003323F8" w:rsidRDefault="00000000">
            <w:pPr>
              <w:pStyle w:val="cTableBody"/>
              <w:spacing w:before="0" w:after="0"/>
            </w:pPr>
            <w:r>
              <w:t>NCAR climate-model experiments, deployment strategy and regional response.</w:t>
            </w:r>
          </w:p>
        </w:tc>
      </w:tr>
      <w:tr w:rsidR="003323F8" w14:paraId="53123FCA" w14:textId="77777777" w:rsidTr="003323F8">
        <w:tc>
          <w:tcPr>
            <w:tcW w:w="2877" w:type="dxa"/>
          </w:tcPr>
          <w:p w14:paraId="68A41F17" w14:textId="77777777" w:rsidR="003323F8" w:rsidRDefault="00000000">
            <w:pPr>
              <w:pStyle w:val="cTableBody"/>
              <w:spacing w:before="0" w:after="0"/>
            </w:pPr>
            <w:r>
              <w:t>Dilip Ganguly</w:t>
            </w:r>
          </w:p>
        </w:tc>
        <w:tc>
          <w:tcPr>
            <w:tcW w:w="6914" w:type="dxa"/>
          </w:tcPr>
          <w:p w14:paraId="7B49A37F" w14:textId="77777777" w:rsidR="003323F8" w:rsidRDefault="00000000">
            <w:pPr>
              <w:pStyle w:val="cTableBody"/>
              <w:spacing w:before="0" w:after="0"/>
            </w:pPr>
            <w:r>
              <w:t>aerosol–climate modeling and Global South scientific perspective.</w:t>
            </w:r>
          </w:p>
        </w:tc>
      </w:tr>
      <w:tr w:rsidR="003323F8" w14:paraId="01C9BB69" w14:textId="77777777" w:rsidTr="003323F8">
        <w:tc>
          <w:tcPr>
            <w:tcW w:w="2877" w:type="dxa"/>
          </w:tcPr>
          <w:p w14:paraId="7E25FD93" w14:textId="77777777" w:rsidR="003323F8" w:rsidRDefault="00000000">
            <w:pPr>
              <w:pStyle w:val="cTableBody"/>
              <w:spacing w:before="0" w:after="0"/>
            </w:pPr>
            <w:r>
              <w:t>Nicolás Huneeus</w:t>
            </w:r>
          </w:p>
        </w:tc>
        <w:tc>
          <w:tcPr>
            <w:tcW w:w="6914" w:type="dxa"/>
          </w:tcPr>
          <w:p w14:paraId="127DDE66" w14:textId="77777777" w:rsidR="003323F8" w:rsidRDefault="00000000">
            <w:pPr>
              <w:pStyle w:val="cTableBody"/>
              <w:spacing w:before="0" w:after="0"/>
            </w:pPr>
            <w:r>
              <w:t>aerosol science, South American perspective and research review.</w:t>
            </w:r>
          </w:p>
        </w:tc>
      </w:tr>
      <w:tr w:rsidR="003323F8" w14:paraId="0327C295" w14:textId="77777777" w:rsidTr="003323F8">
        <w:tc>
          <w:tcPr>
            <w:tcW w:w="2877" w:type="dxa"/>
          </w:tcPr>
          <w:p w14:paraId="33276225" w14:textId="77777777" w:rsidR="003323F8" w:rsidRDefault="00000000">
            <w:pPr>
              <w:pStyle w:val="cTableBody"/>
              <w:spacing w:before="0" w:after="0"/>
            </w:pPr>
            <w:r>
              <w:t>Daniel Rosenfeld</w:t>
            </w:r>
          </w:p>
        </w:tc>
        <w:tc>
          <w:tcPr>
            <w:tcW w:w="6914" w:type="dxa"/>
          </w:tcPr>
          <w:p w14:paraId="08ECE55C" w14:textId="77777777" w:rsidR="003323F8" w:rsidRDefault="00000000">
            <w:pPr>
              <w:pStyle w:val="cTableBody"/>
              <w:spacing w:before="0" w:after="0"/>
            </w:pPr>
            <w:r>
              <w:t>cloud microphysics, aerosol effects and precipitation.</w:t>
            </w:r>
          </w:p>
        </w:tc>
      </w:tr>
      <w:tr w:rsidR="003323F8" w14:paraId="10A7E010" w14:textId="77777777" w:rsidTr="003323F8">
        <w:tc>
          <w:tcPr>
            <w:tcW w:w="2877" w:type="dxa"/>
          </w:tcPr>
          <w:p w14:paraId="27607E89" w14:textId="77777777" w:rsidR="003323F8" w:rsidRDefault="00000000">
            <w:pPr>
              <w:pStyle w:val="cTableBody"/>
              <w:spacing w:before="0" w:after="0"/>
            </w:pPr>
            <w:r>
              <w:t xml:space="preserve">Ilona </w:t>
            </w:r>
            <w:proofErr w:type="spellStart"/>
            <w:r>
              <w:t>Riipinen</w:t>
            </w:r>
            <w:proofErr w:type="spellEnd"/>
          </w:p>
        </w:tc>
        <w:tc>
          <w:tcPr>
            <w:tcW w:w="6914" w:type="dxa"/>
          </w:tcPr>
          <w:p w14:paraId="3BE30E49" w14:textId="77777777" w:rsidR="003323F8" w:rsidRDefault="00000000">
            <w:pPr>
              <w:pStyle w:val="cTableBody"/>
              <w:spacing w:before="0" w:after="0"/>
            </w:pPr>
            <w:r>
              <w:t>aerosol microphysics, particle growth and climate interactions.</w:t>
            </w:r>
          </w:p>
        </w:tc>
      </w:tr>
    </w:tbl>
    <w:p w14:paraId="134B7B9D" w14:textId="77777777" w:rsidR="003323F8" w:rsidRDefault="00000000">
      <w:pPr>
        <w:pStyle w:val="Heading2"/>
        <w:spacing w:before="280"/>
      </w:pPr>
      <w:r>
        <w:t>Top organizations</w:t>
      </w:r>
    </w:p>
    <w:p w14:paraId="51D1F98B" w14:textId="77777777" w:rsidR="003323F8" w:rsidRDefault="00000000">
      <w:pPr>
        <w:pStyle w:val="Heading3"/>
        <w:spacing w:before="280" w:after="280"/>
      </w:pPr>
      <w:r>
        <w:t>1. University of Washington Marine Cloud Brightening Research Program</w:t>
      </w:r>
    </w:p>
    <w:p w14:paraId="7F5F3C95" w14:textId="77777777" w:rsidR="003323F8" w:rsidRDefault="00000000">
      <w:pPr>
        <w:spacing w:before="280" w:after="80"/>
      </w:pPr>
      <w:r>
        <w:t>Dedicated MCB collaboration spanning aerosol generation, cloud studies, modeling, governance and engagement.</w:t>
      </w:r>
    </w:p>
    <w:p w14:paraId="03A42056" w14:textId="77777777" w:rsidR="003323F8" w:rsidRDefault="00000000">
      <w:pPr>
        <w:pStyle w:val="Heading3"/>
        <w:spacing w:before="280" w:after="280"/>
      </w:pPr>
      <w:r>
        <w:t>2. NOAA Chemical Sciences Laboratory and NOAA research programs</w:t>
      </w:r>
    </w:p>
    <w:p w14:paraId="4A792EA0" w14:textId="77777777" w:rsidR="003323F8" w:rsidRDefault="00000000">
      <w:pPr>
        <w:spacing w:before="280" w:after="80"/>
      </w:pPr>
      <w:r>
        <w:t>Cloud, aerosol, chemistry, ship-track and atmospheric-observation expertise.</w:t>
      </w:r>
    </w:p>
    <w:p w14:paraId="25FE907C" w14:textId="77777777" w:rsidR="003323F8" w:rsidRDefault="00000000">
      <w:pPr>
        <w:pStyle w:val="Heading3"/>
        <w:spacing w:before="280" w:after="280"/>
      </w:pPr>
      <w:r>
        <w:t>3. NSF NCAR and UCAR</w:t>
      </w:r>
    </w:p>
    <w:p w14:paraId="31F9AF27" w14:textId="77777777" w:rsidR="003323F8" w:rsidRDefault="00000000">
      <w:pPr>
        <w:spacing w:before="280" w:after="80"/>
      </w:pPr>
      <w:r>
        <w:t>Research aircraft, observing systems, field-campaign management, cloud-resolving and global modeling.</w:t>
      </w:r>
    </w:p>
    <w:p w14:paraId="52C1374B" w14:textId="77777777" w:rsidR="003323F8" w:rsidRDefault="00000000">
      <w:pPr>
        <w:pStyle w:val="Heading3"/>
        <w:spacing w:before="280" w:after="280"/>
      </w:pPr>
      <w:r>
        <w:t>4. Southern Cross University MCB program and RRAP partners</w:t>
      </w:r>
    </w:p>
    <w:p w14:paraId="59732710" w14:textId="77777777" w:rsidR="003323F8" w:rsidRDefault="00000000">
      <w:pPr>
        <w:spacing w:before="280" w:after="80"/>
      </w:pPr>
      <w:r>
        <w:t>World-leading outdoor sea-salt generation and Great Barrier Reef field experiments.</w:t>
      </w:r>
    </w:p>
    <w:p w14:paraId="31AE8374" w14:textId="77777777" w:rsidR="003323F8" w:rsidRDefault="00000000">
      <w:pPr>
        <w:pStyle w:val="Heading3"/>
        <w:spacing w:before="280" w:after="280"/>
      </w:pPr>
      <w:r>
        <w:t>5. Scripps Institution of Oceanography</w:t>
      </w:r>
    </w:p>
    <w:p w14:paraId="0EF5CF89" w14:textId="77777777" w:rsidR="003323F8" w:rsidRDefault="00000000">
      <w:pPr>
        <w:spacing w:before="280" w:after="80"/>
      </w:pPr>
      <w:r>
        <w:t>Marine aerosol and cloud observations, research vessels and atmospheric chemistry.</w:t>
      </w:r>
    </w:p>
    <w:p w14:paraId="07277ECF" w14:textId="77777777" w:rsidR="003323F8" w:rsidRDefault="00000000">
      <w:pPr>
        <w:pStyle w:val="Heading3"/>
        <w:spacing w:before="280" w:after="280"/>
      </w:pPr>
      <w:r>
        <w:t>6. Pacific Northwest National Laboratory</w:t>
      </w:r>
    </w:p>
    <w:p w14:paraId="11387BFB" w14:textId="77777777" w:rsidR="003323F8" w:rsidRDefault="00000000">
      <w:pPr>
        <w:spacing w:before="280" w:after="80"/>
      </w:pPr>
      <w:r>
        <w:t>Aerosol–cloud–climate modeling and DOE atmospheric science.</w:t>
      </w:r>
    </w:p>
    <w:p w14:paraId="3EF9092D" w14:textId="77777777" w:rsidR="003323F8" w:rsidRDefault="00000000">
      <w:pPr>
        <w:pStyle w:val="Heading3"/>
        <w:spacing w:before="280" w:after="280"/>
      </w:pPr>
      <w:r>
        <w:t>7. DOE Atmospheric Radiation Measurement program</w:t>
      </w:r>
    </w:p>
    <w:p w14:paraId="72E1D7A4" w14:textId="77777777" w:rsidR="003323F8" w:rsidRDefault="00000000">
      <w:pPr>
        <w:spacing w:before="280" w:after="80"/>
      </w:pPr>
      <w:r>
        <w:t>Cloud radar, lidar, radiometers, mobile facilities and long-term cloud observations.</w:t>
      </w:r>
    </w:p>
    <w:p w14:paraId="5D1A95AE" w14:textId="77777777" w:rsidR="003323F8" w:rsidRDefault="00000000">
      <w:pPr>
        <w:pStyle w:val="Heading3"/>
        <w:spacing w:before="280" w:after="280"/>
      </w:pPr>
      <w:r>
        <w:t>8. NASA and NASA Langley atmospheric research groups</w:t>
      </w:r>
    </w:p>
    <w:p w14:paraId="5FED0BA7" w14:textId="77777777" w:rsidR="003323F8" w:rsidRDefault="00000000">
      <w:pPr>
        <w:spacing w:before="280" w:after="80"/>
      </w:pPr>
      <w:r>
        <w:t>Satellite retrievals, airborne lidar, radiation and cloud remote sensing.</w:t>
      </w:r>
    </w:p>
    <w:p w14:paraId="23E4DE89" w14:textId="77777777" w:rsidR="003323F8" w:rsidRDefault="00000000">
      <w:pPr>
        <w:pStyle w:val="Heading3"/>
        <w:spacing w:before="280" w:after="280"/>
      </w:pPr>
      <w:r>
        <w:t>9. CSIRO and Australian Institute of Marine Science</w:t>
      </w:r>
    </w:p>
    <w:p w14:paraId="1E39F195" w14:textId="77777777" w:rsidR="003323F8" w:rsidRDefault="00000000">
      <w:pPr>
        <w:spacing w:before="280" w:after="80"/>
      </w:pPr>
      <w:r>
        <w:t>Australian atmospheric, marine, ecological and Great Barrier Reef expertise.</w:t>
      </w:r>
    </w:p>
    <w:p w14:paraId="2FF5A35E" w14:textId="77777777" w:rsidR="003323F8" w:rsidRDefault="00000000">
      <w:pPr>
        <w:pStyle w:val="Heading3"/>
        <w:spacing w:before="280" w:after="280"/>
      </w:pPr>
      <w:r>
        <w:t>10. UK Met Office, University of Exeter, Leeds and Manchester groups</w:t>
      </w:r>
    </w:p>
    <w:p w14:paraId="7D891680" w14:textId="77777777" w:rsidR="003323F8" w:rsidRDefault="00000000">
      <w:pPr>
        <w:spacing w:before="280" w:after="80"/>
      </w:pPr>
      <w:r>
        <w:t>Cloud modeling, climate response and aerosol–cloud process research.</w:t>
      </w:r>
    </w:p>
    <w:p w14:paraId="0F312609" w14:textId="77777777" w:rsidR="003323F8" w:rsidRDefault="00000000">
      <w:pPr>
        <w:pStyle w:val="Heading3"/>
        <w:spacing w:before="280" w:after="280"/>
      </w:pPr>
      <w:r>
        <w:t>11. Max Planck Institute for Meteorology and European cloud groups</w:t>
      </w:r>
    </w:p>
    <w:p w14:paraId="6B8CF2B8" w14:textId="77777777" w:rsidR="003323F8" w:rsidRDefault="00000000">
      <w:pPr>
        <w:spacing w:before="280" w:after="80"/>
      </w:pPr>
      <w:r>
        <w:t>Cloud-climate dynamics, process modeling and independent assessment.</w:t>
      </w:r>
    </w:p>
    <w:p w14:paraId="194879AD" w14:textId="77777777" w:rsidR="003323F8" w:rsidRDefault="00000000">
      <w:pPr>
        <w:pStyle w:val="Heading3"/>
        <w:spacing w:before="280" w:after="280"/>
      </w:pPr>
      <w:r>
        <w:t>12. Geoengineering Model Intercomparison Project and World Climate Research Programme networks</w:t>
      </w:r>
    </w:p>
    <w:p w14:paraId="0C70AD01" w14:textId="77777777" w:rsidR="003323F8" w:rsidRDefault="00000000">
      <w:pPr>
        <w:spacing w:before="280" w:after="80"/>
      </w:pPr>
      <w:r>
        <w:t>Standardized multi-model scenarios and climate-response comparison.</w:t>
      </w:r>
    </w:p>
    <w:p w14:paraId="59A9B9F5" w14:textId="77777777" w:rsidR="003323F8" w:rsidRDefault="00000000">
      <w:pPr>
        <w:pStyle w:val="Heading3"/>
        <w:spacing w:before="280" w:after="280"/>
      </w:pPr>
      <w:r>
        <w:t>13. SRI International</w:t>
      </w:r>
    </w:p>
    <w:p w14:paraId="5F4FC77D" w14:textId="77777777" w:rsidR="003323F8" w:rsidRDefault="00000000">
      <w:pPr>
        <w:spacing w:before="280" w:after="80"/>
      </w:pPr>
      <w:r>
        <w:t>Nonprofit engineering and aerosol-generator development partner.</w:t>
      </w:r>
    </w:p>
    <w:p w14:paraId="12A4FE4C" w14:textId="77777777" w:rsidR="003323F8" w:rsidRDefault="00000000">
      <w:pPr>
        <w:pStyle w:val="Heading3"/>
        <w:spacing w:before="280" w:after="280"/>
      </w:pPr>
      <w:r>
        <w:t>14. SilverLining and Degrees Initiative</w:t>
      </w:r>
    </w:p>
    <w:p w14:paraId="5EBC7510" w14:textId="77777777" w:rsidR="003323F8" w:rsidRDefault="00000000">
      <w:pPr>
        <w:spacing w:before="280" w:after="80"/>
      </w:pPr>
      <w:r>
        <w:t>Research support, network building, governance and broader international participation.</w:t>
      </w:r>
    </w:p>
    <w:p w14:paraId="7EE3BD47" w14:textId="77777777" w:rsidR="003323F8" w:rsidRDefault="00000000">
      <w:pPr>
        <w:pStyle w:val="Heading2"/>
        <w:spacing w:before="280"/>
      </w:pPr>
      <w:r>
        <w:t>Best consortium for the proposed program</w:t>
      </w:r>
    </w:p>
    <w:p w14:paraId="01E13E2A" w14:textId="77777777" w:rsidR="003323F8" w:rsidRDefault="00000000">
      <w:pPr>
        <w:spacing w:before="280" w:after="80"/>
      </w:pPr>
      <w:r>
        <w:t>A credible program would not be controlled by one laboratory. It would combine a neutral fiduciary MO; UCAR/NCAR field and model integration; NOAA, UW, Scripps and PNNL process science; Southern Cross University and Australian partners for outdoor MCB experience; NASA/DOE remote sensing; multiple independent modeling teams; marine ecologists; and strong participation from climate-vulnerable regions.</w:t>
      </w:r>
    </w:p>
    <w:p w14:paraId="391A7DFE" w14:textId="77777777" w:rsidR="003323F8" w:rsidRDefault="00000000">
      <w:pPr>
        <w:pStyle w:val="Heading1"/>
        <w:spacing w:before="280" w:after="280"/>
      </w:pPr>
      <w:bookmarkStart w:id="50" w:name="_Toc237984397"/>
      <w:bookmarkStart w:id="51" w:name="ClimateTOC_011"/>
      <w:bookmarkStart w:id="52" w:name="_Toc236310509"/>
      <w:bookmarkStart w:id="53" w:name="_Toc238204665"/>
      <w:r>
        <w:t>Scientific Advisory Panel</w:t>
      </w:r>
      <w:bookmarkEnd w:id="50"/>
      <w:bookmarkEnd w:id="51"/>
      <w:bookmarkEnd w:id="52"/>
      <w:bookmarkEnd w:id="53"/>
    </w:p>
    <w:p w14:paraId="48603D9C" w14:textId="77777777" w:rsidR="003323F8" w:rsidRDefault="00000000">
      <w:pPr>
        <w:pStyle w:val="cUserPromptText"/>
        <w:spacing w:before="280" w:after="280"/>
      </w:pPr>
      <w:r w:rsidRPr="00260095">
        <w:rPr>
          <w:rStyle w:val="UserPromptHeadingChar"/>
        </w:rPr>
        <w:t>Prompt to AI:</w:t>
      </w:r>
      <w:r>
        <w:t xml:space="preserve"> If a scientific panel were established to oversee the MCB research, who might serve on it and what expertise should be represented?</w:t>
      </w:r>
    </w:p>
    <w:p w14:paraId="2F286D54" w14:textId="77777777" w:rsidR="003323F8" w:rsidRDefault="00000000">
      <w:pPr>
        <w:pStyle w:val="cSubject"/>
        <w:spacing w:before="280" w:after="280"/>
      </w:pPr>
      <w:r>
        <w:t>Response From AI:</w:t>
      </w:r>
    </w:p>
    <w:p w14:paraId="3CF6F952" w14:textId="77777777" w:rsidR="003323F8" w:rsidRDefault="00000000">
      <w:pPr>
        <w:pStyle w:val="Heading2"/>
        <w:spacing w:before="280"/>
      </w:pPr>
      <w:r>
        <w:t>Suggested scientific oversight panel</w:t>
      </w:r>
    </w:p>
    <w:tbl>
      <w:tblPr>
        <w:tblStyle w:val="gswTableStyle"/>
        <w:tblW w:w="9792" w:type="dxa"/>
        <w:tblLayout w:type="fixed"/>
        <w:tblLook w:val="04A0" w:firstRow="1" w:lastRow="0" w:firstColumn="1" w:lastColumn="0" w:noHBand="0" w:noVBand="1"/>
      </w:tblPr>
      <w:tblGrid>
        <w:gridCol w:w="2726"/>
        <w:gridCol w:w="7066"/>
      </w:tblGrid>
      <w:tr w:rsidR="003323F8" w14:paraId="3E8576FC" w14:textId="77777777" w:rsidTr="003323F8">
        <w:trPr>
          <w:cnfStyle w:val="100000000000" w:firstRow="1" w:lastRow="0" w:firstColumn="0" w:lastColumn="0" w:oddVBand="0" w:evenVBand="0" w:oddHBand="0" w:evenHBand="0" w:firstRowFirstColumn="0" w:firstRowLastColumn="0" w:lastRowFirstColumn="0" w:lastRowLastColumn="0"/>
          <w:tblHeader/>
        </w:trPr>
        <w:tc>
          <w:tcPr>
            <w:tcW w:w="2880" w:type="dxa"/>
          </w:tcPr>
          <w:p w14:paraId="69C79567" w14:textId="77777777" w:rsidR="00603BBF" w:rsidRDefault="00000000">
            <w:pPr>
              <w:pStyle w:val="cTableHeader"/>
            </w:pPr>
            <w:r>
              <w:t>Seat</w:t>
            </w:r>
          </w:p>
        </w:tc>
        <w:tc>
          <w:tcPr>
            <w:tcW w:w="7488" w:type="dxa"/>
          </w:tcPr>
          <w:p w14:paraId="28BB8FB9" w14:textId="77777777" w:rsidR="00603BBF" w:rsidRDefault="00000000">
            <w:pPr>
              <w:pStyle w:val="cTableHeader"/>
            </w:pPr>
            <w:r>
              <w:t>Required independent expertise</w:t>
            </w:r>
          </w:p>
        </w:tc>
      </w:tr>
      <w:tr w:rsidR="003323F8" w14:paraId="547B4114" w14:textId="77777777" w:rsidTr="003323F8">
        <w:tc>
          <w:tcPr>
            <w:tcW w:w="2880" w:type="dxa"/>
          </w:tcPr>
          <w:p w14:paraId="21328607" w14:textId="77777777" w:rsidR="00603BBF" w:rsidRDefault="00000000">
            <w:pPr>
              <w:pStyle w:val="cTableBody"/>
            </w:pPr>
            <w:r>
              <w:t>Independent chair</w:t>
            </w:r>
          </w:p>
        </w:tc>
        <w:tc>
          <w:tcPr>
            <w:tcW w:w="7488" w:type="dxa"/>
          </w:tcPr>
          <w:p w14:paraId="2A4C8446" w14:textId="77777777" w:rsidR="00603BBF" w:rsidRDefault="00000000">
            <w:pPr>
              <w:pStyle w:val="cTableBody"/>
            </w:pPr>
            <w:r>
              <w:t>Senior Earth-system scientist with no current MCB contract; selected through an international search.</w:t>
            </w:r>
          </w:p>
        </w:tc>
      </w:tr>
      <w:tr w:rsidR="003323F8" w14:paraId="54B8005F" w14:textId="77777777" w:rsidTr="003323F8">
        <w:tc>
          <w:tcPr>
            <w:tcW w:w="2880" w:type="dxa"/>
          </w:tcPr>
          <w:p w14:paraId="177C7954" w14:textId="77777777" w:rsidR="00603BBF" w:rsidRDefault="00000000">
            <w:pPr>
              <w:pStyle w:val="cTableBody"/>
            </w:pPr>
            <w:r>
              <w:t>Marine low-cloud physics</w:t>
            </w:r>
          </w:p>
        </w:tc>
        <w:tc>
          <w:tcPr>
            <w:tcW w:w="7488" w:type="dxa"/>
          </w:tcPr>
          <w:p w14:paraId="1D4755EC" w14:textId="77777777" w:rsidR="00603BBF" w:rsidRDefault="00000000">
            <w:pPr>
              <w:pStyle w:val="cTableBody"/>
            </w:pPr>
            <w:r>
              <w:t>Stratocumulus/cumulus dynamics, susceptibility, cloud organization and field requirements.</w:t>
            </w:r>
          </w:p>
        </w:tc>
      </w:tr>
      <w:tr w:rsidR="003323F8" w14:paraId="4CD85CFA" w14:textId="77777777" w:rsidTr="003323F8">
        <w:tc>
          <w:tcPr>
            <w:tcW w:w="2880" w:type="dxa"/>
          </w:tcPr>
          <w:p w14:paraId="31F31AD9" w14:textId="77777777" w:rsidR="00603BBF" w:rsidRDefault="00000000">
            <w:pPr>
              <w:pStyle w:val="cTableBody"/>
            </w:pPr>
            <w:r>
              <w:t>Marine aerosol and source microphysics</w:t>
            </w:r>
          </w:p>
        </w:tc>
        <w:tc>
          <w:tcPr>
            <w:tcW w:w="7488" w:type="dxa"/>
          </w:tcPr>
          <w:p w14:paraId="5659C49B" w14:textId="77777777" w:rsidR="00603BBF" w:rsidRDefault="00000000">
            <w:pPr>
              <w:pStyle w:val="cTableBody"/>
            </w:pPr>
            <w:r>
              <w:t>Sea-salt composition, hygroscopicity, activation, particle-size effects and plume evolution.</w:t>
            </w:r>
          </w:p>
        </w:tc>
      </w:tr>
      <w:tr w:rsidR="003323F8" w14:paraId="22F56CB7" w14:textId="77777777" w:rsidTr="003323F8">
        <w:tc>
          <w:tcPr>
            <w:tcW w:w="2880" w:type="dxa"/>
          </w:tcPr>
          <w:p w14:paraId="2373C787" w14:textId="77777777" w:rsidR="00603BBF" w:rsidRDefault="00000000">
            <w:pPr>
              <w:pStyle w:val="cTableBody"/>
            </w:pPr>
            <w:r>
              <w:t>MCB field-experiment design</w:t>
            </w:r>
          </w:p>
        </w:tc>
        <w:tc>
          <w:tcPr>
            <w:tcW w:w="7488" w:type="dxa"/>
          </w:tcPr>
          <w:p w14:paraId="2BBA3E51" w14:textId="77777777" w:rsidR="00603BBF" w:rsidRDefault="00000000">
            <w:pPr>
              <w:pStyle w:val="cTableBody"/>
            </w:pPr>
            <w:r>
              <w:t>Outdoor source/plume work, marine operations, paired treated/control campaigns and experimental feasibility.</w:t>
            </w:r>
          </w:p>
        </w:tc>
      </w:tr>
      <w:tr w:rsidR="003323F8" w14:paraId="53D79EE5" w14:textId="77777777" w:rsidTr="003323F8">
        <w:tc>
          <w:tcPr>
            <w:tcW w:w="2880" w:type="dxa"/>
          </w:tcPr>
          <w:p w14:paraId="3C58604D" w14:textId="77777777" w:rsidR="00603BBF" w:rsidRDefault="00000000">
            <w:pPr>
              <w:pStyle w:val="cTableBody"/>
            </w:pPr>
            <w:r>
              <w:t>Atmospheric instrumentation and metrology</w:t>
            </w:r>
          </w:p>
        </w:tc>
        <w:tc>
          <w:tcPr>
            <w:tcW w:w="7488" w:type="dxa"/>
          </w:tcPr>
          <w:p w14:paraId="2573502D" w14:textId="77777777" w:rsidR="00603BBF" w:rsidRDefault="00000000">
            <w:pPr>
              <w:pStyle w:val="cTableBody"/>
            </w:pPr>
            <w:r>
              <w:t>Aircraft inlets, aerosol/cloud probes, radar/lidar/radiometry, calibration and uncertainty.</w:t>
            </w:r>
          </w:p>
        </w:tc>
      </w:tr>
      <w:tr w:rsidR="003323F8" w14:paraId="3B622B65" w14:textId="77777777" w:rsidTr="003323F8">
        <w:tc>
          <w:tcPr>
            <w:tcW w:w="2880" w:type="dxa"/>
          </w:tcPr>
          <w:p w14:paraId="11F79B26" w14:textId="77777777" w:rsidR="00603BBF" w:rsidRDefault="00000000">
            <w:pPr>
              <w:pStyle w:val="cTableBody"/>
            </w:pPr>
            <w:r>
              <w:t>Field-campaign operations</w:t>
            </w:r>
          </w:p>
        </w:tc>
        <w:tc>
          <w:tcPr>
            <w:tcW w:w="7488" w:type="dxa"/>
          </w:tcPr>
          <w:p w14:paraId="6307C01E" w14:textId="77777777" w:rsidR="00603BBF" w:rsidRDefault="00000000">
            <w:pPr>
              <w:pStyle w:val="cTableBody"/>
            </w:pPr>
            <w:r>
              <w:t>Aircraft, research-vessel, UAS, weather-risk and multi-platform campaign integration.</w:t>
            </w:r>
          </w:p>
        </w:tc>
      </w:tr>
      <w:tr w:rsidR="003323F8" w14:paraId="176C61C8" w14:textId="77777777" w:rsidTr="003323F8">
        <w:tc>
          <w:tcPr>
            <w:tcW w:w="2880" w:type="dxa"/>
          </w:tcPr>
          <w:p w14:paraId="40279C21" w14:textId="77777777" w:rsidR="00603BBF" w:rsidRDefault="00000000">
            <w:pPr>
              <w:pStyle w:val="cTableBody"/>
            </w:pPr>
            <w:r>
              <w:t>Statistics and causal inference</w:t>
            </w:r>
          </w:p>
        </w:tc>
        <w:tc>
          <w:tcPr>
            <w:tcW w:w="7488" w:type="dxa"/>
          </w:tcPr>
          <w:p w14:paraId="4A9D810B" w14:textId="77777777" w:rsidR="00603BBF" w:rsidRDefault="00000000">
            <w:pPr>
              <w:pStyle w:val="cTableBody"/>
            </w:pPr>
            <w:r>
              <w:t>Power, experimental units, randomization/controls, preregistration, exclusions and multiplicity.</w:t>
            </w:r>
          </w:p>
        </w:tc>
      </w:tr>
      <w:tr w:rsidR="003323F8" w14:paraId="59E0E929" w14:textId="77777777" w:rsidTr="003323F8">
        <w:tc>
          <w:tcPr>
            <w:tcW w:w="2880" w:type="dxa"/>
          </w:tcPr>
          <w:p w14:paraId="33F006E1" w14:textId="77777777" w:rsidR="00603BBF" w:rsidRDefault="00000000">
            <w:pPr>
              <w:pStyle w:val="cTableBody"/>
            </w:pPr>
            <w:r>
              <w:t>Cloud-process / LES modeling</w:t>
            </w:r>
          </w:p>
        </w:tc>
        <w:tc>
          <w:tcPr>
            <w:tcW w:w="7488" w:type="dxa"/>
          </w:tcPr>
          <w:p w14:paraId="1A44BBAF" w14:textId="77777777" w:rsidR="00603BBF" w:rsidRDefault="00000000">
            <w:pPr>
              <w:pStyle w:val="cTableBody"/>
            </w:pPr>
            <w:r>
              <w:t>Prospective high-resolution prediction, data assimilation and model falsification.</w:t>
            </w:r>
          </w:p>
        </w:tc>
      </w:tr>
      <w:tr w:rsidR="003323F8" w14:paraId="7F5D8356" w14:textId="77777777" w:rsidTr="003323F8">
        <w:tc>
          <w:tcPr>
            <w:tcW w:w="2880" w:type="dxa"/>
          </w:tcPr>
          <w:p w14:paraId="245DB9C4" w14:textId="77777777" w:rsidR="00603BBF" w:rsidRDefault="00000000">
            <w:pPr>
              <w:pStyle w:val="cTableBody"/>
            </w:pPr>
            <w:r>
              <w:t>Regional and global climate response</w:t>
            </w:r>
          </w:p>
        </w:tc>
        <w:tc>
          <w:tcPr>
            <w:tcW w:w="7488" w:type="dxa"/>
          </w:tcPr>
          <w:p w14:paraId="3AAC4EF3" w14:textId="77777777" w:rsidR="00603BBF" w:rsidRDefault="00000000">
            <w:pPr>
              <w:pStyle w:val="cTableBody"/>
            </w:pPr>
            <w:r>
              <w:t>Teleconnections, ENSO, precipitation, scale-up limits and connection to the GCM initiative.</w:t>
            </w:r>
          </w:p>
        </w:tc>
      </w:tr>
      <w:tr w:rsidR="003323F8" w14:paraId="77893049" w14:textId="77777777" w:rsidTr="003323F8">
        <w:tc>
          <w:tcPr>
            <w:tcW w:w="2880" w:type="dxa"/>
          </w:tcPr>
          <w:p w14:paraId="418469E3" w14:textId="77777777" w:rsidR="00603BBF" w:rsidRDefault="00000000">
            <w:pPr>
              <w:pStyle w:val="cTableBody"/>
            </w:pPr>
            <w:r>
              <w:t>Marine ecology and environmental monitoring</w:t>
            </w:r>
          </w:p>
        </w:tc>
        <w:tc>
          <w:tcPr>
            <w:tcW w:w="7488" w:type="dxa"/>
          </w:tcPr>
          <w:p w14:paraId="0FDEF5D2" w14:textId="77777777" w:rsidR="00603BBF" w:rsidRDefault="00000000">
            <w:pPr>
              <w:pStyle w:val="cTableBody"/>
            </w:pPr>
            <w:r>
              <w:t>Salt deposition, coastal/marine exposure, ecological indicators and cumulative effects.</w:t>
            </w:r>
          </w:p>
        </w:tc>
      </w:tr>
      <w:tr w:rsidR="003323F8" w14:paraId="0765D4D5" w14:textId="77777777" w:rsidTr="003323F8">
        <w:tc>
          <w:tcPr>
            <w:tcW w:w="2880" w:type="dxa"/>
          </w:tcPr>
          <w:p w14:paraId="650E46CB" w14:textId="77777777" w:rsidR="00603BBF" w:rsidRDefault="00000000">
            <w:pPr>
              <w:pStyle w:val="cTableBody"/>
            </w:pPr>
            <w:r>
              <w:t>Global South atmospheric science</w:t>
            </w:r>
          </w:p>
        </w:tc>
        <w:tc>
          <w:tcPr>
            <w:tcW w:w="7488" w:type="dxa"/>
          </w:tcPr>
          <w:p w14:paraId="6FBED7B3" w14:textId="77777777" w:rsidR="00603BBF" w:rsidRDefault="00000000">
            <w:pPr>
              <w:pStyle w:val="cTableBody"/>
            </w:pPr>
            <w:r>
              <w:t>Regional consequences, capacity building, independent participation and distributional effects.</w:t>
            </w:r>
          </w:p>
        </w:tc>
      </w:tr>
      <w:tr w:rsidR="003323F8" w14:paraId="5DDBC603" w14:textId="77777777" w:rsidTr="003323F8">
        <w:tc>
          <w:tcPr>
            <w:tcW w:w="2880" w:type="dxa"/>
          </w:tcPr>
          <w:p w14:paraId="68A2AAF2" w14:textId="77777777" w:rsidR="00603BBF" w:rsidRDefault="00000000">
            <w:pPr>
              <w:pStyle w:val="cTableBody"/>
            </w:pPr>
            <w:r>
              <w:t>Community / Indigenous knowledge</w:t>
            </w:r>
          </w:p>
        </w:tc>
        <w:tc>
          <w:tcPr>
            <w:tcW w:w="7488" w:type="dxa"/>
          </w:tcPr>
          <w:p w14:paraId="4384EF43" w14:textId="77777777" w:rsidR="00603BBF" w:rsidRDefault="00000000">
            <w:pPr>
              <w:pStyle w:val="cTableBody"/>
            </w:pPr>
            <w:r>
              <w:t>Research-area legitimacy, local impacts, engagement quality and governance knowledge.</w:t>
            </w:r>
          </w:p>
        </w:tc>
      </w:tr>
    </w:tbl>
    <w:p w14:paraId="534857C7" w14:textId="77777777" w:rsidR="003323F8" w:rsidRDefault="00000000">
      <w:pPr>
        <w:pStyle w:val="Heading2"/>
        <w:spacing w:before="280"/>
      </w:pPr>
      <w:r>
        <w:t>Non-voting technical advisers</w:t>
      </w:r>
    </w:p>
    <w:p w14:paraId="195C3C58" w14:textId="77777777" w:rsidR="003323F8" w:rsidRDefault="00000000">
      <w:pPr>
        <w:pStyle w:val="blist-bullets"/>
        <w:tabs>
          <w:tab w:val="num" w:pos="720"/>
        </w:tabs>
        <w:spacing w:after="0"/>
      </w:pPr>
      <w:r>
        <w:t>Research vessel operator and marine safety officer.</w:t>
      </w:r>
    </w:p>
    <w:p w14:paraId="0283C7A7" w14:textId="77777777" w:rsidR="003323F8" w:rsidRDefault="00000000">
      <w:pPr>
        <w:pStyle w:val="blist-bullets"/>
        <w:tabs>
          <w:tab w:val="num" w:pos="720"/>
        </w:tabs>
        <w:spacing w:before="0" w:after="0"/>
      </w:pPr>
      <w:r>
        <w:t>Research aircraft and flight-safety representative.</w:t>
      </w:r>
    </w:p>
    <w:p w14:paraId="148EF051" w14:textId="77777777" w:rsidR="003323F8" w:rsidRDefault="00000000">
      <w:pPr>
        <w:pStyle w:val="blist-bullets"/>
        <w:tabs>
          <w:tab w:val="num" w:pos="720"/>
        </w:tabs>
        <w:spacing w:before="0" w:after="0"/>
      </w:pPr>
      <w:r>
        <w:t>Aerosol-generator engineer.</w:t>
      </w:r>
    </w:p>
    <w:p w14:paraId="4AA61211" w14:textId="77777777" w:rsidR="003323F8" w:rsidRDefault="00000000">
      <w:pPr>
        <w:pStyle w:val="blist-bullets"/>
        <w:tabs>
          <w:tab w:val="num" w:pos="720"/>
        </w:tabs>
        <w:spacing w:before="0" w:after="0"/>
      </w:pPr>
      <w:r>
        <w:t>Environmental-law and permitting adviser.</w:t>
      </w:r>
    </w:p>
    <w:p w14:paraId="60100152" w14:textId="77777777" w:rsidR="003323F8" w:rsidRDefault="00000000">
      <w:pPr>
        <w:pStyle w:val="blist-bullets"/>
        <w:tabs>
          <w:tab w:val="num" w:pos="720"/>
        </w:tabs>
        <w:spacing w:before="0" w:after="0"/>
      </w:pPr>
      <w:r>
        <w:t>Data and open-source steward.</w:t>
      </w:r>
    </w:p>
    <w:p w14:paraId="610F9D40" w14:textId="77777777" w:rsidR="003323F8" w:rsidRDefault="00000000">
      <w:pPr>
        <w:pStyle w:val="blist-bullets"/>
        <w:tabs>
          <w:tab w:val="num" w:pos="720"/>
        </w:tabs>
        <w:spacing w:before="0" w:after="0"/>
      </w:pPr>
      <w:r>
        <w:t>Program statistician and causal-inference specialist.</w:t>
      </w:r>
    </w:p>
    <w:p w14:paraId="2F1080C2" w14:textId="77777777" w:rsidR="003323F8" w:rsidRDefault="00000000">
      <w:pPr>
        <w:pStyle w:val="blist-bullets"/>
        <w:tabs>
          <w:tab w:val="num" w:pos="720"/>
        </w:tabs>
        <w:spacing w:before="0" w:after="40"/>
      </w:pPr>
      <w:r>
        <w:t>Funding Source and MO liaisons.</w:t>
      </w:r>
    </w:p>
    <w:p w14:paraId="27286A85" w14:textId="77777777" w:rsidR="003323F8" w:rsidRDefault="00000000">
      <w:pPr>
        <w:pStyle w:val="Heading2"/>
        <w:spacing w:before="280"/>
      </w:pPr>
      <w:r>
        <w:t>Critical conflict-of-interest rule</w:t>
      </w:r>
    </w:p>
    <w:p w14:paraId="548B3433" w14:textId="77777777" w:rsidR="003323F8" w:rsidRDefault="00000000">
      <w:pPr>
        <w:spacing w:before="280" w:after="80"/>
      </w:pPr>
      <w:r>
        <w:t>Scientists receiving large program awards should not form a voting majority. Members must disclose institutional and financial interests; recuse from reviews of their own work; and permit minority reports. The panel should review scientific adequacy, but an independent release and safety board should retain authority to prohibit an outdoor release.</w:t>
      </w:r>
    </w:p>
    <w:p w14:paraId="7B5E7818" w14:textId="77777777" w:rsidR="003323F8" w:rsidRDefault="00000000">
      <w:pPr>
        <w:pStyle w:val="Heading2"/>
        <w:spacing w:before="280"/>
      </w:pPr>
      <w:r>
        <w:t>Suggested voting standard</w:t>
      </w:r>
    </w:p>
    <w:p w14:paraId="72321C50" w14:textId="77777777" w:rsidR="003323F8" w:rsidRDefault="00000000">
      <w:pPr>
        <w:spacing w:before="280" w:after="80"/>
      </w:pPr>
      <w:r>
        <w:t>Ordinary scientific recommendations could use a two-thirds vote. A recommendation to increase release scale should require at least 75% support, no unresolved critical safety finding, and affirmative approval from the independent release board and the Funding Source.</w:t>
      </w:r>
    </w:p>
    <w:p w14:paraId="077522FA" w14:textId="77777777" w:rsidR="003323F8" w:rsidRDefault="00000000">
      <w:pPr>
        <w:pStyle w:val="Heading1"/>
        <w:spacing w:before="280" w:after="280"/>
      </w:pPr>
      <w:bookmarkStart w:id="54" w:name="_Toc237984398"/>
      <w:bookmarkStart w:id="55" w:name="ClimateTOC_012"/>
      <w:bookmarkStart w:id="56" w:name="_Toc236310510"/>
      <w:bookmarkStart w:id="57" w:name="_Toc238204666"/>
      <w:r>
        <w:t>Management Advisory Panel</w:t>
      </w:r>
      <w:bookmarkEnd w:id="54"/>
      <w:bookmarkEnd w:id="55"/>
      <w:bookmarkEnd w:id="56"/>
      <w:bookmarkEnd w:id="57"/>
    </w:p>
    <w:p w14:paraId="33CB7250" w14:textId="77777777" w:rsidR="000A7470" w:rsidRDefault="00000000" w:rsidP="00260095">
      <w:pPr>
        <w:pStyle w:val="cUserPromptHeading"/>
      </w:pPr>
      <w:r>
        <w:t>Prompt to AI:</w:t>
      </w:r>
      <w:r w:rsidR="00260095">
        <w:t xml:space="preserve"> </w:t>
      </w:r>
      <w:r w:rsidRPr="00260095">
        <w:rPr>
          <w:rStyle w:val="UserPromptTextChar"/>
          <w:b w:val="0"/>
          <w:bCs w:val="0"/>
        </w:rPr>
        <w:t>What management-oversight expertise is uniquely needed for the MCB Experimental Research Initiative beyond the common Management Advisory Panel charter?</w:t>
      </w:r>
    </w:p>
    <w:p w14:paraId="1EED4852" w14:textId="77777777" w:rsidR="000A7470" w:rsidRDefault="00000000">
      <w:pPr>
        <w:pStyle w:val="cSubject"/>
      </w:pPr>
      <w:r>
        <w:t>Response From AI:</w:t>
      </w:r>
    </w:p>
    <w:p w14:paraId="0FFC42CA" w14:textId="686A66CE" w:rsidR="000A7470" w:rsidRDefault="00000000">
      <w:r>
        <w:t>The</w:t>
      </w:r>
      <w:r w:rsidR="00EF37DF">
        <w:t xml:space="preserve"> </w:t>
      </w:r>
      <w:hyperlink r:id="rId45" w:anchor="framework" w:history="1">
        <w:r w:rsidR="00EF37DF">
          <w:rPr>
            <w:rStyle w:val="bhyperlinkChar"/>
          </w:rPr>
          <w:t>Moonshot</w:t>
        </w:r>
        <w:r w:rsidR="00EF37DF" w:rsidRPr="00D14B0C">
          <w:rPr>
            <w:rStyle w:val="bhyperlinkChar"/>
          </w:rPr>
          <w:t xml:space="preserve"> Common Framework</w:t>
        </w:r>
      </w:hyperlink>
      <w:r>
        <w:t xml:space="preserve"> governs the panel charter, independence, fiduciary oversight, audit access, conflicts, procurement escalation, reserve review, corrective action, and Managing Organization succession. This initiative adds field-campaign, release-governance, and research-integrity capabilities needed to oversee a large marine atmospheric experiment program.</w:t>
      </w:r>
    </w:p>
    <w:p w14:paraId="1DB685D2" w14:textId="77777777" w:rsidR="000A7470" w:rsidRDefault="00000000">
      <w:pPr>
        <w:pStyle w:val="cSubject"/>
      </w:pPr>
      <w:r>
        <w:t>Initiative-specific oversight capabilities</w:t>
      </w:r>
    </w:p>
    <w:p w14:paraId="7E388E98" w14:textId="77777777" w:rsidR="000A7470" w:rsidRDefault="00000000">
      <w:pPr>
        <w:pStyle w:val="blist-bullets"/>
      </w:pPr>
      <w:r>
        <w:t>Large scientific field campaigns: research ships, aircraft, drones, remote sensing, weather risk, mobilization, international logistics, replacement days, instrument integration, calibration, and readiness evidence before expensive campaign commitments.</w:t>
      </w:r>
    </w:p>
    <w:p w14:paraId="5AC35E18" w14:textId="77777777" w:rsidR="000A7470" w:rsidRDefault="00000000">
      <w:pPr>
        <w:pStyle w:val="blist-bullets"/>
      </w:pPr>
      <w:r>
        <w:t>Maritime, aviation, environmental, and community governance: independent release authorization, permits, emergency stop systems, public and Indigenous engagement, transboundary consultation, incident response, and strict separation between experiment execution and approval authority.</w:t>
      </w:r>
    </w:p>
    <w:p w14:paraId="13FDA8BF" w14:textId="77777777" w:rsidR="000A7470" w:rsidRDefault="00000000">
      <w:pPr>
        <w:pStyle w:val="blist-bullets"/>
      </w:pPr>
      <w:r>
        <w:t>Research integrity and decision evidence: preregistration, statistical power, treated/control design, blinded or withheld-data tests, open-data delivery, independent replication, publication of null/negative results, and protection against claiming efficacy from one favorable campaign.</w:t>
      </w:r>
    </w:p>
    <w:p w14:paraId="053F5BB1" w14:textId="77777777" w:rsidR="000A7470" w:rsidRDefault="00000000">
      <w:pPr>
        <w:pStyle w:val="blist-bullets"/>
      </w:pPr>
      <w:r>
        <w:t>Cross-program coordination: prevent duplicate spending with the MCB Equipment Development Initiative and ensure that shared generators, vessels/platforms, observing systems, data infrastructure, and technical personnel have explicit ownership, cost, and usage rules.</w:t>
      </w:r>
    </w:p>
    <w:p w14:paraId="6AAD4088" w14:textId="77777777" w:rsidR="000A7470" w:rsidRDefault="00000000">
      <w:r>
        <w:t>All other management-panel seats and authorities are supplied by the common framework. Technology-specific scientific judgment remains with the Scientific Advisory Panel, while authority to approve or prohibit an outdoor release remains with the independent release and safety function.</w:t>
      </w:r>
    </w:p>
    <w:p w14:paraId="13919A32" w14:textId="77777777" w:rsidR="003323F8" w:rsidRDefault="00000000">
      <w:pPr>
        <w:pStyle w:val="Heading1"/>
        <w:spacing w:before="280" w:after="280"/>
      </w:pPr>
      <w:bookmarkStart w:id="58" w:name="_Toc237984399"/>
      <w:bookmarkStart w:id="59" w:name="ClimateTOC_013"/>
      <w:bookmarkStart w:id="60" w:name="_Toc236310511"/>
      <w:bookmarkStart w:id="61" w:name="_Toc238204667"/>
      <w:r>
        <w:t>Agreements</w:t>
      </w:r>
      <w:bookmarkEnd w:id="58"/>
      <w:bookmarkEnd w:id="59"/>
      <w:bookmarkEnd w:id="60"/>
      <w:bookmarkEnd w:id="61"/>
    </w:p>
    <w:p w14:paraId="53D51C25" w14:textId="77777777" w:rsidR="000A7470" w:rsidRDefault="00260095">
      <w:pPr>
        <w:pStyle w:val="cUserPromptText"/>
      </w:pPr>
      <w:r w:rsidRPr="00260095">
        <w:rPr>
          <w:rStyle w:val="UserPromptHeadingChar"/>
        </w:rPr>
        <w:t xml:space="preserve">Prompt to AI: </w:t>
      </w:r>
      <w:r>
        <w:t>Which agreement provisions should remain inside this proposal after the portfolio-wide Funding Source-to-Managing Organization and Managing Organization-to-Recipient master terms are moved to the common framework?</w:t>
      </w:r>
    </w:p>
    <w:p w14:paraId="31A5A92F" w14:textId="77777777" w:rsidR="000A7470" w:rsidRDefault="00000000">
      <w:pPr>
        <w:pStyle w:val="cSubject"/>
      </w:pPr>
      <w:r>
        <w:t>Response From AI:</w:t>
      </w:r>
    </w:p>
    <w:p w14:paraId="3B583F93" w14:textId="1E5B1C8B" w:rsidR="000A7470" w:rsidRDefault="00000000">
      <w:r>
        <w:t xml:space="preserve">The generic master agreement terms </w:t>
      </w:r>
      <w:r w:rsidR="00EF37DF">
        <w:t xml:space="preserve">are specified in the </w:t>
      </w:r>
      <w:hyperlink r:id="rId46" w:anchor="framework" w:history="1">
        <w:r w:rsidR="00EF37DF">
          <w:rPr>
            <w:rStyle w:val="bhyperlinkChar"/>
          </w:rPr>
          <w:t>Moonshot</w:t>
        </w:r>
        <w:r w:rsidR="00EF37DF" w:rsidRPr="00D14B0C">
          <w:rPr>
            <w:rStyle w:val="bhyperlinkChar"/>
          </w:rPr>
          <w:t xml:space="preserve"> Common Framework</w:t>
        </w:r>
      </w:hyperlink>
      <w:r>
        <w:t xml:space="preserve"> and are not repeated here. Final agreements would use those common terms plus the MCB experimental-research schedules below, adapted by counsel to the parties, jurisdictions, research platforms, government partners, environmental requirements, and the actual procurement or grant instrument.</w:t>
      </w:r>
    </w:p>
    <w:p w14:paraId="15604131" w14:textId="77777777" w:rsidR="000A7470" w:rsidRDefault="00000000">
      <w:pPr>
        <w:pStyle w:val="Heading2"/>
      </w:pPr>
      <w:r>
        <w:t>Program-Specific Schedules to the Common Agreements</w:t>
      </w:r>
    </w:p>
    <w:p w14:paraId="28B1B3D1" w14:textId="77777777" w:rsidR="000A7470" w:rsidRDefault="00000000">
      <w:pPr>
        <w:pStyle w:val="cSubject"/>
      </w:pPr>
      <w:r>
        <w:t>Experimental design, preregistration, and statistical schedule</w:t>
      </w:r>
    </w:p>
    <w:p w14:paraId="444C298C" w14:textId="77777777" w:rsidR="000A7470" w:rsidRDefault="00000000">
      <w:r>
        <w:t>Attach the approved scientific question, causal chain, primary and secondary endpoints, expected/minimum detectable effect, experimental unit, treated/control assignment, release/no-release pattern, exclusion rules, sample-size and weather-day logic, uncertainty budget, preregistered model predictions, analysis code plan, and conditions that trigger redesign, repetition, or termination.</w:t>
      </w:r>
    </w:p>
    <w:p w14:paraId="38E2CAC8" w14:textId="77777777" w:rsidR="000A7470" w:rsidRDefault="00000000">
      <w:pPr>
        <w:pStyle w:val="cSubject"/>
      </w:pPr>
      <w:r>
        <w:t>Outdoor release, environmental, and governance schedule</w:t>
      </w:r>
    </w:p>
    <w:p w14:paraId="6F8A3C36" w14:textId="77777777" w:rsidR="000A7470" w:rsidRDefault="00000000">
      <w:r>
        <w:t>Specify the seawater-derived material, particle-size/output limits, location, route, time, cloud and meteorological operating envelope, permits, maritime/aviation coordination, environmental and deposition monitoring, public/Indigenous/jurisdictional engagement, transboundary notification where applicable, stop conditions, emergency authority, incident reporting, and Independent Release and Safety Board approval.</w:t>
      </w:r>
    </w:p>
    <w:p w14:paraId="2534D07D" w14:textId="77777777" w:rsidR="000A7470" w:rsidRDefault="00000000">
      <w:pPr>
        <w:pStyle w:val="cSubject"/>
      </w:pPr>
      <w:r>
        <w:t>Aircraft, vessel, UAS, and field-operations schedule</w:t>
      </w:r>
    </w:p>
    <w:p w14:paraId="762F2266" w14:textId="77777777" w:rsidR="000A7470" w:rsidRDefault="00000000">
      <w:r>
        <w:t>Specify platform availability, payloads, integration and certification, mission roles, flight/vessel hours, standby and weather options, replacement days, communications, mission control, safety responsibilities, sampling patterns, data synchronization, configuration control, and independent witnessing or readiness review.</w:t>
      </w:r>
    </w:p>
    <w:p w14:paraId="09479ED7" w14:textId="77777777" w:rsidR="000A7470" w:rsidRDefault="00000000">
      <w:pPr>
        <w:pStyle w:val="cSubject"/>
      </w:pPr>
      <w:r>
        <w:t>Aerosol source, instrumentation, calibration, and measurement schedule</w:t>
      </w:r>
    </w:p>
    <w:p w14:paraId="1BA55448" w14:textId="77777777" w:rsidR="000A7470" w:rsidRDefault="00000000">
      <w:r>
        <w:t>Specify generator settings and source metrology, seawater conditioning, particle-size and CCN requirements, cloud and radiation instruments, inlet transmission, calibration/intercomparison, uncertainty, spares, failure reporting, chain-of-custody for samples, and the evidence required to close source-to-plume-to-cloud-to-radiation claims.</w:t>
      </w:r>
    </w:p>
    <w:p w14:paraId="309F0E25" w14:textId="77777777" w:rsidR="000A7470" w:rsidRDefault="00000000">
      <w:pPr>
        <w:pStyle w:val="cSubject"/>
      </w:pPr>
      <w:r>
        <w:t>Data, models, open-science, and reproducibility schedule</w:t>
      </w:r>
    </w:p>
    <w:p w14:paraId="60EE7FED" w14:textId="77777777" w:rsidR="000A7470" w:rsidRDefault="00000000">
      <w:r>
        <w:t>Specify repositories and release dates for raw and calibrated observations, metadata, source settings, tracks, environmental measurements, model configurations, forecast and preregistered prediction files, analysis code, exclusions, negative results, final uncertainty products, and the reproducibility package required for an unaffiliated team to repeat the analysis.</w:t>
      </w:r>
    </w:p>
    <w:p w14:paraId="38AE82D0" w14:textId="77777777" w:rsidR="000A7470" w:rsidRDefault="00000000">
      <w:pPr>
        <w:pStyle w:val="cSubject"/>
      </w:pPr>
      <w:r>
        <w:t>Shared-asset, independent-replication, and transition schedule</w:t>
      </w:r>
    </w:p>
    <w:p w14:paraId="19DD25A1" w14:textId="77777777" w:rsidR="000A7470" w:rsidRDefault="00000000">
      <w:r>
        <w:t>Identify ownership, maintenance, calibration, access, and cost allocation for equipment shared with the MCB Equipment Development Initiative; preserve the independence of replication teams; and define transfer of data, samples, instruments, software credentials, permits/records, and open technical documentation at campaign or program closeout.</w:t>
      </w:r>
    </w:p>
    <w:p w14:paraId="53F95094" w14:textId="77777777" w:rsidR="000A7470" w:rsidRDefault="00000000">
      <w:pPr>
        <w:pStyle w:val="cSubject"/>
      </w:pPr>
      <w:r>
        <w:t>No duplicate master terms</w:t>
      </w:r>
    </w:p>
    <w:p w14:paraId="1E95155C" w14:textId="77777777" w:rsidR="000A7470" w:rsidRDefault="00000000">
      <w:r>
        <w:t>General competition, pricing, milestone payment, retainage, audit, conflicts, open-source/data rights, background/foreground IP, reserve, changes/claims, remedies, termination, step-in, succession, insurance, and routine reporting are governed by the common framework unless an approved MCB-specific schedule expressly adds or overrides a term.</w:t>
      </w:r>
    </w:p>
    <w:p w14:paraId="58612ADC" w14:textId="77777777" w:rsidR="00416101" w:rsidRDefault="00000000">
      <w:pPr>
        <w:pStyle w:val="Heading1"/>
      </w:pPr>
      <w:bookmarkStart w:id="62" w:name="_Toc238204668"/>
      <w:r>
        <w:t>Termination Shock — MCB-Specific Considerations</w:t>
      </w:r>
      <w:bookmarkEnd w:id="62"/>
    </w:p>
    <w:p w14:paraId="22B61BDB" w14:textId="77777777" w:rsidR="00416101" w:rsidRDefault="00000000">
      <w:pPr>
        <w:pStyle w:val="cUserPromptText"/>
      </w:pPr>
      <w:r>
        <w:rPr>
          <w:rStyle w:val="UserPromptHeadingChar"/>
        </w:rPr>
        <w:t>Prompt to AI:</w:t>
      </w:r>
      <w:r>
        <w:t xml:space="preserve"> What termination-shock issues are specific to marine cloud brightening (MCB), and which parts should be handled in the Global Climate Model Experimental Research Initiative?</w:t>
      </w:r>
    </w:p>
    <w:p w14:paraId="3F57638B" w14:textId="77777777" w:rsidR="00416101" w:rsidRDefault="00000000">
      <w:pPr>
        <w:pStyle w:val="cSubject"/>
      </w:pPr>
      <w:r>
        <w:t>Response From AI:</w:t>
      </w:r>
    </w:p>
    <w:p w14:paraId="1692B42C" w14:textId="77777777" w:rsidR="00416101" w:rsidRDefault="00000000">
      <w:r>
        <w:t xml:space="preserve">Termination shock is fundamentally a climate-system response to removing a cooling forcing while greenhouse-gas concentrations remain high. The definitive cross-technology analysis therefore belongs in the </w:t>
      </w:r>
      <w:hyperlink r:id="rId47" w:anchor="gcm" w:history="1">
        <w:r w:rsidR="00416101" w:rsidRPr="008A0B33">
          <w:rPr>
            <w:rStyle w:val="bhyperlinkChar"/>
          </w:rPr>
          <w:t>Global Climate Model Experimental Research</w:t>
        </w:r>
      </w:hyperlink>
      <w:r>
        <w:t xml:space="preserve"> Initiative. This MCB proposal should retain the MCB-specific source, cloud, operational, and monitoring issues that determine how quickly its forcing can disappear.</w:t>
      </w:r>
    </w:p>
    <w:p w14:paraId="1516CC4F" w14:textId="77777777" w:rsidR="00416101" w:rsidRDefault="00000000">
      <w:pPr>
        <w:pStyle w:val="Heading2"/>
      </w:pPr>
      <w:r>
        <w:t>What is specific to MCB</w:t>
      </w:r>
    </w:p>
    <w:p w14:paraId="26A8C1C0" w14:textId="77777777" w:rsidR="00416101" w:rsidRDefault="00000000">
      <w:r>
        <w:t>MCB has a much shorter physical memory than SAI. Sea-salt particles in the marine boundary layer and the cloud perturbations they create generally persist for days, not a year or more. If spraying stops, the deliberate radiative forcing can therefore diminish quickly as particles are removed, clouds evolve, and treated air masses move away. Ocean and atmospheric thermal inertia still spread the temperature response over years and decades, but the operational buffer between a fleet failure and loss of forcing is small.</w:t>
      </w:r>
    </w:p>
    <w:p w14:paraId="331DAE6E" w14:textId="77777777" w:rsidR="00416101" w:rsidRDefault="00000000">
      <w:r>
        <w:t>This short lifetime is both an advantage and a risk. It improves controllability for bounded experiments because the perturbation does not persist for long after operations stop. At deployment scale, however, it means ship or generator outages, unsuitable meteorology, port or fuel disruptions, communications failures, cyber incidents, or political withdrawal could translate into a rapid reduction in effective forcing. Weather dependence can also change MCB forcing even when the equipment itself is functioning.</w:t>
      </w:r>
    </w:p>
    <w:p w14:paraId="14B976F9" w14:textId="77777777" w:rsidR="00416101" w:rsidRDefault="00000000">
      <w:pPr>
        <w:pStyle w:val="Heading2"/>
      </w:pPr>
      <w:r>
        <w:t>Illustrative termination cases</w:t>
      </w:r>
    </w:p>
    <w:p w14:paraId="2A15ED19" w14:textId="77777777" w:rsidR="00416101" w:rsidRDefault="00000000">
      <w:r>
        <w:t>Illustrative calculations can be useful for intuition, but this proposal should not anchor its research case to one assumed greenhouse-gas trajectory, climate sensitivity, or abrupt-warming number. The definitive multi-year and multi-century termination analysis belongs in the Global Climate Model Experimental Research Initiative, using ensembles across greenhouse-gas pathways, ocean states, forcing patterns, gradual and abrupt phaseout, and model uncertainty.</w:t>
      </w:r>
    </w:p>
    <w:p w14:paraId="2635AC3A" w14:textId="77777777" w:rsidR="00416101" w:rsidRDefault="00000000">
      <w:pPr>
        <w:pStyle w:val="Heading2"/>
      </w:pPr>
      <w:r>
        <w:t>What this MCB research program should deliver</w:t>
      </w:r>
    </w:p>
    <w:p w14:paraId="741D063B" w14:textId="77777777" w:rsidR="005F0CD5" w:rsidRDefault="005F0CD5" w:rsidP="005F0CD5">
      <w:r>
        <w:t xml:space="preserve">The </w:t>
      </w:r>
      <w:hyperlink r:id="rId48" w:anchor="gcm" w:history="1">
        <w:r w:rsidRPr="008A0B33">
          <w:rPr>
            <w:rStyle w:val="bhyperlinkChar"/>
          </w:rPr>
          <w:t>Global Climate Model Experimental Research</w:t>
        </w:r>
      </w:hyperlink>
      <w:r>
        <w:t xml:space="preserve"> Initiative should maintain the full Termination Shock analysis for both SAI and MCB, including global and regional temperature, precipitation, monsoons, sea ice, ocean heat, AMOC, ecosystems, abrupt versus gradual phaseout, greenhouse-gas trajectories, and carbon removal.   </w:t>
      </w:r>
    </w:p>
    <w:p w14:paraId="18850B7C" w14:textId="77777777" w:rsidR="00416101" w:rsidRDefault="00000000">
      <w:r>
        <w:t>The MCB Experimental Research Initiative should measure the source-specific inputs needed by termination models: how quickly aerosol number, cloud-droplet perturbations, cloud optical depth, liquid-water path, drizzle response, and reflected shortwave radiation return toward background after a source is turned off; how those decay times vary by cloud regime and meteorology; and how reliably the system can detect a loss of forcing.</w:t>
      </w:r>
    </w:p>
    <w:p w14:paraId="431645E0" w14:textId="77777777" w:rsidR="00416101" w:rsidRDefault="00000000">
      <w:r>
        <w:t>The program should also quantify practical control authority: how rapidly output can be reduced or restored, how many independent vessels or source regions are needed for continuity, how meteorological gaps affect effective forcing, and which monitoring signals distinguish normal cloud variability from a genuine interruption. These are MCB-specific experimental questions; they do not require duplicating multi-century climate-response ensembles inside this proposal.</w:t>
      </w:r>
    </w:p>
    <w:p w14:paraId="48837432" w14:textId="77777777" w:rsidR="003323F8" w:rsidRDefault="00000000">
      <w:pPr>
        <w:pStyle w:val="Heading1"/>
        <w:spacing w:before="280" w:after="280"/>
      </w:pPr>
      <w:bookmarkStart w:id="63" w:name="_Toc237984401"/>
      <w:bookmarkStart w:id="64" w:name="ClimateTOC_015"/>
      <w:bookmarkStart w:id="65" w:name="_Toc238204669"/>
      <w:r>
        <w:t>MCB Aircraft, Instruments and Airborne Measurement Architecture</w:t>
      </w:r>
      <w:bookmarkEnd w:id="63"/>
      <w:bookmarkEnd w:id="64"/>
      <w:bookmarkEnd w:id="65"/>
    </w:p>
    <w:p w14:paraId="760D897D" w14:textId="77777777" w:rsidR="003323F8" w:rsidRDefault="00000000">
      <w:pPr>
        <w:pStyle w:val="cUserPromptText"/>
        <w:spacing w:before="280" w:after="280"/>
      </w:pPr>
      <w:r>
        <w:rPr>
          <w:rStyle w:val="UserPromptHeadingChar"/>
        </w:rPr>
        <w:t xml:space="preserve">Prompt to AI: </w:t>
      </w:r>
      <w:r>
        <w:t>The MCB experimental research program needs aircraft to track sea-salt plumes, measure delivery to cloud base, sample treated and untreated clouds, and close the radiative response. What kinds of research aircraft are needed? What parameters should each measure, what instruments are needed, which existing research-aircraft operators might provide them, and what aircraft or airborne equipment should the program develop or modify?</w:t>
      </w:r>
    </w:p>
    <w:p w14:paraId="00606CC3" w14:textId="77777777" w:rsidR="003323F8" w:rsidRDefault="00000000">
      <w:pPr>
        <w:pStyle w:val="cSubject"/>
        <w:spacing w:before="280" w:after="280"/>
      </w:pPr>
      <w:r>
        <w:t>Response From AI:</w:t>
      </w:r>
    </w:p>
    <w:p w14:paraId="0E391B22" w14:textId="77777777" w:rsidR="003323F8" w:rsidRDefault="00000000">
      <w:pPr>
        <w:spacing w:before="280" w:after="280"/>
      </w:pPr>
      <w:r>
        <w:t>MCB needs a coordinated airborne measurement system rather than one special airplane. The intervention source is normally a ship or autonomous surface platform, while aircraft diagnose what happens between the source, cloud base, cloud interior and reflected sunlight. The most useful architecture is a primary in-situ cloud aircraft, an above-cloud remote-sensing/radiation aircraft, smaller plume or boundary-layer aircraft where useful, and uncrewed aircraft that fill vertical and near-source sampling gaps. The aircraft should be treated mainly as reusable sensor buses; most development money should go into modular instruments, characterized inlets, synchronization, plume/cloud targeting and aircraft-vessel-ground data fusion.</w:t>
      </w:r>
    </w:p>
    <w:p w14:paraId="3FD293DC" w14:textId="77777777" w:rsidR="003323F8" w:rsidRDefault="00000000">
      <w:pPr>
        <w:pStyle w:val="Heading2"/>
        <w:spacing w:before="280"/>
      </w:pPr>
      <w:r>
        <w:t>Four airborne roles</w:t>
      </w:r>
    </w:p>
    <w:tbl>
      <w:tblPr>
        <w:tblStyle w:val="gswTableStyle"/>
        <w:tblW w:w="9864" w:type="dxa"/>
        <w:tblLayout w:type="fixed"/>
        <w:tblLook w:val="04A0" w:firstRow="1" w:lastRow="0" w:firstColumn="1" w:lastColumn="0" w:noHBand="0" w:noVBand="1"/>
      </w:tblPr>
      <w:tblGrid>
        <w:gridCol w:w="1706"/>
        <w:gridCol w:w="2925"/>
        <w:gridCol w:w="3131"/>
        <w:gridCol w:w="2102"/>
      </w:tblGrid>
      <w:tr w:rsidR="003323F8" w14:paraId="37C71207" w14:textId="77777777" w:rsidTr="003323F8">
        <w:trPr>
          <w:cnfStyle w:val="100000000000" w:firstRow="1" w:lastRow="0" w:firstColumn="0" w:lastColumn="0" w:oddVBand="0" w:evenVBand="0" w:oddHBand="0" w:evenHBand="0" w:firstRowFirstColumn="0" w:firstRowLastColumn="0" w:lastRowFirstColumn="0" w:lastRowLastColumn="0"/>
          <w:tblHeader/>
        </w:trPr>
        <w:tc>
          <w:tcPr>
            <w:tcW w:w="1705" w:type="dxa"/>
          </w:tcPr>
          <w:p w14:paraId="0C7F4316" w14:textId="77777777" w:rsidR="003323F8" w:rsidRDefault="00000000">
            <w:pPr>
              <w:pStyle w:val="cTableHeader"/>
            </w:pPr>
            <w:r>
              <w:t>Airborne role</w:t>
            </w:r>
          </w:p>
        </w:tc>
        <w:tc>
          <w:tcPr>
            <w:tcW w:w="2925" w:type="dxa"/>
          </w:tcPr>
          <w:p w14:paraId="093D58B8" w14:textId="77777777" w:rsidR="003323F8" w:rsidRDefault="00000000">
            <w:pPr>
              <w:pStyle w:val="cTableHeader"/>
            </w:pPr>
            <w:r>
              <w:t>Key parameters</w:t>
            </w:r>
          </w:p>
        </w:tc>
        <w:tc>
          <w:tcPr>
            <w:tcW w:w="3131" w:type="dxa"/>
          </w:tcPr>
          <w:p w14:paraId="11814764" w14:textId="77777777" w:rsidR="003323F8" w:rsidRDefault="00000000">
            <w:pPr>
              <w:pStyle w:val="cTableHeader"/>
            </w:pPr>
            <w:r>
              <w:t>Representative instruments</w:t>
            </w:r>
          </w:p>
        </w:tc>
        <w:tc>
          <w:tcPr>
            <w:tcW w:w="2102" w:type="dxa"/>
          </w:tcPr>
          <w:p w14:paraId="279C71D0" w14:textId="77777777" w:rsidR="003323F8" w:rsidRDefault="00000000">
            <w:pPr>
              <w:pStyle w:val="cTableHeader"/>
            </w:pPr>
            <w:r>
              <w:t>Best platform characteristics</w:t>
            </w:r>
          </w:p>
        </w:tc>
      </w:tr>
      <w:tr w:rsidR="003323F8" w14:paraId="712E53D3" w14:textId="77777777" w:rsidTr="003323F8">
        <w:tc>
          <w:tcPr>
            <w:tcW w:w="1705" w:type="dxa"/>
          </w:tcPr>
          <w:p w14:paraId="6B0B6BBC" w14:textId="77777777" w:rsidR="003323F8" w:rsidRDefault="00000000">
            <w:pPr>
              <w:pStyle w:val="cTableBody"/>
              <w:spacing w:before="0" w:after="0"/>
            </w:pPr>
            <w:r>
              <w:t>M1. Plume and cloud-base sampling</w:t>
            </w:r>
          </w:p>
        </w:tc>
        <w:tc>
          <w:tcPr>
            <w:tcW w:w="2925" w:type="dxa"/>
          </w:tcPr>
          <w:p w14:paraId="3030F94B" w14:textId="77777777" w:rsidR="003323F8" w:rsidRDefault="00000000">
            <w:pPr>
              <w:pStyle w:val="cTableBody"/>
              <w:spacing w:before="0" w:after="0"/>
            </w:pPr>
            <w:r>
              <w:t>Sea-salt particle number and size; CCN spectrum; hygroscopicity; composition; plume dilution; fraction reaching cloud base; temperature, humidity, winds, turbulence and boundary-layer depth.</w:t>
            </w:r>
          </w:p>
        </w:tc>
        <w:tc>
          <w:tcPr>
            <w:tcW w:w="3131" w:type="dxa"/>
          </w:tcPr>
          <w:p w14:paraId="61D87E99" w14:textId="77777777" w:rsidR="003323F8" w:rsidRDefault="00000000">
            <w:pPr>
              <w:pStyle w:val="cTableBody"/>
              <w:spacing w:before="0" w:after="0"/>
            </w:pPr>
            <w:r>
              <w:t>CPC and fast aerosol sizers; PCASP/UHSAS-class optical sizing; CCN counter; filter/sample chemistry; fast T/RH; 3-D gust probe; GPS/INS; optional lidar.</w:t>
            </w:r>
          </w:p>
        </w:tc>
        <w:tc>
          <w:tcPr>
            <w:tcW w:w="2102" w:type="dxa"/>
          </w:tcPr>
          <w:p w14:paraId="497D90F1" w14:textId="77777777" w:rsidR="003323F8" w:rsidRDefault="00000000">
            <w:pPr>
              <w:pStyle w:val="cTableBody"/>
              <w:spacing w:before="0" w:after="0"/>
            </w:pPr>
            <w:r>
              <w:t>Agile low- to mid-tropospheric aircraft that can repeat cross-plume and stacked legs close to cloud base.</w:t>
            </w:r>
          </w:p>
        </w:tc>
      </w:tr>
      <w:tr w:rsidR="003323F8" w14:paraId="7DE8DF0C" w14:textId="77777777" w:rsidTr="003323F8">
        <w:tc>
          <w:tcPr>
            <w:tcW w:w="1705" w:type="dxa"/>
          </w:tcPr>
          <w:p w14:paraId="1952C389" w14:textId="77777777" w:rsidR="003323F8" w:rsidRDefault="00000000">
            <w:pPr>
              <w:pStyle w:val="cTableBody"/>
              <w:spacing w:before="0" w:after="0"/>
            </w:pPr>
            <w:r>
              <w:t>M2. Primary in-cloud microphysics</w:t>
            </w:r>
          </w:p>
        </w:tc>
        <w:tc>
          <w:tcPr>
            <w:tcW w:w="2925" w:type="dxa"/>
          </w:tcPr>
          <w:p w14:paraId="1724183E" w14:textId="77777777" w:rsidR="003323F8" w:rsidRDefault="00000000">
            <w:pPr>
              <w:pStyle w:val="cTableBody"/>
              <w:spacing w:before="0" w:after="0"/>
            </w:pPr>
            <w:r>
              <w:t>Cloud-droplet number and size; effective radius; spectral width; liquid-water content; drizzle and precipitation; entrainment; vertical velocity; cloud-base activation and any ice where relevant.</w:t>
            </w:r>
          </w:p>
        </w:tc>
        <w:tc>
          <w:tcPr>
            <w:tcW w:w="3131" w:type="dxa"/>
          </w:tcPr>
          <w:p w14:paraId="5EC2C236" w14:textId="77777777" w:rsidR="003323F8" w:rsidRDefault="00000000">
            <w:pPr>
              <w:pStyle w:val="cTableBody"/>
              <w:spacing w:before="0" w:after="0"/>
            </w:pPr>
            <w:r>
              <w:t>Cloud Droplet Probe or equivalent; cloud imaging/precipitation probes; hot-wire LWC; CAPS-class combined cloud probes; fast turbulence and thermodynamic package; aerosol/CCN instruments for below-cloud legs.</w:t>
            </w:r>
          </w:p>
        </w:tc>
        <w:tc>
          <w:tcPr>
            <w:tcW w:w="2102" w:type="dxa"/>
          </w:tcPr>
          <w:p w14:paraId="70A17A97" w14:textId="77777777" w:rsidR="003323F8" w:rsidRDefault="00000000">
            <w:pPr>
              <w:pStyle w:val="cTableBody"/>
              <w:spacing w:before="0" w:after="0"/>
            </w:pPr>
            <w:r>
              <w:t>Cloud-penetrating aircraft with external probe mounts, good low-altitude handling, substantial cabin/power and repeatable flight control.</w:t>
            </w:r>
          </w:p>
        </w:tc>
      </w:tr>
      <w:tr w:rsidR="003323F8" w14:paraId="045A8614" w14:textId="77777777" w:rsidTr="003323F8">
        <w:tc>
          <w:tcPr>
            <w:tcW w:w="1705" w:type="dxa"/>
          </w:tcPr>
          <w:p w14:paraId="69C1DAA6" w14:textId="77777777" w:rsidR="003323F8" w:rsidRDefault="00000000">
            <w:pPr>
              <w:pStyle w:val="cTableBody"/>
              <w:spacing w:before="0" w:after="0"/>
            </w:pPr>
            <w:r>
              <w:t>M3. Above-cloud radiation and remote sensing</w:t>
            </w:r>
          </w:p>
        </w:tc>
        <w:tc>
          <w:tcPr>
            <w:tcW w:w="2925" w:type="dxa"/>
          </w:tcPr>
          <w:p w14:paraId="4CEE05EB" w14:textId="77777777" w:rsidR="003323F8" w:rsidRDefault="00000000">
            <w:pPr>
              <w:pStyle w:val="cTableBody"/>
              <w:spacing w:before="0" w:after="0"/>
            </w:pPr>
            <w:r>
              <w:t>Up/down shortwave and longwave flux; spectral reflectance; cloud-top height; optical depth; cloud fraction; plume/cloud geometry; drizzle structure and aerosol layer height.</w:t>
            </w:r>
          </w:p>
        </w:tc>
        <w:tc>
          <w:tcPr>
            <w:tcW w:w="3131" w:type="dxa"/>
          </w:tcPr>
          <w:p w14:paraId="6265ECA0" w14:textId="77777777" w:rsidR="003323F8" w:rsidRDefault="00000000">
            <w:pPr>
              <w:pStyle w:val="cTableBody"/>
              <w:spacing w:before="0" w:after="0"/>
            </w:pPr>
            <w:r>
              <w:t>Broadband and spectral radiometers; multi-angle polarimeter/imager; HSRL/lidar; W/Ka-band cloud radar where available; microwave radiometer; precision GPS/INS.</w:t>
            </w:r>
          </w:p>
        </w:tc>
        <w:tc>
          <w:tcPr>
            <w:tcW w:w="2102" w:type="dxa"/>
          </w:tcPr>
          <w:p w14:paraId="7B33914F" w14:textId="77777777" w:rsidR="003323F8" w:rsidRDefault="00000000">
            <w:pPr>
              <w:pStyle w:val="cTableBody"/>
              <w:spacing w:before="0" w:after="0"/>
            </w:pPr>
            <w:r>
              <w:t>Higher-altitude aircraft able to remain above the cloud field for hours while the in-situ aircraft samples below.</w:t>
            </w:r>
          </w:p>
        </w:tc>
      </w:tr>
      <w:tr w:rsidR="003323F8" w14:paraId="5FA02A04" w14:textId="77777777" w:rsidTr="003323F8">
        <w:tc>
          <w:tcPr>
            <w:tcW w:w="1705" w:type="dxa"/>
          </w:tcPr>
          <w:p w14:paraId="1FD662D7" w14:textId="77777777" w:rsidR="003323F8" w:rsidRDefault="00000000">
            <w:pPr>
              <w:pStyle w:val="cTableBody"/>
              <w:spacing w:before="0" w:after="0"/>
            </w:pPr>
            <w:r>
              <w:t>M4. Wide-area context and control-region mapping</w:t>
            </w:r>
          </w:p>
        </w:tc>
        <w:tc>
          <w:tcPr>
            <w:tcW w:w="2925" w:type="dxa"/>
          </w:tcPr>
          <w:p w14:paraId="7E9AA712" w14:textId="77777777" w:rsidR="003323F8" w:rsidRDefault="00000000">
            <w:pPr>
              <w:pStyle w:val="cTableBody"/>
              <w:spacing w:before="0" w:after="0"/>
            </w:pPr>
            <w:r>
              <w:t>Mesoscale cloud organization; treated/control cloud fields; precipitation; inversion structure; background aerosol; large-scale winds and humidity; satellite-validation context.</w:t>
            </w:r>
          </w:p>
        </w:tc>
        <w:tc>
          <w:tcPr>
            <w:tcW w:w="3131" w:type="dxa"/>
          </w:tcPr>
          <w:p w14:paraId="0E085CFF" w14:textId="77777777" w:rsidR="003323F8" w:rsidRDefault="00000000">
            <w:pPr>
              <w:pStyle w:val="cTableBody"/>
              <w:spacing w:before="0" w:after="0"/>
            </w:pPr>
            <w:r>
              <w:t>Scanning radar/lidar; imagers; radiometers; dropsondes where useful; aerosol and meteorological suite.</w:t>
            </w:r>
          </w:p>
        </w:tc>
        <w:tc>
          <w:tcPr>
            <w:tcW w:w="2102" w:type="dxa"/>
          </w:tcPr>
          <w:p w14:paraId="71E45510" w14:textId="77777777" w:rsidR="003323F8" w:rsidRDefault="00000000">
            <w:pPr>
              <w:pStyle w:val="cTableBody"/>
              <w:spacing w:before="0" w:after="0"/>
            </w:pPr>
            <w:r>
              <w:t>Long-endurance aircraft with wide-area range, remote-sensing ports and reliable data links.</w:t>
            </w:r>
          </w:p>
        </w:tc>
      </w:tr>
    </w:tbl>
    <w:p w14:paraId="1E78C82D" w14:textId="77777777" w:rsidR="003323F8" w:rsidRDefault="00000000">
      <w:pPr>
        <w:pStyle w:val="Heading2"/>
        <w:spacing w:before="280"/>
      </w:pPr>
      <w:r>
        <w:t>The central MCB causal chain</w:t>
      </w:r>
    </w:p>
    <w:p w14:paraId="1AA42F55" w14:textId="77777777" w:rsidR="003323F8" w:rsidRDefault="00000000">
      <w:pPr>
        <w:spacing w:before="280" w:after="280"/>
      </w:pPr>
      <w:r>
        <w:t>The aircraft program should be designed to close one sequence quantitatively: known source output -&gt; particles surviving and reaching cloud base -&gt; particles activating as cloud droplets -&gt; changes in droplet spectra, liquid water, drizzle and cloud organization -&gt; change in reflected shortwave radiation. A successful experiment should not rely on a bright satellite image alone. It should reconcile source metrology, cloud-base aerosol/CCN, in-cloud microphysics, cloud dynamics and radiation within a stated uncertainty budget.</w:t>
      </w:r>
    </w:p>
    <w:p w14:paraId="27B88036" w14:textId="77777777" w:rsidR="003323F8" w:rsidRDefault="00000000">
      <w:pPr>
        <w:spacing w:before="280" w:after="280"/>
      </w:pPr>
      <w:r>
        <w:t>For a cloud-response campaign, the primary aircraft should repeatedly fly below cloud, at cloud base, within cloud and near cloud top while following approximately the same air mass. A second aircraft should remain primarily above the cloud deck to measure radiation and remote-sensing structure. Drones can profile the plume between the ship and cloud base without forcing the main aircraft to spend all of its time on near-source sampling.</w:t>
      </w:r>
    </w:p>
    <w:p w14:paraId="6C1B5129" w14:textId="77777777" w:rsidR="003323F8" w:rsidRDefault="00000000">
      <w:pPr>
        <w:pStyle w:val="Heading2"/>
        <w:spacing w:before="280"/>
      </w:pPr>
      <w:r>
        <w:t>Illustrative current research-aircraft operators</w:t>
      </w:r>
    </w:p>
    <w:tbl>
      <w:tblPr>
        <w:tblStyle w:val="gswTableStyle"/>
        <w:tblW w:w="10846" w:type="dxa"/>
        <w:tblLayout w:type="fixed"/>
        <w:tblLook w:val="04A0" w:firstRow="1" w:lastRow="0" w:firstColumn="1" w:lastColumn="0" w:noHBand="0" w:noVBand="1"/>
      </w:tblPr>
      <w:tblGrid>
        <w:gridCol w:w="2031"/>
        <w:gridCol w:w="3664"/>
        <w:gridCol w:w="2880"/>
        <w:gridCol w:w="2271"/>
      </w:tblGrid>
      <w:tr w:rsidR="003323F8" w14:paraId="7A03FFBC" w14:textId="77777777" w:rsidTr="007A7972">
        <w:trPr>
          <w:cnfStyle w:val="100000000000" w:firstRow="1" w:lastRow="0" w:firstColumn="0" w:lastColumn="0" w:oddVBand="0" w:evenVBand="0" w:oddHBand="0" w:evenHBand="0" w:firstRowFirstColumn="0" w:firstRowLastColumn="0" w:lastRowFirstColumn="0" w:lastRowLastColumn="0"/>
          <w:tblHeader/>
        </w:trPr>
        <w:tc>
          <w:tcPr>
            <w:tcW w:w="2031" w:type="dxa"/>
          </w:tcPr>
          <w:p w14:paraId="6F057EEA" w14:textId="77777777" w:rsidR="003323F8" w:rsidRDefault="00000000">
            <w:pPr>
              <w:pStyle w:val="cTableHeader"/>
            </w:pPr>
            <w:r>
              <w:t>Aircraft / operator</w:t>
            </w:r>
          </w:p>
        </w:tc>
        <w:tc>
          <w:tcPr>
            <w:tcW w:w="3664" w:type="dxa"/>
          </w:tcPr>
          <w:p w14:paraId="40E2BBF0" w14:textId="77777777" w:rsidR="003323F8" w:rsidRDefault="00000000">
            <w:pPr>
              <w:pStyle w:val="cTableHeader"/>
            </w:pPr>
            <w:r>
              <w:t>Illustrative capability</w:t>
            </w:r>
          </w:p>
        </w:tc>
        <w:tc>
          <w:tcPr>
            <w:tcW w:w="2880" w:type="dxa"/>
          </w:tcPr>
          <w:p w14:paraId="5550B370" w14:textId="77777777" w:rsidR="003323F8" w:rsidRDefault="00000000">
            <w:pPr>
              <w:pStyle w:val="cTableHeader"/>
            </w:pPr>
            <w:r>
              <w:t>Best MCB role</w:t>
            </w:r>
          </w:p>
        </w:tc>
        <w:tc>
          <w:tcPr>
            <w:tcW w:w="2271" w:type="dxa"/>
          </w:tcPr>
          <w:p w14:paraId="1400B3F2" w14:textId="77777777" w:rsidR="003323F8" w:rsidRDefault="00000000">
            <w:pPr>
              <w:pStyle w:val="cTableHeader"/>
            </w:pPr>
            <w:r>
              <w:t>Comment</w:t>
            </w:r>
          </w:p>
        </w:tc>
      </w:tr>
      <w:tr w:rsidR="003323F8" w14:paraId="25089BFA" w14:textId="77777777" w:rsidTr="007A7972">
        <w:tc>
          <w:tcPr>
            <w:tcW w:w="2031" w:type="dxa"/>
          </w:tcPr>
          <w:p w14:paraId="0676D1AD" w14:textId="77777777" w:rsidR="003323F8" w:rsidRDefault="00000000">
            <w:pPr>
              <w:pStyle w:val="cTableBody"/>
              <w:spacing w:before="0" w:after="0"/>
            </w:pPr>
            <w:r>
              <w:t>NSF/NCAR C-130</w:t>
            </w:r>
          </w:p>
        </w:tc>
        <w:tc>
          <w:tcPr>
            <w:tcW w:w="3664" w:type="dxa"/>
          </w:tcPr>
          <w:p w14:paraId="17568F6D" w14:textId="014FBAD2" w:rsidR="003323F8" w:rsidRDefault="00000000">
            <w:pPr>
              <w:pStyle w:val="cTableBody"/>
              <w:spacing w:before="0" w:after="0"/>
            </w:pPr>
            <w:r>
              <w:t xml:space="preserve">Middle/lower troposphere; typical research configuration about 13,000 </w:t>
            </w:r>
            <w:proofErr w:type="spellStart"/>
            <w:r>
              <w:t>lb</w:t>
            </w:r>
            <w:proofErr w:type="spellEnd"/>
            <w:r>
              <w:t xml:space="preserve"> payload and </w:t>
            </w:r>
            <w:r w:rsidR="007A7972">
              <w:t>8-to-9-hour</w:t>
            </w:r>
            <w:r>
              <w:t xml:space="preserve"> endurance.</w:t>
            </w:r>
          </w:p>
        </w:tc>
        <w:tc>
          <w:tcPr>
            <w:tcW w:w="2880" w:type="dxa"/>
          </w:tcPr>
          <w:p w14:paraId="6EC8F733" w14:textId="77777777" w:rsidR="003323F8" w:rsidRDefault="00000000">
            <w:pPr>
              <w:pStyle w:val="cTableBody"/>
              <w:spacing w:before="0" w:after="0"/>
            </w:pPr>
            <w:r>
              <w:t>Primary heavily instrumented in-cloud aircraft; cloud microphysics, turbulence, aerosol and precipitation.</w:t>
            </w:r>
          </w:p>
        </w:tc>
        <w:tc>
          <w:tcPr>
            <w:tcW w:w="2271" w:type="dxa"/>
          </w:tcPr>
          <w:p w14:paraId="2EC05EFB" w14:textId="77777777" w:rsidR="003323F8" w:rsidRDefault="00000000">
            <w:pPr>
              <w:pStyle w:val="cTableBody"/>
              <w:spacing w:before="0" w:after="0"/>
            </w:pPr>
            <w:r>
              <w:t>Strong choice for the largest multi-instrument campaigns.</w:t>
            </w:r>
          </w:p>
        </w:tc>
      </w:tr>
      <w:tr w:rsidR="003323F8" w14:paraId="442229DF" w14:textId="77777777" w:rsidTr="007A7972">
        <w:tc>
          <w:tcPr>
            <w:tcW w:w="2031" w:type="dxa"/>
          </w:tcPr>
          <w:p w14:paraId="565482A9" w14:textId="77777777" w:rsidR="003323F8" w:rsidRDefault="00000000">
            <w:pPr>
              <w:pStyle w:val="cTableBody"/>
              <w:spacing w:before="0" w:after="0"/>
            </w:pPr>
            <w:r>
              <w:t>NSF / University of Wyoming King Air 350i</w:t>
            </w:r>
          </w:p>
        </w:tc>
        <w:tc>
          <w:tcPr>
            <w:tcW w:w="3664" w:type="dxa"/>
          </w:tcPr>
          <w:p w14:paraId="03257A1F" w14:textId="330FCDE6" w:rsidR="003323F8" w:rsidRDefault="00000000">
            <w:pPr>
              <w:pStyle w:val="cTableBody"/>
              <w:spacing w:before="0" w:after="0"/>
            </w:pPr>
            <w:r>
              <w:t xml:space="preserve">About </w:t>
            </w:r>
            <w:r w:rsidR="007A7972">
              <w:t>3-to-5-hour</w:t>
            </w:r>
            <w:r>
              <w:t xml:space="preserve"> endurance, 2,100 nmi range, 33,000-35,000 ft ceiling and up to about 2,970 </w:t>
            </w:r>
            <w:r w:rsidR="007A7972">
              <w:t>lbs.</w:t>
            </w:r>
            <w:r>
              <w:t xml:space="preserve"> payload.</w:t>
            </w:r>
          </w:p>
        </w:tc>
        <w:tc>
          <w:tcPr>
            <w:tcW w:w="2880" w:type="dxa"/>
          </w:tcPr>
          <w:p w14:paraId="4FCA99E1" w14:textId="77777777" w:rsidR="003323F8" w:rsidRDefault="00000000">
            <w:pPr>
              <w:pStyle w:val="cTableBody"/>
              <w:spacing w:before="0" w:after="0"/>
            </w:pPr>
            <w:r>
              <w:t>Agile primary or plume/cloud-base aircraft; cloud microphysics and radar/lidar work.</w:t>
            </w:r>
          </w:p>
        </w:tc>
        <w:tc>
          <w:tcPr>
            <w:tcW w:w="2271" w:type="dxa"/>
          </w:tcPr>
          <w:p w14:paraId="2A7E236F" w14:textId="77777777" w:rsidR="003323F8" w:rsidRDefault="00000000">
            <w:pPr>
              <w:pStyle w:val="cTableBody"/>
              <w:spacing w:before="0" w:after="0"/>
            </w:pPr>
            <w:r>
              <w:t>Attractive when a smaller, lower-cost aircraft can carry the required payload.</w:t>
            </w:r>
          </w:p>
        </w:tc>
      </w:tr>
      <w:tr w:rsidR="003323F8" w14:paraId="5BE22C61" w14:textId="77777777" w:rsidTr="007A7972">
        <w:tc>
          <w:tcPr>
            <w:tcW w:w="2031" w:type="dxa"/>
          </w:tcPr>
          <w:p w14:paraId="6DAD33F7" w14:textId="3F96F157" w:rsidR="003323F8" w:rsidRDefault="00000000">
            <w:pPr>
              <w:pStyle w:val="cTableBody"/>
              <w:spacing w:before="0" w:after="0"/>
            </w:pPr>
            <w:r>
              <w:t xml:space="preserve">NSF/NCAR </w:t>
            </w:r>
            <w:r w:rsidR="007A7972">
              <w:br/>
            </w:r>
            <w:r>
              <w:t>HIAPER Gulfstream V</w:t>
            </w:r>
          </w:p>
        </w:tc>
        <w:tc>
          <w:tcPr>
            <w:tcW w:w="3664" w:type="dxa"/>
          </w:tcPr>
          <w:p w14:paraId="28AF7069" w14:textId="77777777" w:rsidR="003323F8" w:rsidRDefault="00000000">
            <w:pPr>
              <w:pStyle w:val="cTableBody"/>
              <w:spacing w:before="0" w:after="0"/>
            </w:pPr>
            <w:r>
              <w:t xml:space="preserve">About </w:t>
            </w:r>
            <w:proofErr w:type="gramStart"/>
            <w:r>
              <w:t>10 hour</w:t>
            </w:r>
            <w:proofErr w:type="gramEnd"/>
            <w:r>
              <w:t xml:space="preserve"> endurance, 5,000 nmi range, 5,600 </w:t>
            </w:r>
            <w:proofErr w:type="spellStart"/>
            <w:r>
              <w:t>lb</w:t>
            </w:r>
            <w:proofErr w:type="spellEnd"/>
            <w:r>
              <w:t xml:space="preserve"> payload and altitude above 45,000 ft; optical ports and external mounts.</w:t>
            </w:r>
          </w:p>
        </w:tc>
        <w:tc>
          <w:tcPr>
            <w:tcW w:w="2880" w:type="dxa"/>
          </w:tcPr>
          <w:p w14:paraId="6D78325A" w14:textId="77777777" w:rsidR="003323F8" w:rsidRDefault="00000000">
            <w:pPr>
              <w:pStyle w:val="cTableBody"/>
              <w:spacing w:before="0" w:after="0"/>
            </w:pPr>
            <w:r>
              <w:t>Above-cloud remote sensing, radiative closure, wider-area context and satellite underflights.</w:t>
            </w:r>
          </w:p>
        </w:tc>
        <w:tc>
          <w:tcPr>
            <w:tcW w:w="2271" w:type="dxa"/>
          </w:tcPr>
          <w:p w14:paraId="3730881A" w14:textId="77777777" w:rsidR="003323F8" w:rsidRDefault="00000000">
            <w:pPr>
              <w:pStyle w:val="cTableBody"/>
              <w:spacing w:before="0" w:after="0"/>
            </w:pPr>
            <w:r>
              <w:t>Better as aircraft #2 than as the default low-cloud penetration aircraft.</w:t>
            </w:r>
          </w:p>
        </w:tc>
      </w:tr>
      <w:tr w:rsidR="003323F8" w14:paraId="7A5BB54C" w14:textId="77777777" w:rsidTr="007A7972">
        <w:tc>
          <w:tcPr>
            <w:tcW w:w="2031" w:type="dxa"/>
          </w:tcPr>
          <w:p w14:paraId="0ECD6467" w14:textId="291C5934" w:rsidR="003323F8" w:rsidRDefault="00000000">
            <w:pPr>
              <w:pStyle w:val="cTableBody"/>
              <w:spacing w:before="0" w:after="0"/>
            </w:pPr>
            <w:r>
              <w:t xml:space="preserve">NOAA </w:t>
            </w:r>
            <w:r w:rsidR="007A7972">
              <w:br/>
            </w:r>
            <w:r>
              <w:t>WP-3D Orion</w:t>
            </w:r>
          </w:p>
        </w:tc>
        <w:tc>
          <w:tcPr>
            <w:tcW w:w="3664" w:type="dxa"/>
          </w:tcPr>
          <w:p w14:paraId="78916AC1" w14:textId="77777777" w:rsidR="003323F8" w:rsidRDefault="00000000">
            <w:pPr>
              <w:pStyle w:val="cTableBody"/>
              <w:spacing w:before="0" w:after="0"/>
            </w:pPr>
            <w:r>
              <w:t>Long-duration aircraft designed for severe-weather and atmospheric research, with Doppler/weather radar and dropsonde capability.</w:t>
            </w:r>
          </w:p>
        </w:tc>
        <w:tc>
          <w:tcPr>
            <w:tcW w:w="2880" w:type="dxa"/>
          </w:tcPr>
          <w:p w14:paraId="7DB955D0" w14:textId="77777777" w:rsidR="003323F8" w:rsidRDefault="00000000">
            <w:pPr>
              <w:pStyle w:val="cTableBody"/>
              <w:spacing w:before="0" w:after="0"/>
            </w:pPr>
            <w:r>
              <w:t>Mesoscale organization, precipitation, storm/cloud structure and large campaigns.</w:t>
            </w:r>
          </w:p>
        </w:tc>
        <w:tc>
          <w:tcPr>
            <w:tcW w:w="2271" w:type="dxa"/>
          </w:tcPr>
          <w:p w14:paraId="4A1DF563" w14:textId="77777777" w:rsidR="003323F8" w:rsidRDefault="00000000">
            <w:pPr>
              <w:pStyle w:val="cTableBody"/>
              <w:spacing w:before="0" w:after="0"/>
            </w:pPr>
            <w:r>
              <w:t>Especially useful when precipitation and organized weather are central.</w:t>
            </w:r>
          </w:p>
        </w:tc>
      </w:tr>
      <w:tr w:rsidR="003323F8" w14:paraId="72AA3A81" w14:textId="77777777" w:rsidTr="007A7972">
        <w:tc>
          <w:tcPr>
            <w:tcW w:w="2031" w:type="dxa"/>
          </w:tcPr>
          <w:p w14:paraId="2B4718C0" w14:textId="04075A35" w:rsidR="003323F8" w:rsidRDefault="00000000">
            <w:pPr>
              <w:pStyle w:val="cTableBody"/>
              <w:spacing w:before="0" w:after="0"/>
            </w:pPr>
            <w:r>
              <w:t xml:space="preserve">NOAA </w:t>
            </w:r>
            <w:r w:rsidR="007A7972">
              <w:br/>
            </w:r>
            <w:r>
              <w:t>Gulfstream IV-SP</w:t>
            </w:r>
          </w:p>
        </w:tc>
        <w:tc>
          <w:tcPr>
            <w:tcW w:w="3664" w:type="dxa"/>
          </w:tcPr>
          <w:p w14:paraId="618D4634" w14:textId="77777777" w:rsidR="003323F8" w:rsidRDefault="00000000">
            <w:pPr>
              <w:pStyle w:val="cTableBody"/>
              <w:spacing w:before="0" w:after="0"/>
            </w:pPr>
            <w:r>
              <w:t>High, fast, long-range platform; NOAA describes approximately 45,000 ft cruise altitude and 4,000 nmi range.</w:t>
            </w:r>
          </w:p>
        </w:tc>
        <w:tc>
          <w:tcPr>
            <w:tcW w:w="2880" w:type="dxa"/>
          </w:tcPr>
          <w:p w14:paraId="03CB2B89" w14:textId="77777777" w:rsidR="003323F8" w:rsidRDefault="00000000">
            <w:pPr>
              <w:pStyle w:val="cTableBody"/>
              <w:spacing w:before="0" w:after="0"/>
            </w:pPr>
            <w:r>
              <w:t>Wide-area meteorological context, dropsondes and remote sensing around cloud fields.</w:t>
            </w:r>
          </w:p>
        </w:tc>
        <w:tc>
          <w:tcPr>
            <w:tcW w:w="2271" w:type="dxa"/>
          </w:tcPr>
          <w:p w14:paraId="2451D6CD" w14:textId="77777777" w:rsidR="003323F8" w:rsidRDefault="00000000">
            <w:pPr>
              <w:pStyle w:val="cTableBody"/>
              <w:spacing w:before="0" w:after="0"/>
            </w:pPr>
            <w:r>
              <w:t>Less suited than C-130/King Air for routine in-cloud microphysics.</w:t>
            </w:r>
          </w:p>
        </w:tc>
      </w:tr>
      <w:tr w:rsidR="003323F8" w14:paraId="3571517F" w14:textId="77777777" w:rsidTr="007A7972">
        <w:tc>
          <w:tcPr>
            <w:tcW w:w="2031" w:type="dxa"/>
          </w:tcPr>
          <w:p w14:paraId="0793645F" w14:textId="74745BF1" w:rsidR="003323F8" w:rsidRDefault="00000000">
            <w:pPr>
              <w:pStyle w:val="cTableBody"/>
              <w:spacing w:before="0" w:after="0"/>
            </w:pPr>
            <w:r>
              <w:t xml:space="preserve">SAFIRE </w:t>
            </w:r>
            <w:r w:rsidR="007A7972">
              <w:br/>
            </w:r>
            <w:r>
              <w:t xml:space="preserve">ATR42 </w:t>
            </w:r>
            <w:r w:rsidR="007A7972">
              <w:br/>
            </w:r>
            <w:r>
              <w:t>(France)</w:t>
            </w:r>
          </w:p>
        </w:tc>
        <w:tc>
          <w:tcPr>
            <w:tcW w:w="3664" w:type="dxa"/>
          </w:tcPr>
          <w:p w14:paraId="3C7E4D94" w14:textId="77777777" w:rsidR="003323F8" w:rsidRDefault="00000000">
            <w:pPr>
              <w:pStyle w:val="cTableBody"/>
              <w:spacing w:before="0" w:after="0"/>
            </w:pPr>
            <w:r>
              <w:t>Medium-troposphere research aircraft for chemistry, aerosol/cloud microphysics, remote sensing and turbulence; facility reports up to 9 scientists and about 2 tonnes of instruments.</w:t>
            </w:r>
          </w:p>
        </w:tc>
        <w:tc>
          <w:tcPr>
            <w:tcW w:w="2880" w:type="dxa"/>
          </w:tcPr>
          <w:p w14:paraId="54730207" w14:textId="77777777" w:rsidR="003323F8" w:rsidRDefault="00000000">
            <w:pPr>
              <w:pStyle w:val="cTableBody"/>
              <w:spacing w:before="0" w:after="0"/>
            </w:pPr>
            <w:r>
              <w:t>International alternative for in-situ cloud and aerosol campaigns.</w:t>
            </w:r>
          </w:p>
        </w:tc>
        <w:tc>
          <w:tcPr>
            <w:tcW w:w="2271" w:type="dxa"/>
          </w:tcPr>
          <w:p w14:paraId="5B21A986" w14:textId="77777777" w:rsidR="003323F8" w:rsidRDefault="00000000">
            <w:pPr>
              <w:pStyle w:val="cTableBody"/>
              <w:spacing w:before="0" w:after="0"/>
            </w:pPr>
            <w:r>
              <w:t>Useful for European/international replication and cross-platform comparison.</w:t>
            </w:r>
          </w:p>
        </w:tc>
      </w:tr>
    </w:tbl>
    <w:p w14:paraId="57504A7B" w14:textId="77777777" w:rsidR="003323F8" w:rsidRDefault="00000000">
      <w:pPr>
        <w:spacing w:before="280" w:after="280"/>
      </w:pPr>
      <w:r>
        <w:t>These organizations are research user facilities or government operators, not ordinary aircraft-rental suppliers. Access usually requires a scientific proposal, reimbursable agreement, cooperative arrangement or campaign task order. Availability, airworthiness and instrument compatibility should be verified for each campaign.</w:t>
      </w:r>
    </w:p>
    <w:p w14:paraId="3E462641" w14:textId="77777777" w:rsidR="003323F8" w:rsidRDefault="00000000">
      <w:pPr>
        <w:pStyle w:val="Heading2"/>
        <w:spacing w:before="280"/>
      </w:pPr>
      <w:r>
        <w:t>Airborne instrument suppliers and facility capabilities</w:t>
      </w:r>
    </w:p>
    <w:tbl>
      <w:tblPr>
        <w:tblStyle w:val="gswTableStyle"/>
        <w:tblW w:w="9864" w:type="dxa"/>
        <w:tblLayout w:type="fixed"/>
        <w:tblLook w:val="04A0" w:firstRow="1" w:lastRow="0" w:firstColumn="1" w:lastColumn="0" w:noHBand="0" w:noVBand="1"/>
      </w:tblPr>
      <w:tblGrid>
        <w:gridCol w:w="2177"/>
        <w:gridCol w:w="4306"/>
        <w:gridCol w:w="3381"/>
      </w:tblGrid>
      <w:tr w:rsidR="003323F8" w14:paraId="5CA8FC10" w14:textId="77777777" w:rsidTr="00260095">
        <w:trPr>
          <w:cnfStyle w:val="100000000000" w:firstRow="1" w:lastRow="0" w:firstColumn="0" w:lastColumn="0" w:oddVBand="0" w:evenVBand="0" w:oddHBand="0" w:evenHBand="0" w:firstRowFirstColumn="0" w:firstRowLastColumn="0" w:lastRowFirstColumn="0" w:lastRowLastColumn="0"/>
          <w:tblHeader/>
        </w:trPr>
        <w:tc>
          <w:tcPr>
            <w:tcW w:w="2177" w:type="dxa"/>
          </w:tcPr>
          <w:p w14:paraId="24364FBA" w14:textId="77777777" w:rsidR="003323F8" w:rsidRDefault="00000000">
            <w:pPr>
              <w:pStyle w:val="cTableHeader"/>
            </w:pPr>
            <w:r>
              <w:t>Measurement</w:t>
            </w:r>
          </w:p>
        </w:tc>
        <w:tc>
          <w:tcPr>
            <w:tcW w:w="4306" w:type="dxa"/>
          </w:tcPr>
          <w:p w14:paraId="529D4A51" w14:textId="77777777" w:rsidR="003323F8" w:rsidRDefault="00000000">
            <w:pPr>
              <w:pStyle w:val="cTableHeader"/>
            </w:pPr>
            <w:r>
              <w:t>Illustrative instrument families / suppliers</w:t>
            </w:r>
          </w:p>
        </w:tc>
        <w:tc>
          <w:tcPr>
            <w:tcW w:w="3381" w:type="dxa"/>
          </w:tcPr>
          <w:p w14:paraId="7738E4A8" w14:textId="77777777" w:rsidR="003323F8" w:rsidRDefault="00000000">
            <w:pPr>
              <w:pStyle w:val="cTableHeader"/>
            </w:pPr>
            <w:r>
              <w:t>MCB use</w:t>
            </w:r>
          </w:p>
        </w:tc>
      </w:tr>
      <w:tr w:rsidR="003323F8" w14:paraId="688C08A0" w14:textId="77777777" w:rsidTr="00260095">
        <w:tc>
          <w:tcPr>
            <w:tcW w:w="2177" w:type="dxa"/>
          </w:tcPr>
          <w:p w14:paraId="59DAD58A" w14:textId="77777777" w:rsidR="003323F8" w:rsidRDefault="00000000">
            <w:pPr>
              <w:pStyle w:val="cTableBody"/>
              <w:spacing w:before="0" w:after="0"/>
            </w:pPr>
            <w:r>
              <w:t>Aerosol number and size</w:t>
            </w:r>
          </w:p>
        </w:tc>
        <w:tc>
          <w:tcPr>
            <w:tcW w:w="4306" w:type="dxa"/>
          </w:tcPr>
          <w:p w14:paraId="3B3F0645" w14:textId="77777777" w:rsidR="003323F8" w:rsidRDefault="00000000">
            <w:pPr>
              <w:pStyle w:val="cTableBody"/>
              <w:spacing w:before="0" w:after="0"/>
            </w:pPr>
            <w:r>
              <w:t>TSI CPC/SMPS families; Droplet Measurement Technologies PCASP and related optical probes; facility fast aerosol instruments.</w:t>
            </w:r>
          </w:p>
        </w:tc>
        <w:tc>
          <w:tcPr>
            <w:tcW w:w="3381" w:type="dxa"/>
          </w:tcPr>
          <w:p w14:paraId="7BE0578F" w14:textId="77777777" w:rsidR="003323F8" w:rsidRDefault="00000000">
            <w:pPr>
              <w:pStyle w:val="cTableBody"/>
              <w:spacing w:before="0" w:after="0"/>
            </w:pPr>
            <w:r>
              <w:t>Quantify emitted and surviving particle distributions from nanometre to micrometre sizes.</w:t>
            </w:r>
          </w:p>
        </w:tc>
      </w:tr>
      <w:tr w:rsidR="003323F8" w14:paraId="045094F5" w14:textId="77777777" w:rsidTr="00260095">
        <w:tc>
          <w:tcPr>
            <w:tcW w:w="2177" w:type="dxa"/>
          </w:tcPr>
          <w:p w14:paraId="5F33CFBE" w14:textId="77777777" w:rsidR="003323F8" w:rsidRDefault="00000000">
            <w:pPr>
              <w:pStyle w:val="cTableBody"/>
              <w:spacing w:before="0" w:after="0"/>
            </w:pPr>
            <w:r>
              <w:t>Cloud condensation nuclei</w:t>
            </w:r>
          </w:p>
        </w:tc>
        <w:tc>
          <w:tcPr>
            <w:tcW w:w="4306" w:type="dxa"/>
          </w:tcPr>
          <w:p w14:paraId="61B5A242" w14:textId="77777777" w:rsidR="003323F8" w:rsidRDefault="00000000">
            <w:pPr>
              <w:pStyle w:val="cTableBody"/>
              <w:spacing w:before="0" w:after="0"/>
            </w:pPr>
            <w:r>
              <w:t>Droplet Measurement Technologies CCN-100/200 or equivalent research CCN systems.</w:t>
            </w:r>
          </w:p>
        </w:tc>
        <w:tc>
          <w:tcPr>
            <w:tcW w:w="3381" w:type="dxa"/>
          </w:tcPr>
          <w:p w14:paraId="101EAFF2" w14:textId="77777777" w:rsidR="003323F8" w:rsidRDefault="00000000">
            <w:pPr>
              <w:pStyle w:val="cTableBody"/>
              <w:spacing w:before="0" w:after="0"/>
            </w:pPr>
            <w:r>
              <w:t>Measure which added/background particles activate at relevant supersaturations.</w:t>
            </w:r>
          </w:p>
        </w:tc>
      </w:tr>
      <w:tr w:rsidR="003323F8" w14:paraId="12DA255F" w14:textId="77777777" w:rsidTr="00260095">
        <w:tc>
          <w:tcPr>
            <w:tcW w:w="2177" w:type="dxa"/>
          </w:tcPr>
          <w:p w14:paraId="226F3DC4" w14:textId="77777777" w:rsidR="003323F8" w:rsidRDefault="00000000">
            <w:pPr>
              <w:pStyle w:val="cTableBody"/>
              <w:spacing w:before="0" w:after="0"/>
            </w:pPr>
            <w:r>
              <w:t>Cloud droplets, drizzle and liquid water</w:t>
            </w:r>
          </w:p>
        </w:tc>
        <w:tc>
          <w:tcPr>
            <w:tcW w:w="4306" w:type="dxa"/>
          </w:tcPr>
          <w:p w14:paraId="20A15BFA" w14:textId="77777777" w:rsidR="003323F8" w:rsidRDefault="00000000">
            <w:pPr>
              <w:pStyle w:val="cTableBody"/>
              <w:spacing w:before="0" w:after="0"/>
            </w:pPr>
            <w:r>
              <w:t xml:space="preserve">Droplet Measurement Technologies CDP, CIP/CAPS-class probes and hot-wire LWC; SPEC and research-facility </w:t>
            </w:r>
            <w:proofErr w:type="gramStart"/>
            <w:r>
              <w:t>probes</w:t>
            </w:r>
            <w:proofErr w:type="gramEnd"/>
            <w:r>
              <w:t xml:space="preserve"> where appropriate.</w:t>
            </w:r>
          </w:p>
        </w:tc>
        <w:tc>
          <w:tcPr>
            <w:tcW w:w="3381" w:type="dxa"/>
          </w:tcPr>
          <w:p w14:paraId="69523C24" w14:textId="77777777" w:rsidR="003323F8" w:rsidRDefault="00000000">
            <w:pPr>
              <w:pStyle w:val="cTableBody"/>
              <w:spacing w:before="0" w:after="0"/>
            </w:pPr>
            <w:r>
              <w:t>Measure droplet number, size, effective radius, precipitation development and liquid water.</w:t>
            </w:r>
          </w:p>
        </w:tc>
      </w:tr>
      <w:tr w:rsidR="003323F8" w14:paraId="3D64BECF" w14:textId="77777777" w:rsidTr="00260095">
        <w:tc>
          <w:tcPr>
            <w:tcW w:w="2177" w:type="dxa"/>
          </w:tcPr>
          <w:p w14:paraId="55D85D64" w14:textId="77777777" w:rsidR="003323F8" w:rsidRDefault="00000000">
            <w:pPr>
              <w:pStyle w:val="cTableBody"/>
              <w:spacing w:before="0" w:after="0"/>
            </w:pPr>
            <w:r>
              <w:t>Aerosol composition</w:t>
            </w:r>
          </w:p>
        </w:tc>
        <w:tc>
          <w:tcPr>
            <w:tcW w:w="4306" w:type="dxa"/>
          </w:tcPr>
          <w:p w14:paraId="6883A1CA" w14:textId="77777777" w:rsidR="003323F8" w:rsidRDefault="00000000">
            <w:pPr>
              <w:pStyle w:val="cTableBody"/>
              <w:spacing w:before="0" w:after="0"/>
            </w:pPr>
            <w:r>
              <w:t>Aerodyne AMS family for non-refractory aerosol plus filters/single-particle or elemental methods for sea-salt-specific Na/Cl and refractory material.</w:t>
            </w:r>
          </w:p>
        </w:tc>
        <w:tc>
          <w:tcPr>
            <w:tcW w:w="3381" w:type="dxa"/>
          </w:tcPr>
          <w:p w14:paraId="1CE2A1C5" w14:textId="77777777" w:rsidR="003323F8" w:rsidRDefault="00000000">
            <w:pPr>
              <w:pStyle w:val="cTableBody"/>
              <w:spacing w:before="0" w:after="0"/>
            </w:pPr>
            <w:r>
              <w:t>Separate injected sea salt from background aerosol and characterize organics/contaminants.</w:t>
            </w:r>
          </w:p>
        </w:tc>
      </w:tr>
      <w:tr w:rsidR="003323F8" w14:paraId="1B2DC8DA" w14:textId="77777777" w:rsidTr="00260095">
        <w:tc>
          <w:tcPr>
            <w:tcW w:w="2177" w:type="dxa"/>
          </w:tcPr>
          <w:p w14:paraId="5CF8E689" w14:textId="77777777" w:rsidR="003323F8" w:rsidRDefault="00000000">
            <w:pPr>
              <w:pStyle w:val="cTableBody"/>
              <w:spacing w:before="0" w:after="0"/>
            </w:pPr>
            <w:r>
              <w:t>Cloud/aerosol vertical structure</w:t>
            </w:r>
          </w:p>
        </w:tc>
        <w:tc>
          <w:tcPr>
            <w:tcW w:w="4306" w:type="dxa"/>
          </w:tcPr>
          <w:p w14:paraId="53B0FFB8" w14:textId="77777777" w:rsidR="003323F8" w:rsidRDefault="00000000">
            <w:pPr>
              <w:pStyle w:val="cTableBody"/>
              <w:spacing w:before="0" w:after="0"/>
            </w:pPr>
            <w:r>
              <w:t>NCAR, Wyoming, NOAA, NASA, DOE ARM and university HSRL/lidar and cloud-radar systems.</w:t>
            </w:r>
          </w:p>
        </w:tc>
        <w:tc>
          <w:tcPr>
            <w:tcW w:w="3381" w:type="dxa"/>
          </w:tcPr>
          <w:p w14:paraId="484F098A" w14:textId="77777777" w:rsidR="003323F8" w:rsidRDefault="00000000">
            <w:pPr>
              <w:pStyle w:val="cTableBody"/>
              <w:spacing w:before="0" w:after="0"/>
            </w:pPr>
            <w:r>
              <w:t>Map cloud top/base, plume height, drizzle and remote-sensing context.</w:t>
            </w:r>
          </w:p>
        </w:tc>
      </w:tr>
      <w:tr w:rsidR="003323F8" w14:paraId="45428FB0" w14:textId="77777777" w:rsidTr="00260095">
        <w:tc>
          <w:tcPr>
            <w:tcW w:w="2177" w:type="dxa"/>
          </w:tcPr>
          <w:p w14:paraId="467F253E" w14:textId="77777777" w:rsidR="003323F8" w:rsidRDefault="00000000">
            <w:pPr>
              <w:pStyle w:val="cTableBody"/>
              <w:spacing w:before="0" w:after="0"/>
            </w:pPr>
            <w:r>
              <w:t>Radiation</w:t>
            </w:r>
          </w:p>
        </w:tc>
        <w:tc>
          <w:tcPr>
            <w:tcW w:w="4306" w:type="dxa"/>
          </w:tcPr>
          <w:p w14:paraId="16C49165" w14:textId="77777777" w:rsidR="003323F8" w:rsidRDefault="00000000">
            <w:pPr>
              <w:pStyle w:val="cTableBody"/>
              <w:spacing w:before="0" w:after="0"/>
            </w:pPr>
            <w:r>
              <w:t>Broadband SW/LW and spectral radiometers, polarimeters and calibrated imaging systems from facility/institutional teams.</w:t>
            </w:r>
          </w:p>
        </w:tc>
        <w:tc>
          <w:tcPr>
            <w:tcW w:w="3381" w:type="dxa"/>
          </w:tcPr>
          <w:p w14:paraId="0E0A8951" w14:textId="77777777" w:rsidR="003323F8" w:rsidRDefault="00000000">
            <w:pPr>
              <w:pStyle w:val="cTableBody"/>
              <w:spacing w:before="0" w:after="0"/>
            </w:pPr>
            <w:r>
              <w:t>Measure the actual radiative response rather than inferring it only from droplet changes.</w:t>
            </w:r>
          </w:p>
        </w:tc>
      </w:tr>
    </w:tbl>
    <w:p w14:paraId="258F33AC" w14:textId="77777777" w:rsidR="003323F8" w:rsidRDefault="00000000">
      <w:pPr>
        <w:spacing w:before="280" w:after="280"/>
      </w:pPr>
      <w:r>
        <w:t>A standard Aerodyne AMS is primarily a non-refractory aerosol composition instrument, so it should not be the only instrument used to quantify injected sea salt. The MCB program should explicitly include sodium/chloride or other sea-salt-specific measurements and characterize inlet transmission so that large hygroscopic or coarse particles are not silently lost before measurement.</w:t>
      </w:r>
    </w:p>
    <w:p w14:paraId="01BE1412" w14:textId="77777777" w:rsidR="003323F8" w:rsidRDefault="00000000">
      <w:pPr>
        <w:pStyle w:val="Heading2"/>
        <w:spacing w:before="280"/>
      </w:pPr>
      <w:r>
        <w:t>What should be developed</w:t>
      </w:r>
    </w:p>
    <w:p w14:paraId="7414AE0F" w14:textId="77777777" w:rsidR="003323F8" w:rsidRDefault="00000000">
      <w:pPr>
        <w:spacing w:before="280" w:after="280"/>
        <w:ind w:left="360" w:hanging="360"/>
      </w:pPr>
      <w:r>
        <w:t>•</w:t>
      </w:r>
      <w:r>
        <w:tab/>
        <w:t>A modular MCB aerosol/cloud payload with standardized racks, power, cooling, timing, telemetry and data interfaces that can migrate among qualified aircraft.</w:t>
      </w:r>
    </w:p>
    <w:p w14:paraId="58666624" w14:textId="77777777" w:rsidR="003323F8" w:rsidRDefault="00000000">
      <w:pPr>
        <w:spacing w:before="280" w:after="280"/>
        <w:ind w:left="360" w:hanging="360"/>
      </w:pPr>
      <w:r>
        <w:t>•</w:t>
      </w:r>
      <w:r>
        <w:tab/>
        <w:t>Characterized aerosol inlets and external probe installations with documented transmission versus particle size, humidity, airspeed and aircraft attitude.</w:t>
      </w:r>
    </w:p>
    <w:p w14:paraId="6B696B30" w14:textId="77777777" w:rsidR="003323F8" w:rsidRDefault="00000000">
      <w:pPr>
        <w:spacing w:before="280" w:after="280"/>
        <w:ind w:left="360" w:hanging="360"/>
      </w:pPr>
      <w:r>
        <w:t>•</w:t>
      </w:r>
      <w:r>
        <w:tab/>
        <w:t>A cloud-response mission system that fuses the vessel source record, winds, trajectories, lidar/radar, aircraft observations, satellite imagery and control-region data into a real-time three-dimensional sampling display.</w:t>
      </w:r>
    </w:p>
    <w:p w14:paraId="4641F0CC" w14:textId="77777777" w:rsidR="003323F8" w:rsidRDefault="00000000">
      <w:pPr>
        <w:spacing w:before="280" w:after="280"/>
        <w:ind w:left="360" w:hanging="360"/>
      </w:pPr>
      <w:r>
        <w:t>•</w:t>
      </w:r>
      <w:r>
        <w:tab/>
        <w:t>A matched radiative-closure package for above-cloud, aircraft-level and surface measurements, with common calibration and high-rate attitude correction.</w:t>
      </w:r>
    </w:p>
    <w:p w14:paraId="6ABF8C5C" w14:textId="77777777" w:rsidR="003323F8" w:rsidRDefault="00000000">
      <w:pPr>
        <w:spacing w:before="280" w:after="280"/>
        <w:ind w:left="360" w:hanging="360"/>
      </w:pPr>
      <w:r>
        <w:t>•</w:t>
      </w:r>
      <w:r>
        <w:tab/>
        <w:t>Reusable cloud-microphysics and turbulence pallets, including droplet, drizzle, liquid-water and precipitation probes with cross-platform intercomparison procedures.</w:t>
      </w:r>
    </w:p>
    <w:p w14:paraId="5178A5D9" w14:textId="77777777" w:rsidR="003323F8" w:rsidRDefault="00000000">
      <w:pPr>
        <w:spacing w:before="280" w:after="280"/>
        <w:ind w:left="360" w:hanging="360"/>
      </w:pPr>
      <w:r>
        <w:t>•</w:t>
      </w:r>
      <w:r>
        <w:tab/>
        <w:t>Lightweight drone payloads for aerosol, CCN where practical, meteorology and vertical plume profiling between the ocean surface and cloud base.</w:t>
      </w:r>
    </w:p>
    <w:p w14:paraId="1C7F5C69" w14:textId="77777777" w:rsidR="003323F8" w:rsidRDefault="00000000">
      <w:pPr>
        <w:spacing w:before="280" w:after="280"/>
      </w:pPr>
      <w:r>
        <w:t>A new purpose-built crewed airplane is not a five-year priority. The program should first exploit and improve existing research aircraft. A new aircraft becomes justified only if repeated campaigns demonstrate a persistent capability gap in low-altitude endurance, payload, external-probe accommodation, icing/severe-weather capability or operating cost that cannot be filled by existing facilities.</w:t>
      </w:r>
    </w:p>
    <w:p w14:paraId="5D08F52B" w14:textId="77777777" w:rsidR="003323F8" w:rsidRDefault="00000000">
      <w:pPr>
        <w:pStyle w:val="Heading2"/>
        <w:spacing w:before="280"/>
      </w:pPr>
      <w:r>
        <w:t>How this fits the existing $1B budget</w:t>
      </w:r>
    </w:p>
    <w:p w14:paraId="3BB26856" w14:textId="77777777" w:rsidR="003323F8" w:rsidRDefault="00000000">
      <w:pPr>
        <w:spacing w:before="280" w:after="280"/>
      </w:pPr>
      <w:r>
        <w:t xml:space="preserve">The proposal already allocates $55M to shared aircraft, ships, drones, lidar, radar and instruments and includes aircraft/instrument integration and repeated primary/secondary-aircraft sortie blocks inside cloud-response campaigns. The aircraft chapter should therefore define the architecture and procurement requirements rather than add a new budget line. The program should use master agreements with aircraft facilities and </w:t>
      </w:r>
      <w:proofErr w:type="spellStart"/>
      <w:r>
        <w:t>prepriced</w:t>
      </w:r>
      <w:proofErr w:type="spellEnd"/>
      <w:r>
        <w:t xml:space="preserve"> integration, standby and replacement-sortie options so weather losses do not force emergency sole-source contracting.</w:t>
      </w:r>
    </w:p>
    <w:p w14:paraId="46596C6E" w14:textId="77777777" w:rsidR="003323F8" w:rsidRDefault="00000000">
      <w:pPr>
        <w:pStyle w:val="Heading2"/>
        <w:spacing w:before="280"/>
      </w:pPr>
      <w:r>
        <w:t>Current-status note</w:t>
      </w:r>
    </w:p>
    <w:p w14:paraId="6FA192D9" w14:textId="77777777" w:rsidR="003323F8" w:rsidRDefault="00000000">
      <w:pPr>
        <w:spacing w:before="280" w:after="280"/>
      </w:pPr>
      <w:r>
        <w:t>Aircraft capabilities above are illustrative as of August 2026 and should be reverified before procurement. The former UK FAAM Airborne Laboratory is not a current provider: FAAM states that operational activity ended on March 31, 2026. International planning should therefore use currently operating facilities such as SAFIRE or other verified providers rather than treating the former FAAM BAe-146 as available.</w:t>
      </w:r>
    </w:p>
    <w:p w14:paraId="248B7556" w14:textId="77777777" w:rsidR="003323F8" w:rsidRDefault="00000000">
      <w:pPr>
        <w:spacing w:before="280" w:after="280"/>
      </w:pPr>
      <w:r>
        <w:t>The practical conclusion is that MCB aircraft are measurement platforms, not spray aircraft. The most valuable investment is a coordinated two-aircraft plus drone architecture that can measure the complete source-to-cloud-to-radiation chain repeatedly under treated and control conditions.</w:t>
      </w:r>
    </w:p>
    <w:p w14:paraId="2FB4576E" w14:textId="3FA8ED8E" w:rsidR="000A7470" w:rsidRDefault="000A7470"/>
    <w:sectPr w:rsidR="000A7470">
      <w:headerReference w:type="even" r:id="rId49"/>
      <w:headerReference w:type="default" r:id="rId50"/>
      <w:footerReference w:type="even" r:id="rId51"/>
      <w:footerReference w:type="default" r:id="rId52"/>
      <w:headerReference w:type="first" r:id="rId53"/>
      <w:footerReference w:type="first" r:id="rId54"/>
      <w:pgSz w:w="12240" w:h="15840"/>
      <w:pgMar w:top="1152" w:right="1080" w:bottom="1152" w:left="1152" w:header="0" w:footer="50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DEBAF" w14:textId="77777777" w:rsidR="006D1FCA" w:rsidRDefault="006D1FCA">
      <w:r>
        <w:separator/>
      </w:r>
    </w:p>
  </w:endnote>
  <w:endnote w:type="continuationSeparator" w:id="0">
    <w:p w14:paraId="067CE405" w14:textId="77777777" w:rsidR="006D1FCA" w:rsidRDefault="006D1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D50C" w14:textId="77777777" w:rsidR="003323F8" w:rsidRDefault="00332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5780" w14:textId="77777777" w:rsidR="003323F8" w:rsidRDefault="00000000" w:rsidP="00A85D92">
    <w:pPr>
      <w:pStyle w:val="Footer"/>
      <w:pBdr>
        <w:top w:val="single" w:sz="4" w:space="1" w:color="000000"/>
      </w:pBdr>
      <w:tabs>
        <w:tab w:val="clear" w:pos="9360"/>
        <w:tab w:val="right" w:pos="9990"/>
      </w:tabs>
      <w:spacing w:before="160" w:beforeAutospacing="0" w:after="100"/>
    </w:pPr>
    <w:r>
      <w:rPr>
        <w:rFonts w:ascii="Calibri Light" w:hAnsi="Calibri Light" w:cs="Calibri Light"/>
      </w:rPr>
      <w:t>MCB Experimental Research</w:t>
    </w:r>
    <w:r>
      <w:rPr>
        <w:rFonts w:ascii="Calibri Light" w:hAnsi="Calibri Light" w:cs="Calibri Light"/>
      </w:rPr>
      <w:tab/>
      <w:t xml:space="preserve"> </w:t>
    </w:r>
    <w:r>
      <w:rPr>
        <w:rFonts w:ascii="Calibri Light" w:hAnsi="Calibri Light" w:cs="Calibri Light"/>
      </w:rPr>
      <w:tab/>
      <w:t xml:space="preserve">Page </w:t>
    </w:r>
    <w:r>
      <w:rPr>
        <w:rFonts w:ascii="Calibri Light" w:hAnsi="Calibri Light" w:cs="Calibri Light"/>
      </w:rPr>
      <w:fldChar w:fldCharType="begin"/>
    </w:r>
    <w:r>
      <w:rPr>
        <w:rFonts w:ascii="Calibri Light" w:hAnsi="Calibri Light" w:cs="Calibri Light"/>
      </w:rPr>
      <w:instrText xml:space="preserve"> PAGE </w:instrText>
    </w:r>
    <w:r>
      <w:rPr>
        <w:rFonts w:ascii="Calibri Light" w:hAnsi="Calibri Light" w:cs="Calibri Light"/>
      </w:rPr>
      <w:fldChar w:fldCharType="separate"/>
    </w:r>
    <w:r>
      <w:rPr>
        <w:rFonts w:ascii="Calibri Light" w:hAnsi="Calibri Light" w:cs="Calibri Light"/>
      </w:rPr>
      <w:t>71</w:t>
    </w:r>
    <w:r>
      <w:rPr>
        <w:rFonts w:ascii="Calibri Light" w:hAnsi="Calibri Light" w:cs="Calibri Ligh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4DBD" w14:textId="77777777" w:rsidR="003323F8" w:rsidRDefault="00332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2FB71" w14:textId="77777777" w:rsidR="006D1FCA" w:rsidRDefault="006D1FCA">
      <w:r>
        <w:separator/>
      </w:r>
    </w:p>
  </w:footnote>
  <w:footnote w:type="continuationSeparator" w:id="0">
    <w:p w14:paraId="05D2E507" w14:textId="77777777" w:rsidR="006D1FCA" w:rsidRDefault="006D1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8427" w14:textId="77777777" w:rsidR="003323F8" w:rsidRDefault="003323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6F83D" w14:textId="77777777" w:rsidR="003323F8" w:rsidRDefault="003323F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CF07" w14:textId="77777777" w:rsidR="003323F8" w:rsidRDefault="003323F8">
    <w:pPr>
      <w:pStyle w:val="Heade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F1708"/>
    <w:multiLevelType w:val="multilevel"/>
    <w:tmpl w:val="7ED2ABB0"/>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9BD1CA7"/>
    <w:multiLevelType w:val="multilevel"/>
    <w:tmpl w:val="DC146A2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A7A3644"/>
    <w:multiLevelType w:val="multilevel"/>
    <w:tmpl w:val="F6AA9F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5762EBE"/>
    <w:multiLevelType w:val="multilevel"/>
    <w:tmpl w:val="DE1C6BF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F4339C4"/>
    <w:multiLevelType w:val="multilevel"/>
    <w:tmpl w:val="9E140CA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624042A"/>
    <w:multiLevelType w:val="multilevel"/>
    <w:tmpl w:val="EBE66ED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8C031C3"/>
    <w:multiLevelType w:val="multilevel"/>
    <w:tmpl w:val="999C935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26D74B6"/>
    <w:multiLevelType w:val="multilevel"/>
    <w:tmpl w:val="90FC844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296124F"/>
    <w:multiLevelType w:val="multilevel"/>
    <w:tmpl w:val="3C18B0A8"/>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8812249"/>
    <w:multiLevelType w:val="multilevel"/>
    <w:tmpl w:val="0DDAA8C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4ED344B"/>
    <w:multiLevelType w:val="multilevel"/>
    <w:tmpl w:val="C846D9D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A3125E1"/>
    <w:multiLevelType w:val="multilevel"/>
    <w:tmpl w:val="C77A12EE"/>
    <w:lvl w:ilvl="0">
      <w:start w:val="1"/>
      <w:numFmt w:val="bullet"/>
      <w:pStyle w:val="blist-bullets"/>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714D77B8"/>
    <w:multiLevelType w:val="multilevel"/>
    <w:tmpl w:val="442A61F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51454C4"/>
    <w:multiLevelType w:val="multilevel"/>
    <w:tmpl w:val="323A4FD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57B3305"/>
    <w:multiLevelType w:val="multilevel"/>
    <w:tmpl w:val="EB08215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E7408BB"/>
    <w:multiLevelType w:val="multilevel"/>
    <w:tmpl w:val="1C7620F6"/>
    <w:lvl w:ilvl="0">
      <w:start w:val="1"/>
      <w:numFmt w:val="bullet"/>
      <w:pStyle w:val="blistNo-Space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742947522">
    <w:abstractNumId w:val="8"/>
  </w:num>
  <w:num w:numId="2" w16cid:durableId="206114633">
    <w:abstractNumId w:val="0"/>
  </w:num>
  <w:num w:numId="3" w16cid:durableId="421948537">
    <w:abstractNumId w:val="11"/>
  </w:num>
  <w:num w:numId="4" w16cid:durableId="1913151213">
    <w:abstractNumId w:val="15"/>
  </w:num>
  <w:num w:numId="5" w16cid:durableId="1026252265">
    <w:abstractNumId w:val="9"/>
  </w:num>
  <w:num w:numId="6" w16cid:durableId="793594046">
    <w:abstractNumId w:val="4"/>
  </w:num>
  <w:num w:numId="7" w16cid:durableId="2120756535">
    <w:abstractNumId w:val="1"/>
  </w:num>
  <w:num w:numId="8" w16cid:durableId="1877043791">
    <w:abstractNumId w:val="10"/>
  </w:num>
  <w:num w:numId="9" w16cid:durableId="1401056976">
    <w:abstractNumId w:val="5"/>
  </w:num>
  <w:num w:numId="10" w16cid:durableId="1382444328">
    <w:abstractNumId w:val="13"/>
  </w:num>
  <w:num w:numId="11" w16cid:durableId="105200100">
    <w:abstractNumId w:val="14"/>
  </w:num>
  <w:num w:numId="12" w16cid:durableId="799418194">
    <w:abstractNumId w:val="3"/>
  </w:num>
  <w:num w:numId="13" w16cid:durableId="1863397201">
    <w:abstractNumId w:val="7"/>
  </w:num>
  <w:num w:numId="14" w16cid:durableId="1031492059">
    <w:abstractNumId w:val="6"/>
  </w:num>
  <w:num w:numId="15" w16cid:durableId="1601984916">
    <w:abstractNumId w:val="12"/>
  </w:num>
  <w:num w:numId="16" w16cid:durableId="1797332191">
    <w:abstractNumId w:val="2"/>
  </w:num>
  <w:num w:numId="17" w16cid:durableId="1205362304">
    <w:abstractNumId w:val="9"/>
    <w:lvlOverride w:ilvl="0">
      <w:startOverride w:val="1"/>
    </w:lvlOverride>
  </w:num>
  <w:num w:numId="18" w16cid:durableId="1119569404">
    <w:abstractNumId w:val="9"/>
  </w:num>
  <w:num w:numId="19" w16cid:durableId="973289705">
    <w:abstractNumId w:val="9"/>
  </w:num>
  <w:num w:numId="20" w16cid:durableId="1647272072">
    <w:abstractNumId w:val="9"/>
  </w:num>
  <w:num w:numId="21" w16cid:durableId="764762007">
    <w:abstractNumId w:val="9"/>
  </w:num>
  <w:num w:numId="22" w16cid:durableId="1899364434">
    <w:abstractNumId w:val="9"/>
  </w:num>
  <w:num w:numId="23" w16cid:durableId="539632880">
    <w:abstractNumId w:val="9"/>
    <w:lvlOverride w:ilvl="0">
      <w:startOverride w:val="1"/>
    </w:lvlOverride>
  </w:num>
  <w:num w:numId="24" w16cid:durableId="1666123842">
    <w:abstractNumId w:val="9"/>
  </w:num>
  <w:num w:numId="25" w16cid:durableId="667556281">
    <w:abstractNumId w:val="9"/>
  </w:num>
  <w:num w:numId="26" w16cid:durableId="1587879202">
    <w:abstractNumId w:val="9"/>
  </w:num>
  <w:num w:numId="27" w16cid:durableId="5393644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3F8"/>
    <w:rsid w:val="00041FA4"/>
    <w:rsid w:val="000A7470"/>
    <w:rsid w:val="000C2224"/>
    <w:rsid w:val="000F02D0"/>
    <w:rsid w:val="001018DD"/>
    <w:rsid w:val="00102D67"/>
    <w:rsid w:val="0012328B"/>
    <w:rsid w:val="001346A2"/>
    <w:rsid w:val="001940A0"/>
    <w:rsid w:val="00197943"/>
    <w:rsid w:val="001D2B20"/>
    <w:rsid w:val="001E542C"/>
    <w:rsid w:val="00222C6C"/>
    <w:rsid w:val="00260095"/>
    <w:rsid w:val="002B0D02"/>
    <w:rsid w:val="002E2E37"/>
    <w:rsid w:val="002E689D"/>
    <w:rsid w:val="003323F8"/>
    <w:rsid w:val="003946DA"/>
    <w:rsid w:val="00416101"/>
    <w:rsid w:val="0045210E"/>
    <w:rsid w:val="004723DB"/>
    <w:rsid w:val="00541C5F"/>
    <w:rsid w:val="00554484"/>
    <w:rsid w:val="00567EA3"/>
    <w:rsid w:val="00590327"/>
    <w:rsid w:val="005F0CD5"/>
    <w:rsid w:val="005F3C6B"/>
    <w:rsid w:val="005F43E2"/>
    <w:rsid w:val="005F53FD"/>
    <w:rsid w:val="00603BBF"/>
    <w:rsid w:val="00630BCC"/>
    <w:rsid w:val="00650B7D"/>
    <w:rsid w:val="006C59BC"/>
    <w:rsid w:val="006C5FD5"/>
    <w:rsid w:val="006D1FCA"/>
    <w:rsid w:val="006D7895"/>
    <w:rsid w:val="007A7972"/>
    <w:rsid w:val="007D1A58"/>
    <w:rsid w:val="007E31C7"/>
    <w:rsid w:val="008331DD"/>
    <w:rsid w:val="00872040"/>
    <w:rsid w:val="008A0B33"/>
    <w:rsid w:val="008B24AE"/>
    <w:rsid w:val="008B64D2"/>
    <w:rsid w:val="008D2171"/>
    <w:rsid w:val="008E3EDC"/>
    <w:rsid w:val="00913365"/>
    <w:rsid w:val="009327DC"/>
    <w:rsid w:val="00943DFE"/>
    <w:rsid w:val="00977A29"/>
    <w:rsid w:val="00997559"/>
    <w:rsid w:val="009A59CF"/>
    <w:rsid w:val="009D1724"/>
    <w:rsid w:val="00A300B4"/>
    <w:rsid w:val="00A332A2"/>
    <w:rsid w:val="00A4306C"/>
    <w:rsid w:val="00A5297E"/>
    <w:rsid w:val="00A637A4"/>
    <w:rsid w:val="00A825CA"/>
    <w:rsid w:val="00A85D92"/>
    <w:rsid w:val="00AA30BB"/>
    <w:rsid w:val="00AB0360"/>
    <w:rsid w:val="00AB5713"/>
    <w:rsid w:val="00AD1C0C"/>
    <w:rsid w:val="00AF1C55"/>
    <w:rsid w:val="00AF3B73"/>
    <w:rsid w:val="00B05501"/>
    <w:rsid w:val="00B6605E"/>
    <w:rsid w:val="00B71F6B"/>
    <w:rsid w:val="00B867E0"/>
    <w:rsid w:val="00B93CED"/>
    <w:rsid w:val="00BB75CB"/>
    <w:rsid w:val="00C55EC8"/>
    <w:rsid w:val="00C847D1"/>
    <w:rsid w:val="00CC2468"/>
    <w:rsid w:val="00D20AFA"/>
    <w:rsid w:val="00D30C25"/>
    <w:rsid w:val="00D547F2"/>
    <w:rsid w:val="00D549EE"/>
    <w:rsid w:val="00D7453A"/>
    <w:rsid w:val="00DA4BD8"/>
    <w:rsid w:val="00DE7AE4"/>
    <w:rsid w:val="00E05246"/>
    <w:rsid w:val="00E14EDA"/>
    <w:rsid w:val="00E170A8"/>
    <w:rsid w:val="00E8036F"/>
    <w:rsid w:val="00EF37DF"/>
    <w:rsid w:val="00F3705F"/>
    <w:rsid w:val="00F93BAB"/>
    <w:rsid w:val="00FD3576"/>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01572"/>
  <w15:docId w15:val="{BC81EB5F-2FB2-4246-AB71-02172C19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4E"/>
    <w:pPr>
      <w:spacing w:before="100" w:beforeAutospacing="1" w:after="100" w:afterAutospacing="1" w:line="264" w:lineRule="auto"/>
    </w:pPr>
    <w:rPr>
      <w:rFonts w:ascii="Calibri" w:eastAsia="Calibri" w:hAnsi="Calibri"/>
      <w:sz w:val="24"/>
    </w:rPr>
  </w:style>
  <w:style w:type="paragraph" w:styleId="Heading1">
    <w:name w:val="heading 1"/>
    <w:basedOn w:val="Normal"/>
    <w:next w:val="Normal"/>
    <w:link w:val="Heading1Char"/>
    <w:uiPriority w:val="9"/>
    <w:qFormat/>
    <w:rsid w:val="0095221A"/>
    <w:pPr>
      <w:keepNext/>
      <w:keepLines/>
      <w:pageBreakBefore/>
      <w:pBdr>
        <w:top w:val="double" w:sz="4" w:space="1" w:color="E36C0A" w:themeColor="accent6" w:themeShade="BF"/>
        <w:bottom w:val="double" w:sz="4" w:space="1" w:color="E36C0A" w:themeColor="accent6" w:themeShade="BF"/>
      </w:pBdr>
      <w:spacing w:before="480" w:after="240"/>
      <w:outlineLvl w:val="0"/>
    </w:pPr>
    <w:rPr>
      <w:rFonts w:asciiTheme="majorHAnsi" w:eastAsiaTheme="majorEastAsia" w:hAnsiTheme="majorHAnsi" w:cstheme="majorBidi"/>
      <w:b/>
      <w:bCs/>
      <w:color w:val="E36C0A" w:themeColor="accent6" w:themeShade="BF"/>
      <w:sz w:val="44"/>
      <w:szCs w:val="28"/>
    </w:rPr>
  </w:style>
  <w:style w:type="paragraph" w:styleId="Heading2">
    <w:name w:val="heading 2"/>
    <w:basedOn w:val="Normal"/>
    <w:next w:val="Normal"/>
    <w:link w:val="Heading2Char"/>
    <w:uiPriority w:val="9"/>
    <w:unhideWhenUsed/>
    <w:qFormat/>
    <w:rsid w:val="00AE265B"/>
    <w:pPr>
      <w:keepNext/>
      <w:keepLines/>
      <w:pBdr>
        <w:top w:val="single" w:sz="4" w:space="1" w:color="76923C" w:themeColor="accent3" w:themeShade="BF"/>
        <w:bottom w:val="single" w:sz="4" w:space="1" w:color="76923C" w:themeColor="accent3" w:themeShade="BF"/>
      </w:pBdr>
      <w:spacing w:before="360" w:after="280"/>
      <w:outlineLvl w:val="1"/>
    </w:pPr>
    <w:rPr>
      <w:rFonts w:asciiTheme="majorHAnsi" w:eastAsiaTheme="majorEastAsia" w:hAnsiTheme="majorHAnsi" w:cstheme="majorBidi"/>
      <w:b/>
      <w:bCs/>
      <w:color w:val="76923C" w:themeColor="accent3" w:themeShade="BF"/>
      <w:sz w:val="32"/>
      <w:szCs w:val="26"/>
    </w:rPr>
  </w:style>
  <w:style w:type="paragraph" w:styleId="Heading3">
    <w:name w:val="heading 3"/>
    <w:basedOn w:val="Normal"/>
    <w:next w:val="Normal"/>
    <w:link w:val="Heading3Char"/>
    <w:uiPriority w:val="9"/>
    <w:unhideWhenUsed/>
    <w:qFormat/>
    <w:rsid w:val="00E41B49"/>
    <w:pPr>
      <w:keepNext/>
      <w:keepLines/>
      <w:spacing w:before="240" w:after="120"/>
      <w:outlineLvl w:val="2"/>
    </w:pPr>
    <w:rPr>
      <w:rFonts w:asciiTheme="majorHAnsi" w:eastAsiaTheme="majorEastAsia" w:hAnsiTheme="majorHAnsi" w:cstheme="majorBidi"/>
      <w:b/>
      <w:bCs/>
      <w:color w:val="76923C" w:themeColor="accent3" w:themeShade="BF"/>
      <w:sz w:val="26"/>
      <w:u w:val="single"/>
    </w:rPr>
  </w:style>
  <w:style w:type="paragraph" w:styleId="Heading4">
    <w:name w:val="heading 4"/>
    <w:basedOn w:val="Normal"/>
    <w:next w:val="Normal"/>
    <w:link w:val="Heading4Char"/>
    <w:uiPriority w:val="9"/>
    <w:unhideWhenUsed/>
    <w:qFormat/>
    <w:rsid w:val="009951D6"/>
    <w:pPr>
      <w:keepNext/>
      <w:keepLines/>
      <w:spacing w:before="200" w:after="280"/>
      <w:outlineLvl w:val="3"/>
    </w:pPr>
    <w:rPr>
      <w:rFonts w:asciiTheme="majorHAnsi" w:eastAsiaTheme="majorEastAsia" w:hAnsiTheme="majorHAnsi" w:cstheme="majorBidi"/>
      <w:b/>
      <w:bCs/>
      <w:i/>
      <w:iCs/>
      <w:color w:val="31849B" w:themeColor="accent5" w:themeShade="BF"/>
      <w:u w:val="single"/>
    </w:rPr>
  </w:style>
  <w:style w:type="paragraph" w:styleId="Heading5">
    <w:name w:val="heading 5"/>
    <w:basedOn w:val="Normal"/>
    <w:next w:val="Normal"/>
    <w:link w:val="Heading5Char"/>
    <w:uiPriority w:val="9"/>
    <w:unhideWhenUsed/>
    <w:qFormat/>
    <w:rsid w:val="00FC693F"/>
    <w:pPr>
      <w:keepNext/>
      <w:keepLines/>
      <w:spacing w:before="200" w:after="28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693F"/>
    <w:pPr>
      <w:keepNext/>
      <w:keepLines/>
      <w:spacing w:before="200" w:after="28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28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28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28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95221A"/>
    <w:rPr>
      <w:rFonts w:asciiTheme="majorHAnsi" w:eastAsiaTheme="majorEastAsia" w:hAnsiTheme="majorHAnsi" w:cstheme="majorBidi"/>
      <w:b/>
      <w:bCs/>
      <w:color w:val="E36C0A" w:themeColor="accent6" w:themeShade="BF"/>
      <w:sz w:val="44"/>
      <w:szCs w:val="28"/>
    </w:rPr>
  </w:style>
  <w:style w:type="character" w:customStyle="1" w:styleId="Heading2Char">
    <w:name w:val="Heading 2 Char"/>
    <w:basedOn w:val="DefaultParagraphFont"/>
    <w:link w:val="Heading2"/>
    <w:uiPriority w:val="9"/>
    <w:qFormat/>
    <w:rsid w:val="00AE265B"/>
    <w:rPr>
      <w:rFonts w:asciiTheme="majorHAnsi" w:eastAsiaTheme="majorEastAsia" w:hAnsiTheme="majorHAnsi" w:cstheme="majorBidi"/>
      <w:b/>
      <w:bCs/>
      <w:color w:val="76923C" w:themeColor="accent3" w:themeShade="BF"/>
      <w:sz w:val="32"/>
      <w:szCs w:val="26"/>
    </w:rPr>
  </w:style>
  <w:style w:type="character" w:customStyle="1" w:styleId="Heading3Char">
    <w:name w:val="Heading 3 Char"/>
    <w:basedOn w:val="DefaultParagraphFont"/>
    <w:link w:val="Heading3"/>
    <w:uiPriority w:val="9"/>
    <w:qFormat/>
    <w:rsid w:val="00E41B49"/>
    <w:rPr>
      <w:rFonts w:asciiTheme="majorHAnsi" w:eastAsiaTheme="majorEastAsia" w:hAnsiTheme="majorHAnsi" w:cstheme="majorBidi"/>
      <w:b/>
      <w:bCs/>
      <w:color w:val="76923C" w:themeColor="accent3" w:themeShade="BF"/>
      <w:sz w:val="26"/>
      <w:u w:val="single"/>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qFormat/>
    <w:rsid w:val="009951D6"/>
    <w:rPr>
      <w:rFonts w:asciiTheme="majorHAnsi" w:eastAsiaTheme="majorEastAsia" w:hAnsiTheme="majorHAnsi" w:cstheme="majorBidi"/>
      <w:b/>
      <w:bCs/>
      <w:i/>
      <w:iCs/>
      <w:color w:val="31849B" w:themeColor="accent5" w:themeShade="BF"/>
      <w:u w:val="single"/>
    </w:rPr>
  </w:style>
  <w:style w:type="character" w:customStyle="1" w:styleId="Heading5Char">
    <w:name w:val="Heading 5 Char"/>
    <w:basedOn w:val="DefaultParagraphFont"/>
    <w:link w:val="Heading5"/>
    <w:uiPriority w:val="9"/>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IntenseEmphasis">
    <w:name w:val="Intense Emphasis"/>
    <w:basedOn w:val="DefaultParagraphFont"/>
    <w:uiPriority w:val="21"/>
    <w:qFormat/>
    <w:rsid w:val="00FC693F"/>
    <w:rPr>
      <w:b/>
      <w:bCs/>
      <w:i/>
      <w:iCs/>
      <w:color w:val="4F81BD" w:themeColor="accent1"/>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customStyle="1" w:styleId="UserPromptTextChar">
    <w:name w:val="User_Prompt_Text Char"/>
    <w:basedOn w:val="DefaultParagraphFont"/>
    <w:link w:val="cUserPromptText"/>
    <w:qFormat/>
    <w:rsid w:val="00D70219"/>
    <w:rPr>
      <w:rFonts w:ascii="Calibri" w:eastAsia="Calibri" w:hAnsi="Calibri"/>
      <w:color w:val="C0504D" w:themeColor="accent2"/>
    </w:rPr>
  </w:style>
  <w:style w:type="character" w:customStyle="1" w:styleId="UserPromptHeadingChar">
    <w:name w:val="User_Prompt_Heading Char"/>
    <w:basedOn w:val="DefaultParagraphFont"/>
    <w:link w:val="cUserPromptHeading"/>
    <w:qFormat/>
    <w:rsid w:val="00D70219"/>
    <w:rPr>
      <w:rFonts w:ascii="Calibri" w:eastAsia="Calibri" w:hAnsi="Calibri"/>
      <w:b/>
      <w:bCs/>
      <w:color w:val="C0504D" w:themeColor="accent2"/>
    </w:rPr>
  </w:style>
  <w:style w:type="character" w:customStyle="1" w:styleId="relative">
    <w:name w:val="relative"/>
    <w:basedOn w:val="DefaultParagraphFont"/>
    <w:qFormat/>
    <w:rsid w:val="003707A2"/>
  </w:style>
  <w:style w:type="character" w:customStyle="1" w:styleId="vlist-t">
    <w:name w:val="vlist-t"/>
    <w:basedOn w:val="DefaultParagraphFont"/>
    <w:qFormat/>
    <w:rsid w:val="003707A2"/>
  </w:style>
  <w:style w:type="character" w:customStyle="1" w:styleId="sizing">
    <w:name w:val="sizing"/>
    <w:basedOn w:val="DefaultParagraphFont"/>
    <w:qFormat/>
    <w:rsid w:val="003707A2"/>
  </w:style>
  <w:style w:type="character" w:customStyle="1" w:styleId="accent-body">
    <w:name w:val="accent-body"/>
    <w:basedOn w:val="DefaultParagraphFont"/>
    <w:qFormat/>
    <w:rsid w:val="003707A2"/>
  </w:style>
  <w:style w:type="character" w:customStyle="1" w:styleId="grid">
    <w:name w:val="grid"/>
    <w:basedOn w:val="DefaultParagraphFont"/>
    <w:qFormat/>
    <w:rsid w:val="003707A2"/>
  </w:style>
  <w:style w:type="character" w:styleId="Hyperlink">
    <w:name w:val="Hyperlink"/>
    <w:basedOn w:val="DefaultParagraphFont"/>
    <w:uiPriority w:val="99"/>
    <w:unhideWhenUsed/>
    <w:rsid w:val="003707A2"/>
    <w:rPr>
      <w:color w:val="0000FF"/>
      <w:u w:val="single"/>
    </w:rPr>
  </w:style>
  <w:style w:type="character" w:customStyle="1" w:styleId="SubjectStyleChar">
    <w:name w:val="SubjectStyle Char"/>
    <w:basedOn w:val="DefaultParagraphFont"/>
    <w:link w:val="cSubjectStyle"/>
    <w:qFormat/>
    <w:rsid w:val="004C2413"/>
    <w:rPr>
      <w:rFonts w:asciiTheme="majorHAnsi" w:eastAsia="Times New Roman" w:hAnsiTheme="majorHAnsi" w:cstheme="majorHAnsi"/>
      <w:b/>
      <w:bCs/>
      <w:color w:val="943634" w:themeColor="accent2" w:themeShade="BF"/>
      <w:sz w:val="24"/>
      <w:szCs w:val="24"/>
      <w:u w:val="single"/>
    </w:rPr>
  </w:style>
  <w:style w:type="character" w:customStyle="1" w:styleId="SubjectChar">
    <w:name w:val="Subject Char"/>
    <w:basedOn w:val="DefaultParagraphFont"/>
    <w:link w:val="cSubject"/>
    <w:qFormat/>
    <w:rsid w:val="001132D9"/>
    <w:rPr>
      <w:rFonts w:ascii="Calibri" w:eastAsia="Calibri" w:hAnsi="Calibri"/>
      <w:b/>
      <w:bCs/>
      <w:color w:val="548DD4" w:themeColor="text2" w:themeTint="99"/>
      <w:sz w:val="24"/>
      <w:u w:val="single"/>
    </w:rPr>
  </w:style>
  <w:style w:type="character" w:styleId="UnresolvedMention">
    <w:name w:val="Unresolved Mention"/>
    <w:basedOn w:val="DefaultParagraphFont"/>
    <w:uiPriority w:val="99"/>
    <w:semiHidden/>
    <w:unhideWhenUsed/>
    <w:qFormat/>
    <w:rsid w:val="009B75F5"/>
    <w:rPr>
      <w:color w:val="605E5C"/>
      <w:shd w:val="clear" w:color="auto" w:fill="E1DFDD"/>
    </w:rPr>
  </w:style>
  <w:style w:type="character" w:customStyle="1" w:styleId="bhyperlinkChar">
    <w:name w:val="b.hyperlink Char"/>
    <w:basedOn w:val="DefaultParagraphFont"/>
    <w:link w:val="bhyperlink"/>
    <w:qFormat/>
    <w:rsid w:val="00CE3845"/>
    <w:rPr>
      <w:rFonts w:eastAsiaTheme="minorHAnsi"/>
      <w:color w:val="7F7F7F" w:themeColor="text1" w:themeTint="80"/>
      <w:sz w:val="24"/>
      <w:u w:val="single"/>
    </w:rPr>
  </w:style>
  <w:style w:type="character" w:customStyle="1" w:styleId="BodyTextFirstIndentChar">
    <w:name w:val="Body Text First Indent Char"/>
    <w:basedOn w:val="DefaultParagraphFont"/>
    <w:link w:val="BodyTextFirstIndent"/>
    <w:uiPriority w:val="99"/>
    <w:semiHidden/>
    <w:qFormat/>
    <w:rsid w:val="00E95F25"/>
    <w:rPr>
      <w:rFonts w:ascii="Calibri" w:eastAsia="Calibri" w:hAnsi="Calibri"/>
      <w:sz w:val="24"/>
    </w:rPr>
  </w:style>
  <w:style w:type="character" w:customStyle="1" w:styleId="BodyTextIndentChar">
    <w:name w:val="Body Text Indent Char"/>
    <w:basedOn w:val="DefaultParagraphFont"/>
    <w:link w:val="BodyTextIndent"/>
    <w:uiPriority w:val="99"/>
    <w:semiHidden/>
    <w:qFormat/>
    <w:rsid w:val="00655177"/>
    <w:rPr>
      <w:rFonts w:ascii="Calibri" w:eastAsia="Calibri" w:hAnsi="Calibri"/>
      <w:sz w:val="24"/>
    </w:rPr>
  </w:style>
  <w:style w:type="character" w:customStyle="1" w:styleId="BodyTextIndent3Char">
    <w:name w:val="Body Text Indent 3 Char"/>
    <w:basedOn w:val="DefaultParagraphFont"/>
    <w:link w:val="BodyTextIndent3"/>
    <w:uiPriority w:val="99"/>
    <w:semiHidden/>
    <w:qFormat/>
    <w:rsid w:val="00655177"/>
    <w:rPr>
      <w:rFonts w:ascii="Calibri" w:eastAsia="Calibri" w:hAnsi="Calibri"/>
      <w:sz w:val="16"/>
      <w:szCs w:val="16"/>
    </w:rPr>
  </w:style>
  <w:style w:type="character" w:customStyle="1" w:styleId="CommentTextChar">
    <w:name w:val="Comment Text Char"/>
    <w:basedOn w:val="DefaultParagraphFont"/>
    <w:link w:val="CommentText"/>
    <w:uiPriority w:val="99"/>
    <w:semiHidden/>
    <w:qFormat/>
    <w:rsid w:val="00655177"/>
    <w:rPr>
      <w:rFonts w:ascii="Calibri" w:eastAsia="Calibri" w:hAnsi="Calibri"/>
      <w:sz w:val="20"/>
      <w:szCs w:val="20"/>
    </w:rPr>
  </w:style>
  <w:style w:type="character" w:customStyle="1" w:styleId="CommentSubjectChar">
    <w:name w:val="Comment Subject Char"/>
    <w:basedOn w:val="CommentTextChar"/>
    <w:link w:val="CommentSubject"/>
    <w:uiPriority w:val="99"/>
    <w:semiHidden/>
    <w:qFormat/>
    <w:rsid w:val="00655177"/>
    <w:rPr>
      <w:rFonts w:ascii="Calibri" w:eastAsia="Calibri" w:hAnsi="Calibri"/>
      <w:b/>
      <w:bCs/>
      <w:sz w:val="20"/>
      <w:szCs w:val="20"/>
    </w:rPr>
  </w:style>
  <w:style w:type="character" w:customStyle="1" w:styleId="DateChar">
    <w:name w:val="Date Char"/>
    <w:basedOn w:val="DefaultParagraphFont"/>
    <w:link w:val="Date"/>
    <w:uiPriority w:val="99"/>
    <w:semiHidden/>
    <w:qFormat/>
    <w:rsid w:val="00655177"/>
    <w:rPr>
      <w:rFonts w:ascii="Calibri" w:eastAsia="Calibri" w:hAnsi="Calibri"/>
      <w:sz w:val="24"/>
    </w:rPr>
  </w:style>
  <w:style w:type="character" w:customStyle="1" w:styleId="DocumentMapChar">
    <w:name w:val="Document Map Char"/>
    <w:basedOn w:val="DefaultParagraphFont"/>
    <w:link w:val="DocumentMap"/>
    <w:uiPriority w:val="99"/>
    <w:semiHidden/>
    <w:qFormat/>
    <w:rsid w:val="00655177"/>
    <w:rPr>
      <w:rFonts w:ascii="Segoe UI" w:eastAsia="Calibri" w:hAnsi="Segoe UI" w:cs="Segoe UI"/>
      <w:sz w:val="16"/>
      <w:szCs w:val="16"/>
    </w:rPr>
  </w:style>
  <w:style w:type="character" w:customStyle="1" w:styleId="EndnoteTextChar">
    <w:name w:val="Endnote Text Char"/>
    <w:basedOn w:val="DefaultParagraphFont"/>
    <w:link w:val="EndnoteText"/>
    <w:uiPriority w:val="99"/>
    <w:semiHidden/>
    <w:qFormat/>
    <w:rsid w:val="00655177"/>
    <w:rPr>
      <w:rFonts w:ascii="Calibri" w:eastAsia="Calibri" w:hAnsi="Calibri"/>
      <w:sz w:val="20"/>
      <w:szCs w:val="20"/>
    </w:rPr>
  </w:style>
  <w:style w:type="character" w:customStyle="1" w:styleId="FootnoteTextChar">
    <w:name w:val="Footnote Text Char"/>
    <w:basedOn w:val="DefaultParagraphFont"/>
    <w:link w:val="FootnoteText"/>
    <w:uiPriority w:val="99"/>
    <w:semiHidden/>
    <w:qFormat/>
    <w:rsid w:val="00655177"/>
    <w:rPr>
      <w:rFonts w:ascii="Calibri" w:eastAsia="Calibri" w:hAnsi="Calibri"/>
      <w:sz w:val="20"/>
      <w:szCs w:val="20"/>
    </w:rPr>
  </w:style>
  <w:style w:type="character" w:customStyle="1" w:styleId="NoteHeadingChar">
    <w:name w:val="Note Heading Char"/>
    <w:basedOn w:val="DefaultParagraphFont"/>
    <w:link w:val="NoteHeading"/>
    <w:uiPriority w:val="99"/>
    <w:semiHidden/>
    <w:qFormat/>
    <w:rsid w:val="00655177"/>
    <w:rPr>
      <w:rFonts w:ascii="Calibri" w:eastAsia="Calibri" w:hAnsi="Calibri"/>
      <w:sz w:val="24"/>
    </w:rPr>
  </w:style>
  <w:style w:type="character" w:customStyle="1" w:styleId="SalutationChar">
    <w:name w:val="Salutation Char"/>
    <w:basedOn w:val="DefaultParagraphFont"/>
    <w:link w:val="Salutation"/>
    <w:uiPriority w:val="99"/>
    <w:semiHidden/>
    <w:qFormat/>
    <w:rsid w:val="00655177"/>
    <w:rPr>
      <w:rFonts w:ascii="Calibri" w:eastAsia="Calibri" w:hAnsi="Calibri"/>
      <w:sz w:val="24"/>
    </w:rPr>
  </w:style>
  <w:style w:type="character" w:customStyle="1" w:styleId="SignatureChar">
    <w:name w:val="Signature Char"/>
    <w:basedOn w:val="DefaultParagraphFont"/>
    <w:link w:val="Signature"/>
    <w:uiPriority w:val="99"/>
    <w:semiHidden/>
    <w:qFormat/>
    <w:rsid w:val="00655177"/>
    <w:rPr>
      <w:rFonts w:ascii="Calibri" w:eastAsia="Calibri" w:hAnsi="Calibri"/>
      <w:sz w:val="24"/>
    </w:rPr>
  </w:style>
  <w:style w:type="character" w:customStyle="1" w:styleId="z-TopofFormChar">
    <w:name w:val="z-Top of Form Char"/>
    <w:basedOn w:val="DefaultParagraphFont"/>
    <w:link w:val="z-TopofForm"/>
    <w:uiPriority w:val="99"/>
    <w:semiHidden/>
    <w:qFormat/>
    <w:rsid w:val="006715A6"/>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qFormat/>
    <w:rsid w:val="006715A6"/>
    <w:rPr>
      <w:rFonts w:ascii="Arial" w:eastAsia="Times New Roman" w:hAnsi="Arial" w:cs="Arial"/>
      <w:vanish/>
      <w:sz w:val="16"/>
      <w:szCs w:val="16"/>
    </w:rPr>
  </w:style>
  <w:style w:type="character" w:customStyle="1" w:styleId="cBeforeaftertableChar">
    <w:name w:val="c.Before_after_table Char"/>
    <w:basedOn w:val="DefaultParagraphFont"/>
    <w:link w:val="cBeforeaftertable"/>
    <w:qFormat/>
    <w:rsid w:val="00374758"/>
    <w:rPr>
      <w:rFonts w:ascii="Calibri" w:eastAsia="Calibri" w:hAnsi="Calibri"/>
      <w:sz w:val="16"/>
    </w:rPr>
  </w:style>
  <w:style w:type="character" w:customStyle="1" w:styleId="cTableHeaderChar">
    <w:name w:val="c.Table_Header Char"/>
    <w:basedOn w:val="DefaultParagraphFont"/>
    <w:link w:val="cTableHeader"/>
    <w:qFormat/>
    <w:rsid w:val="002F6DF8"/>
    <w:rPr>
      <w:rFonts w:asciiTheme="majorHAnsi" w:eastAsia="Calibri" w:hAnsiTheme="majorHAnsi"/>
      <w:b/>
      <w:color w:val="4F81BD" w:themeColor="accent1"/>
    </w:rPr>
  </w:style>
  <w:style w:type="character" w:customStyle="1" w:styleId="cTableBodyChar">
    <w:name w:val="c.Table_Body Char"/>
    <w:basedOn w:val="DefaultParagraphFont"/>
    <w:link w:val="cTableBody"/>
    <w:qFormat/>
    <w:rsid w:val="003E4594"/>
    <w:rPr>
      <w:rFonts w:asciiTheme="majorHAnsi" w:eastAsia="Calibri" w:hAnsiTheme="majorHAnsi"/>
      <w:sz w:val="20"/>
    </w:rPr>
  </w:style>
  <w:style w:type="character" w:customStyle="1" w:styleId="cTableTopRowBlueBackgroundChar">
    <w:name w:val="c.Table_Top_Row_Blue_Background Char"/>
    <w:basedOn w:val="cTableHeaderChar"/>
    <w:link w:val="cTableTopRowBlueBackground"/>
    <w:qFormat/>
    <w:rsid w:val="003C3374"/>
    <w:rPr>
      <w:rFonts w:asciiTheme="majorHAnsi" w:eastAsia="Times New Roman" w:hAnsiTheme="majorHAnsi" w:cstheme="majorHAnsi"/>
      <w:b/>
      <w:bCs/>
      <w:color w:val="4F81BD" w:themeColor="accent1"/>
      <w:szCs w:val="24"/>
    </w:rPr>
  </w:style>
  <w:style w:type="character" w:customStyle="1" w:styleId="TOC1Char">
    <w:name w:val="TOC 1 Char"/>
    <w:basedOn w:val="DefaultParagraphFont"/>
    <w:link w:val="TOC1"/>
    <w:uiPriority w:val="39"/>
    <w:qFormat/>
    <w:rsid w:val="000F02D0"/>
    <w:rPr>
      <w:rFonts w:ascii="Calibri" w:eastAsia="Calibri" w:hAnsi="Calibri"/>
      <w:noProof/>
      <w:sz w:val="24"/>
      <w:szCs w:val="28"/>
    </w:rPr>
  </w:style>
  <w:style w:type="character" w:customStyle="1" w:styleId="cTableofContentsChar">
    <w:name w:val="c.Table_of_Contents Char"/>
    <w:basedOn w:val="TOC1Char"/>
    <w:link w:val="cTableofContents"/>
    <w:qFormat/>
    <w:rsid w:val="006711D6"/>
    <w:rPr>
      <w:rFonts w:ascii="Calibri" w:eastAsia="Calibri" w:hAnsi="Calibri"/>
      <w:noProof/>
      <w:sz w:val="24"/>
      <w:szCs w:val="28"/>
    </w:rPr>
  </w:style>
  <w:style w:type="character" w:customStyle="1" w:styleId="IndexLink">
    <w:name w:val="Index Link"/>
    <w:qFormat/>
  </w:style>
  <w:style w:type="character" w:customStyle="1" w:styleId="bcharacterChar">
    <w:name w:val="b.character Char"/>
    <w:basedOn w:val="DefaultParagraphFont"/>
    <w:link w:val="bcharacter"/>
    <w:qFormat/>
    <w:rsid w:val="006964D0"/>
    <w:rPr>
      <w:rFonts w:asciiTheme="majorHAnsi" w:eastAsia="Times New Roman" w:hAnsiTheme="majorHAnsi"/>
      <w:b/>
      <w:bCs/>
      <w:color w:val="943634" w:themeColor="accent2" w:themeShade="BF"/>
      <w:sz w:val="24"/>
    </w:rPr>
  </w:style>
  <w:style w:type="character" w:customStyle="1" w:styleId="cPaperTitleChar">
    <w:name w:val="c.PaperTitle Char"/>
    <w:basedOn w:val="Heading3Char"/>
    <w:link w:val="cPaperTitle"/>
    <w:qFormat/>
    <w:rsid w:val="00091E7D"/>
    <w:rPr>
      <w:rFonts w:asciiTheme="majorHAnsi" w:eastAsiaTheme="majorEastAsia" w:hAnsiTheme="majorHAnsi" w:cstheme="majorBidi"/>
      <w:b/>
      <w:bCs/>
      <w:color w:val="4F81BD" w:themeColor="accent1"/>
      <w:sz w:val="24"/>
      <w:u w:val="single"/>
    </w:rPr>
  </w:style>
  <w:style w:type="character" w:customStyle="1" w:styleId="bblueindentChar">
    <w:name w:val="b.blue indent Char"/>
    <w:basedOn w:val="DefaultParagraphFont"/>
    <w:link w:val="bblueindent"/>
    <w:qFormat/>
    <w:rsid w:val="00F95946"/>
    <w:rPr>
      <w:rFonts w:asciiTheme="majorHAnsi" w:eastAsia="Times New Roman" w:hAnsiTheme="majorHAnsi" w:cstheme="majorHAnsi"/>
      <w:color w:val="4F81BD" w:themeColor="accent1"/>
      <w:sz w:val="24"/>
      <w:szCs w:val="24"/>
    </w:rPr>
  </w:style>
  <w:style w:type="character" w:customStyle="1" w:styleId="blist-bulletsChar">
    <w:name w:val="b.list-bullets Char"/>
    <w:basedOn w:val="DefaultParagraphFont"/>
    <w:link w:val="blist-bullets"/>
    <w:qFormat/>
    <w:rsid w:val="009C3BB3"/>
    <w:rPr>
      <w:rFonts w:ascii="Calibri" w:eastAsia="Calibri" w:hAnsi="Calibri"/>
      <w:sz w:val="24"/>
    </w:rPr>
  </w:style>
  <w:style w:type="character" w:customStyle="1" w:styleId="blist-numbersChar">
    <w:name w:val="b.list-numbers Char"/>
    <w:basedOn w:val="DefaultParagraphFont"/>
    <w:link w:val="blist-numbers"/>
    <w:qFormat/>
    <w:rsid w:val="005C7A21"/>
    <w:rPr>
      <w:rFonts w:ascii="Calibri" w:eastAsia="Times New Roman" w:hAnsi="Calibri" w:cstheme="majorHAnsi"/>
      <w:sz w:val="24"/>
      <w:szCs w:val="24"/>
    </w:rPr>
  </w:style>
  <w:style w:type="character" w:styleId="FollowedHyperlink">
    <w:name w:val="FollowedHyperlink"/>
    <w:basedOn w:val="DefaultParagraphFont"/>
    <w:uiPriority w:val="99"/>
    <w:semiHidden/>
    <w:unhideWhenUsed/>
    <w:rsid w:val="002970E1"/>
    <w:rPr>
      <w:color w:val="800080" w:themeColor="followedHyperlink"/>
      <w:u w:val="single"/>
    </w:rPr>
  </w:style>
  <w:style w:type="character" w:customStyle="1" w:styleId="bfigure-captionChar">
    <w:name w:val="b.figure-caption Char"/>
    <w:basedOn w:val="DefaultParagraphFont"/>
    <w:link w:val="bfigure-caption"/>
    <w:qFormat/>
    <w:rsid w:val="005918BE"/>
    <w:rPr>
      <w:rFonts w:ascii="Calibri" w:eastAsia="Calibri" w:hAnsi="Calibri"/>
      <w:i/>
      <w:color w:val="595959"/>
      <w:sz w:val="24"/>
    </w:rPr>
  </w:style>
  <w:style w:type="character" w:customStyle="1" w:styleId="blistNo-SpacebulletChar">
    <w:name w:val="b.list.No-Space.bullet Char"/>
    <w:basedOn w:val="blist-bulletsChar"/>
    <w:link w:val="blistNo-Spacebullet"/>
    <w:qFormat/>
    <w:rsid w:val="000B25A7"/>
    <w:rPr>
      <w:rFonts w:ascii="Calibri" w:eastAsia="Times New Roman" w:hAnsi="Calibri" w:cstheme="majorHAnsi"/>
      <w:sz w:val="24"/>
      <w:szCs w:val="24"/>
    </w:rPr>
  </w:style>
  <w:style w:type="paragraph" w:customStyle="1" w:styleId="Heading">
    <w:name w:val="Heading"/>
    <w:basedOn w:val="Normal"/>
    <w:next w:val="Normal"/>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before="280" w:after="140" w:line="276" w:lineRule="auto"/>
    </w:pPr>
  </w:style>
  <w:style w:type="paragraph" w:styleId="List">
    <w:name w:val="List"/>
    <w:basedOn w:val="Normal"/>
    <w:uiPriority w:val="99"/>
    <w:unhideWhenUsed/>
    <w:rsid w:val="00AA1D8D"/>
    <w:pPr>
      <w:spacing w:before="280" w:after="280"/>
      <w:ind w:left="360" w:hanging="360"/>
      <w:contextualSpacing/>
    </w:pPr>
  </w:style>
  <w:style w:type="paragraph" w:styleId="Caption">
    <w:name w:val="caption"/>
    <w:basedOn w:val="Normal"/>
    <w:next w:val="Normal"/>
    <w:uiPriority w:val="35"/>
    <w:semiHidden/>
    <w:unhideWhenUsed/>
    <w:qFormat/>
    <w:rsid w:val="00FC693F"/>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before="280" w:after="280"/>
    </w:pPr>
  </w:style>
  <w:style w:type="paragraph" w:styleId="Footer">
    <w:name w:val="footer"/>
    <w:basedOn w:val="Normal"/>
    <w:link w:val="FooterChar"/>
    <w:uiPriority w:val="99"/>
    <w:unhideWhenUsed/>
    <w:rsid w:val="00E618BF"/>
    <w:pPr>
      <w:tabs>
        <w:tab w:val="center" w:pos="4680"/>
        <w:tab w:val="right" w:pos="9360"/>
      </w:tabs>
      <w:spacing w:before="280" w:after="280"/>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before="280"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Cs w:val="24"/>
    </w:rPr>
  </w:style>
  <w:style w:type="paragraph" w:styleId="ListParagraph">
    <w:name w:val="List Paragraph"/>
    <w:basedOn w:val="Normal"/>
    <w:uiPriority w:val="34"/>
    <w:qFormat/>
    <w:rsid w:val="00FC693F"/>
    <w:pPr>
      <w:spacing w:before="280" w:after="280"/>
      <w:ind w:left="720"/>
      <w:contextualSpacing/>
    </w:pPr>
  </w:style>
  <w:style w:type="paragraph" w:styleId="ListBullet">
    <w:name w:val="List Bullet"/>
    <w:basedOn w:val="Normal"/>
    <w:uiPriority w:val="99"/>
    <w:unhideWhenUsed/>
    <w:rsid w:val="00326F90"/>
    <w:pPr>
      <w:numPr>
        <w:numId w:val="1"/>
      </w:numPr>
      <w:spacing w:before="280" w:after="280"/>
      <w:contextualSpacing/>
    </w:pPr>
  </w:style>
  <w:style w:type="paragraph" w:styleId="ListNumber">
    <w:name w:val="List Number"/>
    <w:basedOn w:val="Normal"/>
    <w:uiPriority w:val="99"/>
    <w:unhideWhenUsed/>
    <w:rsid w:val="00326F90"/>
    <w:pPr>
      <w:numPr>
        <w:numId w:val="2"/>
      </w:numPr>
      <w:spacing w:before="280" w:after="280"/>
      <w:contextualSpacing/>
    </w:pPr>
  </w:style>
  <w:style w:type="paragraph" w:styleId="ListContinue">
    <w:name w:val="List Continue"/>
    <w:basedOn w:val="Normal"/>
    <w:uiPriority w:val="99"/>
    <w:unhideWhenUsed/>
    <w:rsid w:val="0029639D"/>
    <w:pPr>
      <w:spacing w:before="280" w:after="120"/>
      <w:ind w:left="36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Normal"/>
    <w:next w:val="Index1"/>
    <w:uiPriority w:val="99"/>
    <w:semiHidden/>
    <w:unhideWhenUsed/>
    <w:rsid w:val="00655177"/>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FC693F"/>
    <w:pPr>
      <w:outlineLvl w:val="9"/>
    </w:pPr>
  </w:style>
  <w:style w:type="paragraph" w:customStyle="1" w:styleId="cUserPromptText">
    <w:name w:val="c.User_Prompt_Text"/>
    <w:basedOn w:val="Normal"/>
    <w:link w:val="UserPromptTextChar"/>
    <w:qFormat/>
    <w:rsid w:val="00D70219"/>
    <w:rPr>
      <w:color w:val="C0504D" w:themeColor="accent2"/>
    </w:rPr>
  </w:style>
  <w:style w:type="paragraph" w:customStyle="1" w:styleId="cUserPromptHeading">
    <w:name w:val="c.User_Prompt_Heading"/>
    <w:basedOn w:val="Normal"/>
    <w:link w:val="UserPromptHeadingChar"/>
    <w:qFormat/>
    <w:rsid w:val="00D70219"/>
    <w:rPr>
      <w:b/>
      <w:bCs/>
      <w:color w:val="C0504D" w:themeColor="accent2"/>
    </w:rPr>
  </w:style>
  <w:style w:type="paragraph" w:styleId="NormalWeb">
    <w:name w:val="Normal (Web)"/>
    <w:basedOn w:val="Normal"/>
    <w:uiPriority w:val="99"/>
    <w:semiHidden/>
    <w:unhideWhenUsed/>
    <w:qFormat/>
    <w:rsid w:val="003707A2"/>
    <w:rPr>
      <w:rFonts w:ascii="Times New Roman" w:eastAsia="Times New Roman" w:hAnsi="Times New Roman" w:cs="Times New Roman"/>
      <w:szCs w:val="24"/>
    </w:rPr>
  </w:style>
  <w:style w:type="paragraph" w:customStyle="1" w:styleId="cSubjectStyle">
    <w:name w:val="c. SubjectStyle"/>
    <w:basedOn w:val="Normal"/>
    <w:link w:val="SubjectStyleChar"/>
    <w:qFormat/>
    <w:rsid w:val="004C2413"/>
    <w:rPr>
      <w:rFonts w:asciiTheme="majorHAnsi" w:eastAsia="Times New Roman" w:hAnsiTheme="majorHAnsi" w:cstheme="majorHAnsi"/>
      <w:b/>
      <w:bCs/>
      <w:color w:val="943634" w:themeColor="accent2" w:themeShade="BF"/>
      <w:szCs w:val="24"/>
      <w:u w:val="single"/>
    </w:rPr>
  </w:style>
  <w:style w:type="paragraph" w:customStyle="1" w:styleId="cSubject">
    <w:name w:val="c.Subject"/>
    <w:basedOn w:val="Normal"/>
    <w:link w:val="SubjectChar"/>
    <w:qFormat/>
    <w:rsid w:val="001132D9"/>
    <w:rPr>
      <w:b/>
      <w:bCs/>
      <w:color w:val="548DD4" w:themeColor="text2" w:themeTint="99"/>
      <w:u w:val="single"/>
    </w:rPr>
  </w:style>
  <w:style w:type="paragraph" w:styleId="TOC1">
    <w:name w:val="toc 1"/>
    <w:basedOn w:val="Normal"/>
    <w:next w:val="Normal"/>
    <w:link w:val="TOC1Char"/>
    <w:autoRedefine/>
    <w:uiPriority w:val="39"/>
    <w:unhideWhenUsed/>
    <w:rsid w:val="000F02D0"/>
    <w:pPr>
      <w:tabs>
        <w:tab w:val="right" w:leader="dot" w:pos="9638"/>
      </w:tabs>
      <w:spacing w:before="160" w:beforeAutospacing="0" w:after="160" w:afterAutospacing="0" w:line="240" w:lineRule="exact"/>
    </w:pPr>
    <w:rPr>
      <w:noProof/>
      <w:szCs w:val="28"/>
    </w:rPr>
  </w:style>
  <w:style w:type="paragraph" w:customStyle="1" w:styleId="bhyperlink">
    <w:name w:val="b.hyperlink"/>
    <w:basedOn w:val="Normal"/>
    <w:link w:val="bhyperlinkChar"/>
    <w:qFormat/>
    <w:rsid w:val="00CE3845"/>
    <w:pPr>
      <w:spacing w:before="280" w:after="120" w:line="259" w:lineRule="auto"/>
    </w:pPr>
    <w:rPr>
      <w:rFonts w:asciiTheme="minorHAnsi" w:eastAsiaTheme="minorHAnsi" w:hAnsiTheme="minorHAnsi"/>
      <w:color w:val="7F7F7F" w:themeColor="text1" w:themeTint="80"/>
      <w:u w:val="single"/>
      <w:shd w:val="clear" w:color="auto" w:fill="FFFFFF"/>
    </w:rPr>
  </w:style>
  <w:style w:type="paragraph" w:styleId="TOC2">
    <w:name w:val="toc 2"/>
    <w:basedOn w:val="Normal"/>
    <w:next w:val="Normal"/>
    <w:autoRedefine/>
    <w:uiPriority w:val="39"/>
    <w:unhideWhenUsed/>
    <w:rsid w:val="00634C55"/>
    <w:pPr>
      <w:spacing w:before="280" w:after="280"/>
      <w:ind w:left="245"/>
    </w:pPr>
    <w:rPr>
      <w:sz w:val="20"/>
    </w:rPr>
  </w:style>
  <w:style w:type="paragraph" w:styleId="TOC3">
    <w:name w:val="toc 3"/>
    <w:basedOn w:val="Normal"/>
    <w:next w:val="Normal"/>
    <w:autoRedefine/>
    <w:uiPriority w:val="39"/>
    <w:unhideWhenUsed/>
    <w:rsid w:val="00634C55"/>
    <w:pPr>
      <w:spacing w:before="280" w:after="280" w:line="278" w:lineRule="auto"/>
      <w:ind w:left="480"/>
    </w:pPr>
    <w:rPr>
      <w:rFonts w:asciiTheme="minorHAnsi" w:eastAsiaTheme="minorEastAsia" w:hAnsiTheme="minorHAnsi"/>
      <w:kern w:val="2"/>
      <w:szCs w:val="24"/>
    </w:rPr>
  </w:style>
  <w:style w:type="paragraph" w:styleId="TOC4">
    <w:name w:val="toc 4"/>
    <w:basedOn w:val="Normal"/>
    <w:next w:val="Normal"/>
    <w:autoRedefine/>
    <w:uiPriority w:val="39"/>
    <w:unhideWhenUsed/>
    <w:rsid w:val="00634C55"/>
    <w:pPr>
      <w:spacing w:before="280" w:after="280" w:line="278" w:lineRule="auto"/>
      <w:ind w:left="720"/>
    </w:pPr>
    <w:rPr>
      <w:rFonts w:asciiTheme="minorHAnsi" w:eastAsiaTheme="minorEastAsia" w:hAnsiTheme="minorHAnsi"/>
      <w:kern w:val="2"/>
      <w:szCs w:val="24"/>
    </w:rPr>
  </w:style>
  <w:style w:type="paragraph" w:styleId="TOC5">
    <w:name w:val="toc 5"/>
    <w:basedOn w:val="Normal"/>
    <w:next w:val="Normal"/>
    <w:autoRedefine/>
    <w:uiPriority w:val="39"/>
    <w:unhideWhenUsed/>
    <w:rsid w:val="00634C55"/>
    <w:pPr>
      <w:spacing w:before="280" w:after="280" w:line="278" w:lineRule="auto"/>
      <w:ind w:left="960"/>
    </w:pPr>
    <w:rPr>
      <w:rFonts w:asciiTheme="minorHAnsi" w:eastAsiaTheme="minorEastAsia" w:hAnsiTheme="minorHAnsi"/>
      <w:kern w:val="2"/>
      <w:szCs w:val="24"/>
    </w:rPr>
  </w:style>
  <w:style w:type="paragraph" w:styleId="TOC6">
    <w:name w:val="toc 6"/>
    <w:basedOn w:val="Normal"/>
    <w:next w:val="Normal"/>
    <w:autoRedefine/>
    <w:uiPriority w:val="39"/>
    <w:unhideWhenUsed/>
    <w:rsid w:val="00634C55"/>
    <w:pPr>
      <w:spacing w:before="280" w:after="280" w:line="278" w:lineRule="auto"/>
      <w:ind w:left="1200"/>
    </w:pPr>
    <w:rPr>
      <w:rFonts w:asciiTheme="minorHAnsi" w:eastAsiaTheme="minorEastAsia" w:hAnsiTheme="minorHAnsi"/>
      <w:kern w:val="2"/>
      <w:szCs w:val="24"/>
    </w:rPr>
  </w:style>
  <w:style w:type="paragraph" w:styleId="TOC7">
    <w:name w:val="toc 7"/>
    <w:basedOn w:val="Normal"/>
    <w:next w:val="Normal"/>
    <w:autoRedefine/>
    <w:uiPriority w:val="39"/>
    <w:unhideWhenUsed/>
    <w:rsid w:val="00634C55"/>
    <w:pPr>
      <w:spacing w:before="280" w:after="280" w:line="278" w:lineRule="auto"/>
      <w:ind w:left="1440"/>
    </w:pPr>
    <w:rPr>
      <w:rFonts w:asciiTheme="minorHAnsi" w:eastAsiaTheme="minorEastAsia" w:hAnsiTheme="minorHAnsi"/>
      <w:kern w:val="2"/>
      <w:szCs w:val="24"/>
    </w:rPr>
  </w:style>
  <w:style w:type="paragraph" w:styleId="TOC8">
    <w:name w:val="toc 8"/>
    <w:basedOn w:val="Normal"/>
    <w:next w:val="Normal"/>
    <w:autoRedefine/>
    <w:uiPriority w:val="39"/>
    <w:unhideWhenUsed/>
    <w:rsid w:val="00634C55"/>
    <w:pPr>
      <w:spacing w:before="280" w:after="280" w:line="278" w:lineRule="auto"/>
      <w:ind w:left="1680"/>
    </w:pPr>
    <w:rPr>
      <w:rFonts w:asciiTheme="minorHAnsi" w:eastAsiaTheme="minorEastAsia" w:hAnsiTheme="minorHAnsi"/>
      <w:kern w:val="2"/>
      <w:szCs w:val="24"/>
    </w:rPr>
  </w:style>
  <w:style w:type="paragraph" w:styleId="TOC9">
    <w:name w:val="toc 9"/>
    <w:basedOn w:val="Normal"/>
    <w:next w:val="Normal"/>
    <w:autoRedefine/>
    <w:uiPriority w:val="39"/>
    <w:unhideWhenUsed/>
    <w:rsid w:val="00634C55"/>
    <w:pPr>
      <w:spacing w:before="280" w:after="280" w:line="278" w:lineRule="auto"/>
      <w:ind w:left="1920"/>
    </w:pPr>
    <w:rPr>
      <w:rFonts w:asciiTheme="minorHAnsi" w:eastAsiaTheme="minorEastAsia" w:hAnsiTheme="minorHAnsi"/>
      <w:kern w:val="2"/>
      <w:szCs w:val="24"/>
    </w:rPr>
  </w:style>
  <w:style w:type="paragraph" w:styleId="Bibliography">
    <w:name w:val="Bibliography"/>
    <w:basedOn w:val="Normal"/>
    <w:next w:val="Normal"/>
    <w:uiPriority w:val="37"/>
    <w:semiHidden/>
    <w:unhideWhenUsed/>
    <w:qFormat/>
    <w:rsid w:val="00655177"/>
  </w:style>
  <w:style w:type="paragraph" w:styleId="BlockText">
    <w:name w:val="Block Text"/>
    <w:basedOn w:val="Normal"/>
    <w:uiPriority w:val="99"/>
    <w:semiHidden/>
    <w:unhideWhenUsed/>
    <w:qFormat/>
    <w:rsid w:val="0065517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FirstIndent">
    <w:name w:val="Body Text First Indent"/>
    <w:basedOn w:val="Normal"/>
    <w:link w:val="BodyTextFirstIndentChar"/>
    <w:uiPriority w:val="99"/>
    <w:semiHidden/>
    <w:unhideWhenUsed/>
    <w:rsid w:val="00E95F25"/>
    <w:pPr>
      <w:spacing w:before="280" w:after="160"/>
      <w:ind w:firstLine="360"/>
    </w:pPr>
  </w:style>
  <w:style w:type="paragraph" w:styleId="BodyTextIndent">
    <w:name w:val="Body Text Indent"/>
    <w:basedOn w:val="Normal"/>
    <w:link w:val="BodyTextIndentChar"/>
    <w:uiPriority w:val="99"/>
    <w:semiHidden/>
    <w:unhideWhenUsed/>
    <w:rsid w:val="00655177"/>
    <w:pPr>
      <w:spacing w:before="280" w:after="120"/>
      <w:ind w:left="360"/>
    </w:pPr>
  </w:style>
  <w:style w:type="paragraph" w:styleId="BodyTextIndent3">
    <w:name w:val="Body Text Indent 3"/>
    <w:basedOn w:val="Normal"/>
    <w:link w:val="BodyTextIndent3Char"/>
    <w:uiPriority w:val="99"/>
    <w:semiHidden/>
    <w:unhideWhenUsed/>
    <w:qFormat/>
    <w:rsid w:val="00655177"/>
    <w:pPr>
      <w:spacing w:before="280" w:after="120"/>
      <w:ind w:left="360"/>
    </w:pPr>
    <w:rPr>
      <w:sz w:val="16"/>
      <w:szCs w:val="16"/>
    </w:rPr>
  </w:style>
  <w:style w:type="paragraph" w:styleId="CommentText">
    <w:name w:val="annotation text"/>
    <w:basedOn w:val="Normal"/>
    <w:link w:val="CommentTextChar"/>
    <w:uiPriority w:val="99"/>
    <w:semiHidden/>
    <w:unhideWhenUsed/>
    <w:rsid w:val="00655177"/>
    <w:rPr>
      <w:sz w:val="20"/>
      <w:szCs w:val="20"/>
    </w:rPr>
  </w:style>
  <w:style w:type="paragraph" w:styleId="CommentSubject">
    <w:name w:val="annotation subject"/>
    <w:basedOn w:val="CommentText"/>
    <w:next w:val="CommentText"/>
    <w:link w:val="CommentSubjectChar"/>
    <w:uiPriority w:val="99"/>
    <w:semiHidden/>
    <w:unhideWhenUsed/>
    <w:qFormat/>
    <w:rsid w:val="00655177"/>
    <w:rPr>
      <w:b/>
      <w:bCs/>
    </w:rPr>
  </w:style>
  <w:style w:type="paragraph" w:styleId="Date">
    <w:name w:val="Date"/>
    <w:basedOn w:val="Normal"/>
    <w:next w:val="Normal"/>
    <w:link w:val="DateChar"/>
    <w:uiPriority w:val="99"/>
    <w:semiHidden/>
    <w:unhideWhenUsed/>
    <w:qFormat/>
    <w:rsid w:val="00655177"/>
  </w:style>
  <w:style w:type="paragraph" w:styleId="DocumentMap">
    <w:name w:val="Document Map"/>
    <w:basedOn w:val="Normal"/>
    <w:link w:val="DocumentMapChar"/>
    <w:uiPriority w:val="99"/>
    <w:semiHidden/>
    <w:unhideWhenUsed/>
    <w:qFormat/>
    <w:rsid w:val="00655177"/>
    <w:rPr>
      <w:rFonts w:ascii="Segoe UI" w:hAnsi="Segoe UI" w:cs="Segoe UI"/>
      <w:sz w:val="16"/>
      <w:szCs w:val="16"/>
    </w:rPr>
  </w:style>
  <w:style w:type="paragraph" w:styleId="EndnoteText">
    <w:name w:val="endnote text"/>
    <w:basedOn w:val="Normal"/>
    <w:link w:val="EndnoteTextChar"/>
    <w:uiPriority w:val="99"/>
    <w:semiHidden/>
    <w:unhideWhenUsed/>
    <w:rsid w:val="00655177"/>
    <w:rPr>
      <w:sz w:val="20"/>
      <w:szCs w:val="20"/>
    </w:rPr>
  </w:style>
  <w:style w:type="paragraph" w:styleId="FootnoteText">
    <w:name w:val="footnote text"/>
    <w:basedOn w:val="Normal"/>
    <w:link w:val="FootnoteTextChar"/>
    <w:uiPriority w:val="99"/>
    <w:semiHidden/>
    <w:unhideWhenUsed/>
    <w:rsid w:val="00655177"/>
    <w:rPr>
      <w:sz w:val="20"/>
      <w:szCs w:val="20"/>
    </w:rPr>
  </w:style>
  <w:style w:type="paragraph" w:styleId="Index1">
    <w:name w:val="index 1"/>
    <w:basedOn w:val="Normal"/>
    <w:next w:val="Normal"/>
    <w:autoRedefine/>
    <w:uiPriority w:val="99"/>
    <w:semiHidden/>
    <w:unhideWhenUsed/>
    <w:rsid w:val="00655177"/>
    <w:pPr>
      <w:ind w:left="240" w:hanging="240"/>
    </w:pPr>
  </w:style>
  <w:style w:type="paragraph" w:styleId="Index2">
    <w:name w:val="index 2"/>
    <w:basedOn w:val="Normal"/>
    <w:next w:val="Normal"/>
    <w:autoRedefine/>
    <w:uiPriority w:val="99"/>
    <w:semiHidden/>
    <w:unhideWhenUsed/>
    <w:rsid w:val="00655177"/>
    <w:pPr>
      <w:ind w:left="480" w:hanging="240"/>
    </w:pPr>
  </w:style>
  <w:style w:type="paragraph" w:styleId="Index3">
    <w:name w:val="index 3"/>
    <w:basedOn w:val="Normal"/>
    <w:next w:val="Normal"/>
    <w:autoRedefine/>
    <w:uiPriority w:val="99"/>
    <w:semiHidden/>
    <w:unhideWhenUsed/>
    <w:rsid w:val="00655177"/>
    <w:pPr>
      <w:ind w:left="720" w:hanging="240"/>
    </w:pPr>
  </w:style>
  <w:style w:type="paragraph" w:styleId="Index4">
    <w:name w:val="index 4"/>
    <w:basedOn w:val="Normal"/>
    <w:next w:val="Normal"/>
    <w:autoRedefine/>
    <w:uiPriority w:val="99"/>
    <w:semiHidden/>
    <w:unhideWhenUsed/>
    <w:qFormat/>
    <w:rsid w:val="00655177"/>
    <w:pPr>
      <w:ind w:left="960" w:hanging="240"/>
    </w:pPr>
  </w:style>
  <w:style w:type="paragraph" w:styleId="NormalIndent">
    <w:name w:val="Normal Indent"/>
    <w:basedOn w:val="Normal"/>
    <w:uiPriority w:val="99"/>
    <w:semiHidden/>
    <w:unhideWhenUsed/>
    <w:qFormat/>
    <w:rsid w:val="00655177"/>
    <w:pPr>
      <w:ind w:left="720"/>
    </w:pPr>
  </w:style>
  <w:style w:type="paragraph" w:styleId="NoteHeading">
    <w:name w:val="Note Heading"/>
    <w:basedOn w:val="Normal"/>
    <w:next w:val="Normal"/>
    <w:link w:val="NoteHeadingChar"/>
    <w:uiPriority w:val="99"/>
    <w:semiHidden/>
    <w:unhideWhenUsed/>
    <w:qFormat/>
    <w:rsid w:val="00655177"/>
  </w:style>
  <w:style w:type="paragraph" w:styleId="Salutation">
    <w:name w:val="Salutation"/>
    <w:basedOn w:val="Normal"/>
    <w:next w:val="Normal"/>
    <w:link w:val="SalutationChar"/>
    <w:uiPriority w:val="99"/>
    <w:semiHidden/>
    <w:unhideWhenUsed/>
    <w:rsid w:val="00655177"/>
  </w:style>
  <w:style w:type="paragraph" w:styleId="Signature">
    <w:name w:val="Signature"/>
    <w:basedOn w:val="Normal"/>
    <w:link w:val="SignatureChar"/>
    <w:uiPriority w:val="99"/>
    <w:semiHidden/>
    <w:unhideWhenUsed/>
    <w:rsid w:val="00655177"/>
    <w:pPr>
      <w:ind w:left="4320"/>
    </w:pPr>
  </w:style>
  <w:style w:type="paragraph" w:styleId="TableofAuthorities">
    <w:name w:val="table of authorities"/>
    <w:basedOn w:val="Normal"/>
    <w:next w:val="Normal"/>
    <w:uiPriority w:val="99"/>
    <w:semiHidden/>
    <w:unhideWhenUsed/>
    <w:rsid w:val="00655177"/>
    <w:pPr>
      <w:spacing w:before="280" w:after="280"/>
      <w:ind w:left="240" w:hanging="240"/>
    </w:pPr>
  </w:style>
  <w:style w:type="paragraph" w:styleId="TableofFigures">
    <w:name w:val="table of figures"/>
    <w:basedOn w:val="Normal"/>
    <w:next w:val="Normal"/>
    <w:uiPriority w:val="99"/>
    <w:semiHidden/>
    <w:unhideWhenUsed/>
    <w:rsid w:val="00655177"/>
    <w:pPr>
      <w:spacing w:before="280" w:after="280"/>
    </w:pPr>
  </w:style>
  <w:style w:type="paragraph" w:styleId="TOAHeading">
    <w:name w:val="toa heading"/>
    <w:basedOn w:val="Normal"/>
    <w:next w:val="Normal"/>
    <w:uiPriority w:val="99"/>
    <w:semiHidden/>
    <w:unhideWhenUsed/>
    <w:qFormat/>
    <w:rsid w:val="00655177"/>
    <w:pPr>
      <w:spacing w:before="120" w:after="280"/>
    </w:pPr>
    <w:rPr>
      <w:rFonts w:asciiTheme="majorHAnsi" w:eastAsiaTheme="majorEastAsia" w:hAnsiTheme="majorHAnsi" w:cstheme="majorBidi"/>
      <w:b/>
      <w:bCs/>
      <w:szCs w:val="24"/>
    </w:rPr>
  </w:style>
  <w:style w:type="paragraph" w:styleId="z-TopofForm">
    <w:name w:val="HTML Top of Form"/>
    <w:basedOn w:val="Normal"/>
    <w:next w:val="Normal"/>
    <w:link w:val="z-TopofFormChar"/>
    <w:uiPriority w:val="99"/>
    <w:semiHidden/>
    <w:unhideWhenUsed/>
    <w:qFormat/>
    <w:rsid w:val="006715A6"/>
    <w:pPr>
      <w:pBdr>
        <w:bottom w:val="single" w:sz="6" w:space="1" w:color="000000"/>
      </w:pBdr>
      <w:jc w:val="center"/>
    </w:pPr>
    <w:rPr>
      <w:rFonts w:ascii="Arial" w:eastAsia="Times New Roman" w:hAnsi="Arial" w:cs="Arial"/>
      <w:vanish/>
      <w:sz w:val="16"/>
      <w:szCs w:val="16"/>
    </w:rPr>
  </w:style>
  <w:style w:type="paragraph" w:styleId="z-BottomofForm">
    <w:name w:val="HTML Bottom of Form"/>
    <w:basedOn w:val="Normal"/>
    <w:next w:val="Normal"/>
    <w:link w:val="z-BottomofFormChar"/>
    <w:uiPriority w:val="99"/>
    <w:semiHidden/>
    <w:unhideWhenUsed/>
    <w:qFormat/>
    <w:rsid w:val="006715A6"/>
    <w:pPr>
      <w:pBdr>
        <w:top w:val="single" w:sz="6" w:space="1" w:color="000000"/>
      </w:pBdr>
      <w:jc w:val="center"/>
    </w:pPr>
    <w:rPr>
      <w:rFonts w:ascii="Arial" w:eastAsia="Times New Roman" w:hAnsi="Arial" w:cs="Arial"/>
      <w:vanish/>
      <w:sz w:val="16"/>
      <w:szCs w:val="16"/>
    </w:rPr>
  </w:style>
  <w:style w:type="paragraph" w:customStyle="1" w:styleId="cBeforeaftertable">
    <w:name w:val="c.Before_after_table"/>
    <w:basedOn w:val="Normal"/>
    <w:link w:val="cBeforeaftertableChar"/>
    <w:qFormat/>
    <w:rsid w:val="00374758"/>
    <w:rPr>
      <w:sz w:val="16"/>
    </w:rPr>
  </w:style>
  <w:style w:type="paragraph" w:customStyle="1" w:styleId="cTableHeader">
    <w:name w:val="c.Table_Header"/>
    <w:basedOn w:val="Normal"/>
    <w:link w:val="cTableHeaderChar"/>
    <w:qFormat/>
    <w:rsid w:val="002F6DF8"/>
    <w:pPr>
      <w:spacing w:before="20" w:beforeAutospacing="0" w:after="20" w:afterAutospacing="0"/>
      <w:jc w:val="center"/>
    </w:pPr>
    <w:rPr>
      <w:rFonts w:asciiTheme="majorHAnsi" w:hAnsiTheme="majorHAnsi"/>
      <w:b/>
      <w:color w:val="4F81BD" w:themeColor="accent1"/>
      <w:sz w:val="22"/>
    </w:rPr>
  </w:style>
  <w:style w:type="paragraph" w:customStyle="1" w:styleId="cTableBody">
    <w:name w:val="c.Table_Body"/>
    <w:basedOn w:val="Normal"/>
    <w:link w:val="cTableBodyChar"/>
    <w:qFormat/>
    <w:rsid w:val="003E4594"/>
    <w:pPr>
      <w:spacing w:before="280" w:after="280"/>
    </w:pPr>
    <w:rPr>
      <w:rFonts w:asciiTheme="majorHAnsi" w:hAnsiTheme="majorHAnsi"/>
      <w:sz w:val="20"/>
    </w:rPr>
  </w:style>
  <w:style w:type="paragraph" w:customStyle="1" w:styleId="cTableTopRowBlueBackground">
    <w:name w:val="c.Table_Top_Row_Blue_Background"/>
    <w:basedOn w:val="cTableHeader"/>
    <w:link w:val="cTableTopRowBlueBackgroundChar"/>
    <w:qFormat/>
    <w:rsid w:val="003C3374"/>
    <w:pPr>
      <w:spacing w:before="0"/>
    </w:pPr>
    <w:rPr>
      <w:rFonts w:eastAsia="Times New Roman" w:cstheme="majorHAnsi"/>
      <w:bCs/>
      <w:szCs w:val="24"/>
    </w:rPr>
  </w:style>
  <w:style w:type="paragraph" w:customStyle="1" w:styleId="cTableofContents">
    <w:name w:val="c.Table_of_Contents"/>
    <w:basedOn w:val="TOC1"/>
    <w:link w:val="cTableofContentsChar"/>
    <w:qFormat/>
    <w:rsid w:val="006711D6"/>
    <w:pPr>
      <w:spacing w:before="60" w:after="60" w:line="288" w:lineRule="auto"/>
    </w:pPr>
  </w:style>
  <w:style w:type="paragraph" w:customStyle="1" w:styleId="bcharacter">
    <w:name w:val="b.character"/>
    <w:basedOn w:val="Normal"/>
    <w:link w:val="bcharacterChar"/>
    <w:qFormat/>
    <w:rsid w:val="006964D0"/>
    <w:pPr>
      <w:suppressAutoHyphens w:val="0"/>
      <w:spacing w:before="280" w:beforeAutospacing="0" w:after="120" w:afterAutospacing="0" w:line="252" w:lineRule="auto"/>
      <w:ind w:left="720"/>
    </w:pPr>
    <w:rPr>
      <w:rFonts w:asciiTheme="majorHAnsi" w:eastAsia="Times New Roman" w:hAnsiTheme="majorHAnsi"/>
      <w:b/>
      <w:bCs/>
      <w:color w:val="943634" w:themeColor="accent2" w:themeShade="BF"/>
    </w:rPr>
  </w:style>
  <w:style w:type="paragraph" w:customStyle="1" w:styleId="aLink-Title">
    <w:name w:val="a.Link-Title"/>
    <w:basedOn w:val="Normal"/>
    <w:qFormat/>
    <w:rsid w:val="002F3656"/>
    <w:pPr>
      <w:keepNext/>
      <w:suppressAutoHyphens w:val="0"/>
      <w:spacing w:before="280" w:beforeAutospacing="0" w:after="280" w:afterAutospacing="0" w:line="259" w:lineRule="auto"/>
      <w:ind w:left="720"/>
    </w:pPr>
    <w:rPr>
      <w:rFonts w:ascii="Courier New" w:eastAsiaTheme="minorHAnsi" w:hAnsi="Courier New" w:cs="Courier New"/>
      <w:sz w:val="22"/>
    </w:rPr>
  </w:style>
  <w:style w:type="paragraph" w:customStyle="1" w:styleId="aLinkurl">
    <w:name w:val="a.Link.url"/>
    <w:basedOn w:val="Normal"/>
    <w:qFormat/>
    <w:rsid w:val="002F3656"/>
    <w:pPr>
      <w:tabs>
        <w:tab w:val="left" w:pos="360"/>
        <w:tab w:val="left" w:pos="720"/>
        <w:tab w:val="left" w:pos="1440"/>
        <w:tab w:val="left" w:pos="2160"/>
        <w:tab w:val="left" w:pos="2880"/>
      </w:tabs>
      <w:suppressAutoHyphens w:val="0"/>
      <w:spacing w:before="280" w:beforeAutospacing="0" w:after="280" w:afterAutospacing="0" w:line="259" w:lineRule="auto"/>
      <w:ind w:left="720"/>
    </w:pPr>
    <w:rPr>
      <w:rFonts w:ascii="Courier New" w:eastAsiaTheme="minorHAnsi" w:hAnsi="Courier New" w:cs="Courier New"/>
      <w:color w:val="948A54" w:themeColor="background2" w:themeShade="80"/>
      <w:sz w:val="22"/>
      <w:szCs w:val="20"/>
      <w:u w:val="single"/>
    </w:rPr>
  </w:style>
  <w:style w:type="paragraph" w:customStyle="1" w:styleId="cPaperTitle">
    <w:name w:val="c.PaperTitle"/>
    <w:basedOn w:val="Heading3"/>
    <w:link w:val="cPaperTitleChar"/>
    <w:qFormat/>
    <w:rsid w:val="00091E7D"/>
    <w:pPr>
      <w:pBdr>
        <w:top w:val="single" w:sz="4" w:space="1" w:color="4F81BD" w:themeColor="accent1"/>
      </w:pBdr>
      <w:suppressAutoHyphens w:val="0"/>
      <w:spacing w:line="276" w:lineRule="auto"/>
    </w:pPr>
    <w:rPr>
      <w:color w:val="4F81BD" w:themeColor="accent1"/>
      <w:sz w:val="24"/>
      <w:u w:val="none"/>
    </w:rPr>
  </w:style>
  <w:style w:type="paragraph" w:customStyle="1" w:styleId="bblueindent">
    <w:name w:val="b.blue indent"/>
    <w:basedOn w:val="Normal"/>
    <w:link w:val="bblueindentChar"/>
    <w:qFormat/>
    <w:rsid w:val="00F95946"/>
    <w:pPr>
      <w:suppressAutoHyphens w:val="0"/>
      <w:ind w:left="360" w:right="18"/>
    </w:pPr>
    <w:rPr>
      <w:rFonts w:asciiTheme="majorHAnsi" w:eastAsia="Times New Roman" w:hAnsiTheme="majorHAnsi" w:cstheme="majorHAnsi"/>
      <w:color w:val="4F81BD" w:themeColor="accent1"/>
      <w:szCs w:val="24"/>
    </w:rPr>
  </w:style>
  <w:style w:type="paragraph" w:customStyle="1" w:styleId="blist-bullets">
    <w:name w:val="b.list-bullets"/>
    <w:basedOn w:val="Normal"/>
    <w:link w:val="blist-bulletsChar"/>
    <w:qFormat/>
    <w:rsid w:val="009C3BB3"/>
    <w:pPr>
      <w:numPr>
        <w:numId w:val="3"/>
      </w:numPr>
      <w:tabs>
        <w:tab w:val="clear" w:pos="720"/>
      </w:tabs>
      <w:suppressAutoHyphens w:val="0"/>
      <w:spacing w:before="160" w:beforeAutospacing="0" w:after="160" w:afterAutospacing="0"/>
      <w:ind w:left="360"/>
    </w:pPr>
  </w:style>
  <w:style w:type="paragraph" w:customStyle="1" w:styleId="blist-numbers">
    <w:name w:val="b.list-numbers"/>
    <w:basedOn w:val="Normal"/>
    <w:link w:val="blist-numbersChar"/>
    <w:qFormat/>
    <w:rsid w:val="005C7A21"/>
    <w:pPr>
      <w:suppressAutoHyphens w:val="0"/>
      <w:spacing w:before="280" w:after="280"/>
      <w:ind w:left="540" w:hanging="360"/>
    </w:pPr>
    <w:rPr>
      <w:rFonts w:eastAsia="Times New Roman" w:cstheme="majorHAnsi"/>
      <w:szCs w:val="24"/>
    </w:rPr>
  </w:style>
  <w:style w:type="paragraph" w:customStyle="1" w:styleId="bfigure-caption">
    <w:name w:val="b.figure-caption"/>
    <w:basedOn w:val="Normal"/>
    <w:link w:val="bfigure-captionChar"/>
    <w:qFormat/>
    <w:rsid w:val="005918BE"/>
    <w:pPr>
      <w:jc w:val="center"/>
    </w:pPr>
    <w:rPr>
      <w:i/>
      <w:color w:val="595959"/>
    </w:rPr>
  </w:style>
  <w:style w:type="paragraph" w:customStyle="1" w:styleId="blistNo-Spacebullet">
    <w:name w:val="b.list.No-Space.bullet"/>
    <w:basedOn w:val="blist-bullets"/>
    <w:link w:val="blistNo-SpacebulletChar"/>
    <w:qFormat/>
    <w:rsid w:val="000B25A7"/>
    <w:pPr>
      <w:numPr>
        <w:numId w:val="4"/>
      </w:numPr>
      <w:spacing w:before="0" w:after="0"/>
    </w:pPr>
    <w:rPr>
      <w:rFonts w:eastAsia="Times New Roman" w:cstheme="majorHAnsi"/>
      <w:szCs w:val="24"/>
    </w:rPr>
  </w:style>
  <w:style w:type="numbering" w:customStyle="1" w:styleId="NoList1">
    <w:name w:val="No List1"/>
    <w:uiPriority w:val="99"/>
    <w:semiHidden/>
    <w:unhideWhenUsed/>
    <w:qFormat/>
    <w:rsid w:val="003707A2"/>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gswTableStyle">
    <w:name w:val="gsw.TableStyle"/>
    <w:basedOn w:val="TableNormal"/>
    <w:uiPriority w:val="99"/>
    <w:rsid w:val="00477BDB"/>
    <w:pPr>
      <w:spacing w:before="40" w:after="40" w:line="288" w:lineRule="auto"/>
    </w:pPr>
    <w:rPr>
      <w:sz w:val="20"/>
    </w:rPr>
    <w:tblPr>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Pr>
    <w:tblStylePr w:type="firstRow">
      <w:pPr>
        <w:wordWrap/>
        <w:jc w:val="center"/>
      </w:pPr>
      <w:rPr>
        <w:rFonts w:asciiTheme="majorHAnsi" w:hAnsiTheme="majorHAnsi"/>
        <w:b/>
        <w:color w:val="4F81BD" w:themeColor="accent1"/>
        <w:sz w:val="22"/>
      </w:rPr>
      <w:tblPr/>
      <w:tcPr>
        <w:tcBorders>
          <w:top w:val="single" w:sz="4" w:space="0" w:color="auto"/>
          <w:left w:val="single" w:sz="4" w:space="0" w:color="auto"/>
          <w:bottom w:val="nil"/>
          <w:right w:val="single" w:sz="4" w:space="0" w:color="auto"/>
          <w:insideH w:val="nil"/>
          <w:insideV w:val="single" w:sz="4" w:space="0" w:color="auto"/>
          <w:tl2br w:val="nil"/>
          <w:tr2bl w:val="nil"/>
        </w:tcBorders>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lantosavetheplanet.org/" TargetMode="External"/><Relationship Id="rId18" Type="http://schemas.openxmlformats.org/officeDocument/2006/relationships/hyperlink" Target="https://www.aplantosavetheplanet.org/pdf-ai" TargetMode="External"/><Relationship Id="rId26" Type="http://schemas.openxmlformats.org/officeDocument/2006/relationships/hyperlink" Target="https://doi.org/10.5194/acp-10-4133-2010" TargetMode="External"/><Relationship Id="rId39" Type="http://schemas.openxmlformats.org/officeDocument/2006/relationships/hyperlink" Target="https://doi.org/10.5194/acp-21-14507-2021" TargetMode="External"/><Relationship Id="rId21" Type="http://schemas.openxmlformats.org/officeDocument/2006/relationships/hyperlink" Target="https://doi.org/10.1126/science.245.4923.1227" TargetMode="External"/><Relationship Id="rId34" Type="http://schemas.openxmlformats.org/officeDocument/2006/relationships/hyperlink" Target="https://doi.org/10.1029/2008JD011450" TargetMode="External"/><Relationship Id="rId42" Type="http://schemas.openxmlformats.org/officeDocument/2006/relationships/hyperlink" Target="https://doi.org/10.1126/sciadv.abn7988" TargetMode="External"/><Relationship Id="rId47" Type="http://schemas.openxmlformats.org/officeDocument/2006/relationships/hyperlink" Target="https://www.aplantosavetheplanet.org/pdf-ai"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2life.org/g/cm/cmp_mcb_equipment_development.pdf" TargetMode="External"/><Relationship Id="rId29" Type="http://schemas.openxmlformats.org/officeDocument/2006/relationships/hyperlink" Target="https://doi.org/10.5194/acp-13-10385-2013" TargetMode="External"/><Relationship Id="rId11" Type="http://schemas.openxmlformats.org/officeDocument/2006/relationships/hyperlink" Target="https://creativecommons.org/licenses/by/4.0/" TargetMode="External"/><Relationship Id="rId24" Type="http://schemas.openxmlformats.org/officeDocument/2006/relationships/hyperlink" Target="https://doi.org/10.1016/j.atmosres.2005.11.013" TargetMode="External"/><Relationship Id="rId32" Type="http://schemas.openxmlformats.org/officeDocument/2006/relationships/hyperlink" Target="https://doi.org/10.1098/rsta.2008.0137" TargetMode="External"/><Relationship Id="rId37" Type="http://schemas.openxmlformats.org/officeDocument/2006/relationships/hyperlink" Target="https://doi.org/10.5194/acp-17-13071-2017" TargetMode="External"/><Relationship Id="rId40" Type="http://schemas.openxmlformats.org/officeDocument/2006/relationships/hyperlink" Target="https://doi.org/10.1126/science.abd3980" TargetMode="External"/><Relationship Id="rId45" Type="http://schemas.openxmlformats.org/officeDocument/2006/relationships/hyperlink" Target="https://www.aplantosavetheplanet.org/pdf-ai"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s://drive.google.com/drive/folders/1ItaJh7OQMeZMInUkArcShi-SGVFmzvD0" TargetMode="External"/><Relationship Id="rId19" Type="http://schemas.openxmlformats.org/officeDocument/2006/relationships/hyperlink" Target="https://www.aplantosavetheplanet.org/pdf-ai" TargetMode="External"/><Relationship Id="rId31" Type="http://schemas.openxmlformats.org/officeDocument/2006/relationships/hyperlink" Target="https://doi.org/10.1175/JAS-D-21-0077.1" TargetMode="External"/><Relationship Id="rId44" Type="http://schemas.openxmlformats.org/officeDocument/2006/relationships/hyperlink" Target="https://doi.org/10.1088/1748-9326/adccd7"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aplantosavetheplanet.org/pdf-ai" TargetMode="External"/><Relationship Id="rId22" Type="http://schemas.openxmlformats.org/officeDocument/2006/relationships/hyperlink" Target="https://doi.org/10.1038/347339b0" TargetMode="External"/><Relationship Id="rId27" Type="http://schemas.openxmlformats.org/officeDocument/2006/relationships/hyperlink" Target="https://doi.org/10.1029/2011JD016428" TargetMode="External"/><Relationship Id="rId30" Type="http://schemas.openxmlformats.org/officeDocument/2006/relationships/hyperlink" Target="https://doi.org/10.1098/rsta.2014.0056" TargetMode="External"/><Relationship Id="rId35" Type="http://schemas.openxmlformats.org/officeDocument/2006/relationships/hyperlink" Target="https://doi.org/10.1029/2012GL052064" TargetMode="External"/><Relationship Id="rId43" Type="http://schemas.openxmlformats.org/officeDocument/2006/relationships/hyperlink" Target="https://doi.org/10.1126/sciadv.adi8594" TargetMode="External"/><Relationship Id="rId48" Type="http://schemas.openxmlformats.org/officeDocument/2006/relationships/hyperlink" Target="https://www.aplantosavetheplanet.org/pdf-ai"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aplantosavetheplanet.org/" TargetMode="External"/><Relationship Id="rId17" Type="http://schemas.openxmlformats.org/officeDocument/2006/relationships/hyperlink" Target="https://www.ma2life.org/g/cm/cmp_mcb_experimental_research.pdf" TargetMode="External"/><Relationship Id="rId25" Type="http://schemas.openxmlformats.org/officeDocument/2006/relationships/hyperlink" Target="https://doi.org/10.1098/rsta.2008.0136" TargetMode="External"/><Relationship Id="rId33" Type="http://schemas.openxmlformats.org/officeDocument/2006/relationships/hyperlink" Target="https://doi.org/10.1088/1748-9326/4/4/045112" TargetMode="External"/><Relationship Id="rId38" Type="http://schemas.openxmlformats.org/officeDocument/2006/relationships/hyperlink" Target="https://doi.org/10.1029/2019GL085838" TargetMode="External"/><Relationship Id="rId46" Type="http://schemas.openxmlformats.org/officeDocument/2006/relationships/hyperlink" Target="https://www.aplantosavetheplanet.org/pdf-ai" TargetMode="External"/><Relationship Id="rId20" Type="http://schemas.openxmlformats.org/officeDocument/2006/relationships/hyperlink" Target="https://journals.ametsoc.org/view/journals/atsc/34/7/1520-0469_1977_034_1149_tiopot_2_0_co_2.xml" TargetMode="External"/><Relationship Id="rId41" Type="http://schemas.openxmlformats.org/officeDocument/2006/relationships/hyperlink" Target="https://doi.org/10.1073/pnas.2118379119"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 TargetMode="External"/><Relationship Id="rId23" Type="http://schemas.openxmlformats.org/officeDocument/2006/relationships/hyperlink" Target="https://doi.org/10.1006/asle.2002.0048" TargetMode="External"/><Relationship Id="rId28" Type="http://schemas.openxmlformats.org/officeDocument/2006/relationships/hyperlink" Target="https://doi.org/10.1029/2012GL054286" TargetMode="External"/><Relationship Id="rId36" Type="http://schemas.openxmlformats.org/officeDocument/2006/relationships/hyperlink" Target="https://doi.org/10.1002/jgrd.50856"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27494</TotalTime>
  <Pages>6</Pages>
  <Words>15740</Words>
  <Characters>110813</Characters>
  <Application>Microsoft Office Word</Application>
  <DocSecurity>0</DocSecurity>
  <Lines>2994</Lines>
  <Paragraphs>1888</Paragraphs>
  <ScaleCrop>false</ScaleCrop>
  <Company/>
  <LinksUpToDate>false</LinksUpToDate>
  <CharactersWithSpaces>124665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MCB Experimental Research Initiative</dc:title>
  <dc:subject>Proposed five-year $1B MCB field experiment and research program</dc:subject>
  <dc:creator>Glenn Weinreb</dc:creator>
  <dc:description>Prepared by ChatGPT 5.6 from the MCB Reflectivity Plan and the SAI research-fund template.</dc:description>
  <cp:lastModifiedBy>Glenn Weinreb</cp:lastModifiedBy>
  <cp:revision>1500</cp:revision>
  <cp:lastPrinted>2026-08-11T02:12:00Z</cp:lastPrinted>
  <dcterms:created xsi:type="dcterms:W3CDTF">2013-12-24T02:15:00Z</dcterms:created>
  <dcterms:modified xsi:type="dcterms:W3CDTF">2026-08-21T18:10:00Z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bf5be312-9c78-4024-9855-fd3bb3258444</vt:lpwstr>
  </property>
</Properties>
</file>